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95240" w14:textId="77777777" w:rsidR="00171D9B" w:rsidRPr="00F8465B" w:rsidRDefault="00F8465B">
      <w:pPr>
        <w:spacing w:line="264" w:lineRule="auto"/>
        <w:jc w:val="center"/>
        <w:rPr>
          <w:rFonts w:ascii="Cambria" w:hAnsi="Cambria"/>
          <w:b/>
          <w:spacing w:val="-3"/>
          <w:sz w:val="24"/>
          <w:szCs w:val="24"/>
        </w:rPr>
      </w:pPr>
      <w:r w:rsidRPr="00F8465B">
        <w:rPr>
          <w:rFonts w:ascii="Cambria" w:hAnsi="Cambria"/>
          <w:b/>
          <w:spacing w:val="-3"/>
          <w:sz w:val="24"/>
          <w:szCs w:val="24"/>
        </w:rPr>
        <w:t xml:space="preserve">COFIVACASA, S.A. </w:t>
      </w:r>
      <w:r w:rsidR="00C309AE" w:rsidRPr="00F8465B">
        <w:rPr>
          <w:rFonts w:ascii="Cambria" w:hAnsi="Cambria"/>
          <w:b/>
          <w:spacing w:val="-3"/>
          <w:sz w:val="24"/>
          <w:szCs w:val="24"/>
        </w:rPr>
        <w:t>S.M.E.</w:t>
      </w:r>
    </w:p>
    <w:p w14:paraId="13E5371F" w14:textId="77777777" w:rsidR="00171D9B" w:rsidRPr="00F8465B" w:rsidRDefault="00171D9B">
      <w:pPr>
        <w:spacing w:line="264" w:lineRule="auto"/>
        <w:jc w:val="center"/>
        <w:rPr>
          <w:rFonts w:ascii="Cambria" w:hAnsi="Cambria"/>
          <w:b/>
          <w:spacing w:val="-3"/>
          <w:sz w:val="24"/>
          <w:szCs w:val="24"/>
        </w:rPr>
      </w:pPr>
      <w:r w:rsidRPr="00F8465B">
        <w:rPr>
          <w:rFonts w:ascii="Cambria" w:hAnsi="Cambria"/>
          <w:b/>
          <w:spacing w:val="-3"/>
          <w:sz w:val="24"/>
          <w:szCs w:val="24"/>
        </w:rPr>
        <w:t>(Sociedad Unipersonal)</w:t>
      </w:r>
    </w:p>
    <w:p w14:paraId="5B8059E1" w14:textId="77777777" w:rsidR="00171D9B" w:rsidRPr="00F8465B" w:rsidRDefault="00171D9B">
      <w:pPr>
        <w:spacing w:line="264" w:lineRule="auto"/>
        <w:jc w:val="center"/>
        <w:rPr>
          <w:rFonts w:ascii="Cambria" w:hAnsi="Cambria"/>
          <w:b/>
          <w:spacing w:val="-3"/>
          <w:szCs w:val="22"/>
        </w:rPr>
      </w:pPr>
    </w:p>
    <w:p w14:paraId="660500BA" w14:textId="150707FD" w:rsidR="007D6387" w:rsidRPr="00F8465B" w:rsidRDefault="007D6387" w:rsidP="007D6387">
      <w:pPr>
        <w:pStyle w:val="PortadaDos"/>
        <w:keepNext/>
        <w:ind w:left="284" w:right="284"/>
        <w:jc w:val="center"/>
        <w:rPr>
          <w:rFonts w:ascii="Cambria" w:hAnsi="Cambria"/>
          <w:szCs w:val="24"/>
        </w:rPr>
      </w:pPr>
      <w:bookmarkStart w:id="0" w:name="SubTitle"/>
      <w:r w:rsidRPr="00F8465B">
        <w:rPr>
          <w:rFonts w:ascii="Cambria" w:hAnsi="Cambria"/>
          <w:szCs w:val="24"/>
        </w:rPr>
        <w:t>Cuentas Anuales</w:t>
      </w:r>
      <w:r w:rsidR="00456937" w:rsidRPr="00F8465B">
        <w:rPr>
          <w:rFonts w:ascii="Cambria" w:hAnsi="Cambria"/>
          <w:szCs w:val="24"/>
        </w:rPr>
        <w:t xml:space="preserve"> </w:t>
      </w:r>
      <w:r w:rsidRPr="00F8465B">
        <w:rPr>
          <w:rFonts w:ascii="Cambria" w:hAnsi="Cambria"/>
          <w:szCs w:val="24"/>
        </w:rPr>
        <w:t>del ejercicio 20</w:t>
      </w:r>
      <w:r w:rsidR="0053128F">
        <w:rPr>
          <w:rFonts w:ascii="Cambria" w:hAnsi="Cambria"/>
          <w:szCs w:val="24"/>
        </w:rPr>
        <w:t>20</w:t>
      </w:r>
    </w:p>
    <w:bookmarkEnd w:id="0"/>
    <w:p w14:paraId="68F9C04D" w14:textId="77777777" w:rsidR="00171D9B" w:rsidRPr="00F8465B" w:rsidRDefault="00171D9B">
      <w:pPr>
        <w:spacing w:line="264" w:lineRule="auto"/>
        <w:jc w:val="center"/>
        <w:rPr>
          <w:rFonts w:ascii="Cambria" w:hAnsi="Cambria"/>
          <w:b/>
          <w:spacing w:val="-3"/>
          <w:szCs w:val="22"/>
        </w:rPr>
      </w:pPr>
    </w:p>
    <w:p w14:paraId="505336EB" w14:textId="77777777" w:rsidR="00171D9B" w:rsidRPr="00F8465B" w:rsidRDefault="00171D9B">
      <w:pPr>
        <w:rPr>
          <w:rFonts w:ascii="Cambria" w:hAnsi="Cambria"/>
          <w:szCs w:val="22"/>
        </w:rPr>
        <w:sectPr w:rsidR="00171D9B" w:rsidRPr="00F8465B" w:rsidSect="00047906">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418" w:left="1701" w:header="426" w:footer="720" w:gutter="0"/>
          <w:cols w:space="720"/>
          <w:vAlign w:val="center"/>
          <w:titlePg/>
        </w:sectPr>
      </w:pPr>
    </w:p>
    <w:p w14:paraId="236EB342" w14:textId="77777777" w:rsidR="00171D9B" w:rsidRPr="00F8465B" w:rsidRDefault="00F8465B">
      <w:pPr>
        <w:spacing w:line="264" w:lineRule="auto"/>
        <w:jc w:val="center"/>
        <w:rPr>
          <w:rFonts w:ascii="Cambria" w:hAnsi="Cambria"/>
          <w:b/>
          <w:spacing w:val="-3"/>
          <w:sz w:val="24"/>
          <w:szCs w:val="24"/>
        </w:rPr>
      </w:pPr>
      <w:r w:rsidRPr="00F8465B">
        <w:rPr>
          <w:rFonts w:ascii="Cambria" w:hAnsi="Cambria"/>
          <w:b/>
          <w:spacing w:val="-3"/>
          <w:sz w:val="24"/>
          <w:szCs w:val="24"/>
        </w:rPr>
        <w:lastRenderedPageBreak/>
        <w:t xml:space="preserve">COFIVACASA, S.A. </w:t>
      </w:r>
      <w:r w:rsidR="00C309AE" w:rsidRPr="00F8465B">
        <w:rPr>
          <w:rFonts w:ascii="Cambria" w:hAnsi="Cambria"/>
          <w:b/>
          <w:spacing w:val="-3"/>
          <w:sz w:val="24"/>
          <w:szCs w:val="24"/>
        </w:rPr>
        <w:t xml:space="preserve"> S.M.E.</w:t>
      </w:r>
    </w:p>
    <w:p w14:paraId="68DFB54E" w14:textId="77777777" w:rsidR="00171D9B" w:rsidRPr="00F8465B" w:rsidRDefault="00171D9B">
      <w:pPr>
        <w:spacing w:line="264" w:lineRule="auto"/>
        <w:jc w:val="center"/>
        <w:rPr>
          <w:rFonts w:ascii="Cambria" w:hAnsi="Cambria"/>
          <w:b/>
          <w:spacing w:val="-3"/>
          <w:sz w:val="24"/>
          <w:szCs w:val="24"/>
        </w:rPr>
      </w:pPr>
      <w:r w:rsidRPr="00F8465B">
        <w:rPr>
          <w:rFonts w:ascii="Cambria" w:hAnsi="Cambria"/>
          <w:b/>
          <w:spacing w:val="-3"/>
          <w:sz w:val="24"/>
          <w:szCs w:val="24"/>
        </w:rPr>
        <w:t>(Sociedad Unipersonal)</w:t>
      </w:r>
    </w:p>
    <w:p w14:paraId="693B525E" w14:textId="77777777" w:rsidR="00171D9B" w:rsidRPr="00F8465B" w:rsidRDefault="00171D9B">
      <w:pPr>
        <w:spacing w:line="264" w:lineRule="auto"/>
        <w:jc w:val="center"/>
        <w:rPr>
          <w:rFonts w:ascii="Cambria" w:hAnsi="Cambria"/>
          <w:b/>
          <w:spacing w:val="-3"/>
          <w:sz w:val="24"/>
          <w:szCs w:val="24"/>
        </w:rPr>
      </w:pPr>
    </w:p>
    <w:p w14:paraId="23D3C29B" w14:textId="77777777" w:rsidR="00811802" w:rsidRPr="00F8465B" w:rsidRDefault="00171D9B">
      <w:pPr>
        <w:spacing w:line="264" w:lineRule="auto"/>
        <w:jc w:val="center"/>
        <w:rPr>
          <w:rFonts w:ascii="Cambria" w:hAnsi="Cambria"/>
          <w:spacing w:val="-3"/>
          <w:sz w:val="24"/>
          <w:szCs w:val="24"/>
        </w:rPr>
      </w:pPr>
      <w:r w:rsidRPr="00F8465B">
        <w:rPr>
          <w:rFonts w:ascii="Cambria" w:hAnsi="Cambria"/>
          <w:spacing w:val="-3"/>
          <w:sz w:val="24"/>
          <w:szCs w:val="24"/>
        </w:rPr>
        <w:t>BALANCE</w:t>
      </w:r>
      <w:r w:rsidR="008F192F" w:rsidRPr="00F8465B">
        <w:rPr>
          <w:rFonts w:ascii="Cambria" w:hAnsi="Cambria"/>
          <w:spacing w:val="-3"/>
          <w:sz w:val="24"/>
          <w:szCs w:val="24"/>
        </w:rPr>
        <w:t xml:space="preserve"> DE SITUACIÓN</w:t>
      </w:r>
      <w:r w:rsidR="00811802" w:rsidRPr="00F8465B">
        <w:rPr>
          <w:rFonts w:ascii="Cambria" w:hAnsi="Cambria"/>
          <w:spacing w:val="-3"/>
          <w:sz w:val="24"/>
          <w:szCs w:val="24"/>
        </w:rPr>
        <w:t>,</w:t>
      </w:r>
      <w:r w:rsidR="00811802" w:rsidRPr="00F8465B">
        <w:rPr>
          <w:rFonts w:ascii="Cambria" w:hAnsi="Cambria"/>
          <w:spacing w:val="-3"/>
          <w:sz w:val="24"/>
          <w:szCs w:val="24"/>
        </w:rPr>
        <w:br/>
      </w:r>
      <w:r w:rsidRPr="00F8465B">
        <w:rPr>
          <w:rFonts w:ascii="Cambria" w:hAnsi="Cambria"/>
          <w:spacing w:val="-3"/>
          <w:sz w:val="24"/>
          <w:szCs w:val="24"/>
        </w:rPr>
        <w:t>CUENTA DE PÉR</w:t>
      </w:r>
      <w:r w:rsidR="008F192F" w:rsidRPr="00F8465B">
        <w:rPr>
          <w:rFonts w:ascii="Cambria" w:hAnsi="Cambria"/>
          <w:spacing w:val="-3"/>
          <w:sz w:val="24"/>
          <w:szCs w:val="24"/>
        </w:rPr>
        <w:t xml:space="preserve">DIDAS Y GANANCIAS </w:t>
      </w:r>
    </w:p>
    <w:p w14:paraId="0DDD81B7" w14:textId="77777777" w:rsidR="00CD176B" w:rsidRPr="00F8465B" w:rsidRDefault="00811802">
      <w:pPr>
        <w:spacing w:line="264" w:lineRule="auto"/>
        <w:jc w:val="center"/>
        <w:rPr>
          <w:rFonts w:ascii="Cambria" w:hAnsi="Cambria"/>
          <w:spacing w:val="-3"/>
          <w:sz w:val="24"/>
          <w:szCs w:val="24"/>
        </w:rPr>
      </w:pPr>
      <w:r w:rsidRPr="00F8465B">
        <w:rPr>
          <w:rFonts w:ascii="Cambria" w:hAnsi="Cambria"/>
          <w:spacing w:val="-3"/>
          <w:sz w:val="24"/>
          <w:szCs w:val="24"/>
        </w:rPr>
        <w:t>ESTADO DE CAMBIOS EN EL PATRIMONIO NETO</w:t>
      </w:r>
      <w:r w:rsidR="00CD176B" w:rsidRPr="00F8465B">
        <w:rPr>
          <w:rFonts w:ascii="Cambria" w:hAnsi="Cambria"/>
          <w:spacing w:val="-3"/>
          <w:sz w:val="24"/>
          <w:szCs w:val="24"/>
        </w:rPr>
        <w:t xml:space="preserve"> </w:t>
      </w:r>
    </w:p>
    <w:p w14:paraId="05C5EEF3" w14:textId="77777777" w:rsidR="00811802" w:rsidRPr="00F8465B" w:rsidRDefault="00CD176B">
      <w:pPr>
        <w:spacing w:line="264" w:lineRule="auto"/>
        <w:jc w:val="center"/>
        <w:rPr>
          <w:rFonts w:ascii="Cambria" w:hAnsi="Cambria"/>
          <w:spacing w:val="-3"/>
          <w:sz w:val="24"/>
          <w:szCs w:val="24"/>
        </w:rPr>
      </w:pPr>
      <w:r w:rsidRPr="00F8465B">
        <w:rPr>
          <w:rFonts w:ascii="Cambria" w:hAnsi="Cambria"/>
          <w:spacing w:val="-3"/>
          <w:sz w:val="24"/>
          <w:szCs w:val="24"/>
        </w:rPr>
        <w:t>Y ESTADO DE FLUJOS DE EFECTIVO</w:t>
      </w:r>
    </w:p>
    <w:p w14:paraId="156C8CDD" w14:textId="2F1CC987" w:rsidR="0066295A" w:rsidRPr="00F8465B" w:rsidRDefault="008F192F" w:rsidP="0066295A">
      <w:pPr>
        <w:spacing w:line="264" w:lineRule="auto"/>
        <w:jc w:val="center"/>
        <w:rPr>
          <w:rFonts w:ascii="Cambria" w:hAnsi="Cambria" w:cs="Arial"/>
          <w:spacing w:val="-3"/>
          <w:sz w:val="24"/>
          <w:szCs w:val="24"/>
        </w:rPr>
      </w:pPr>
      <w:r w:rsidRPr="00F8465B">
        <w:rPr>
          <w:rFonts w:ascii="Cambria" w:hAnsi="Cambria"/>
          <w:spacing w:val="-3"/>
          <w:sz w:val="24"/>
          <w:szCs w:val="24"/>
        </w:rPr>
        <w:t>DE</w:t>
      </w:r>
      <w:r w:rsidR="00A23425" w:rsidRPr="00F8465B">
        <w:rPr>
          <w:rFonts w:ascii="Cambria" w:hAnsi="Cambria"/>
          <w:spacing w:val="-3"/>
          <w:sz w:val="24"/>
          <w:szCs w:val="24"/>
        </w:rPr>
        <w:t xml:space="preserve">L </w:t>
      </w:r>
      <w:r w:rsidRPr="00F8465B">
        <w:rPr>
          <w:rFonts w:ascii="Cambria" w:hAnsi="Cambria"/>
          <w:spacing w:val="-3"/>
          <w:sz w:val="24"/>
          <w:szCs w:val="24"/>
        </w:rPr>
        <w:t>EJERCICIO</w:t>
      </w:r>
      <w:r w:rsidR="00171D9B" w:rsidRPr="00F8465B">
        <w:rPr>
          <w:rFonts w:ascii="Cambria" w:hAnsi="Cambria"/>
          <w:spacing w:val="-3"/>
          <w:sz w:val="24"/>
          <w:szCs w:val="24"/>
        </w:rPr>
        <w:t xml:space="preserve"> ANUAL TERMINADO</w:t>
      </w:r>
      <w:r w:rsidR="00171D9B" w:rsidRPr="00F8465B">
        <w:rPr>
          <w:rFonts w:ascii="Cambria" w:hAnsi="Cambria"/>
          <w:spacing w:val="-3"/>
          <w:sz w:val="24"/>
          <w:szCs w:val="24"/>
        </w:rPr>
        <w:br/>
        <w:t>EL 31 DE DICIEMBRE DE 20</w:t>
      </w:r>
      <w:r w:rsidR="0053128F">
        <w:rPr>
          <w:rFonts w:ascii="Cambria" w:hAnsi="Cambria"/>
          <w:spacing w:val="-3"/>
          <w:sz w:val="24"/>
          <w:szCs w:val="24"/>
        </w:rPr>
        <w:t>20</w:t>
      </w:r>
    </w:p>
    <w:p w14:paraId="0064B0B0" w14:textId="77777777" w:rsidR="0066295A" w:rsidRPr="00F8465B" w:rsidRDefault="0066295A" w:rsidP="0066295A">
      <w:pPr>
        <w:spacing w:line="264" w:lineRule="auto"/>
        <w:jc w:val="center"/>
        <w:rPr>
          <w:rFonts w:ascii="Cambria" w:hAnsi="Cambria" w:cs="Arial"/>
          <w:spacing w:val="-3"/>
          <w:sz w:val="24"/>
          <w:szCs w:val="24"/>
        </w:rPr>
      </w:pPr>
    </w:p>
    <w:p w14:paraId="31DAFE78" w14:textId="77777777" w:rsidR="0066295A" w:rsidRPr="00F8465B" w:rsidRDefault="0066295A" w:rsidP="0066295A">
      <w:pPr>
        <w:spacing w:line="264" w:lineRule="auto"/>
        <w:jc w:val="center"/>
        <w:rPr>
          <w:rFonts w:ascii="Cambria" w:hAnsi="Cambria" w:cs="Arial"/>
          <w:spacing w:val="-3"/>
          <w:sz w:val="24"/>
          <w:szCs w:val="24"/>
        </w:rPr>
      </w:pPr>
    </w:p>
    <w:p w14:paraId="396113B8" w14:textId="77777777" w:rsidR="0066295A" w:rsidRPr="00F8465B" w:rsidRDefault="0066295A" w:rsidP="0066295A">
      <w:pPr>
        <w:spacing w:line="264" w:lineRule="auto"/>
        <w:jc w:val="center"/>
        <w:rPr>
          <w:rFonts w:ascii="Cambria" w:hAnsi="Cambria" w:cs="Arial"/>
          <w:spacing w:val="-3"/>
          <w:sz w:val="24"/>
          <w:szCs w:val="24"/>
        </w:rPr>
      </w:pPr>
    </w:p>
    <w:p w14:paraId="5C3E3EB4" w14:textId="77777777" w:rsidR="0066295A" w:rsidRPr="00F8465B" w:rsidRDefault="0066295A" w:rsidP="0066295A">
      <w:pPr>
        <w:spacing w:line="264" w:lineRule="auto"/>
        <w:jc w:val="center"/>
        <w:rPr>
          <w:rFonts w:ascii="Cambria" w:hAnsi="Cambria" w:cs="Arial"/>
          <w:spacing w:val="-3"/>
          <w:sz w:val="24"/>
          <w:szCs w:val="24"/>
        </w:rPr>
      </w:pPr>
    </w:p>
    <w:p w14:paraId="5AF85675" w14:textId="77777777" w:rsidR="0066295A" w:rsidRPr="00F8465B" w:rsidRDefault="0066295A" w:rsidP="0066295A">
      <w:pPr>
        <w:spacing w:line="264" w:lineRule="auto"/>
        <w:jc w:val="center"/>
        <w:rPr>
          <w:rFonts w:ascii="Cambria" w:hAnsi="Cambria" w:cs="Arial"/>
          <w:spacing w:val="-3"/>
          <w:szCs w:val="22"/>
        </w:rPr>
      </w:pPr>
    </w:p>
    <w:p w14:paraId="0419A2E5" w14:textId="77777777" w:rsidR="0066295A" w:rsidRPr="00F8465B" w:rsidRDefault="0066295A" w:rsidP="0066295A">
      <w:pPr>
        <w:spacing w:line="264" w:lineRule="auto"/>
        <w:jc w:val="center"/>
        <w:rPr>
          <w:rFonts w:ascii="Cambria" w:hAnsi="Cambria" w:cs="Arial"/>
          <w:spacing w:val="-3"/>
          <w:szCs w:val="22"/>
        </w:rPr>
      </w:pPr>
    </w:p>
    <w:p w14:paraId="668ADD3E" w14:textId="77777777" w:rsidR="0066295A" w:rsidRPr="00F8465B" w:rsidRDefault="0066295A" w:rsidP="0066295A">
      <w:pPr>
        <w:spacing w:line="264" w:lineRule="auto"/>
        <w:jc w:val="center"/>
        <w:rPr>
          <w:rFonts w:ascii="Cambria" w:hAnsi="Cambria" w:cs="Arial"/>
          <w:spacing w:val="-3"/>
          <w:szCs w:val="22"/>
        </w:rPr>
      </w:pPr>
    </w:p>
    <w:p w14:paraId="78567A3F" w14:textId="77777777" w:rsidR="0066295A" w:rsidRPr="00F8465B" w:rsidRDefault="0066295A" w:rsidP="0066295A">
      <w:pPr>
        <w:spacing w:line="264" w:lineRule="auto"/>
        <w:jc w:val="center"/>
        <w:rPr>
          <w:rFonts w:ascii="Cambria" w:hAnsi="Cambria" w:cs="Arial"/>
          <w:spacing w:val="-3"/>
          <w:szCs w:val="22"/>
        </w:rPr>
      </w:pPr>
    </w:p>
    <w:p w14:paraId="289CC437" w14:textId="77777777" w:rsidR="0066295A" w:rsidRPr="00F8465B" w:rsidRDefault="0066295A" w:rsidP="0066295A">
      <w:pPr>
        <w:spacing w:line="264" w:lineRule="auto"/>
        <w:jc w:val="center"/>
        <w:rPr>
          <w:rFonts w:ascii="Cambria" w:hAnsi="Cambria" w:cs="Arial"/>
          <w:spacing w:val="-3"/>
          <w:szCs w:val="22"/>
        </w:rPr>
      </w:pPr>
    </w:p>
    <w:p w14:paraId="2120393D" w14:textId="77777777" w:rsidR="0066295A" w:rsidRPr="00F8465B" w:rsidRDefault="0066295A" w:rsidP="0066295A">
      <w:pPr>
        <w:spacing w:line="264" w:lineRule="auto"/>
        <w:jc w:val="center"/>
        <w:rPr>
          <w:rFonts w:ascii="Cambria" w:hAnsi="Cambria" w:cs="Arial"/>
          <w:spacing w:val="-3"/>
          <w:szCs w:val="22"/>
        </w:rPr>
      </w:pPr>
    </w:p>
    <w:p w14:paraId="6C40A908" w14:textId="77777777" w:rsidR="0066295A" w:rsidRPr="00F8465B" w:rsidRDefault="0066295A" w:rsidP="0066295A">
      <w:pPr>
        <w:spacing w:line="264" w:lineRule="auto"/>
        <w:jc w:val="center"/>
        <w:rPr>
          <w:rFonts w:ascii="Cambria" w:hAnsi="Cambria" w:cs="Arial"/>
          <w:spacing w:val="-3"/>
          <w:szCs w:val="22"/>
        </w:rPr>
      </w:pPr>
    </w:p>
    <w:p w14:paraId="07A189E0" w14:textId="77777777" w:rsidR="0066295A" w:rsidRPr="00F8465B" w:rsidRDefault="0066295A" w:rsidP="0066295A">
      <w:pPr>
        <w:spacing w:line="264" w:lineRule="auto"/>
        <w:jc w:val="center"/>
        <w:rPr>
          <w:rFonts w:ascii="Cambria" w:hAnsi="Cambria" w:cs="Arial"/>
          <w:spacing w:val="-3"/>
          <w:szCs w:val="22"/>
        </w:rPr>
      </w:pPr>
    </w:p>
    <w:p w14:paraId="5B33147D" w14:textId="77777777" w:rsidR="0066295A" w:rsidRPr="00F8465B" w:rsidRDefault="0066295A" w:rsidP="0066295A">
      <w:pPr>
        <w:spacing w:line="264" w:lineRule="auto"/>
        <w:jc w:val="center"/>
        <w:rPr>
          <w:rFonts w:ascii="Cambria" w:hAnsi="Cambria" w:cs="Arial"/>
          <w:spacing w:val="-3"/>
          <w:szCs w:val="22"/>
        </w:rPr>
      </w:pPr>
    </w:p>
    <w:p w14:paraId="51A5EF81" w14:textId="77777777" w:rsidR="0066295A" w:rsidRPr="00F8465B" w:rsidRDefault="0066295A" w:rsidP="0066295A">
      <w:pPr>
        <w:spacing w:line="264" w:lineRule="auto"/>
        <w:jc w:val="center"/>
        <w:rPr>
          <w:rFonts w:ascii="Cambria" w:hAnsi="Cambria" w:cs="Arial"/>
          <w:spacing w:val="-3"/>
          <w:szCs w:val="22"/>
        </w:rPr>
        <w:sectPr w:rsidR="0066295A" w:rsidRPr="00F8465B" w:rsidSect="00976B0E">
          <w:headerReference w:type="even" r:id="rId14"/>
          <w:headerReference w:type="default" r:id="rId15"/>
          <w:headerReference w:type="first" r:id="rId16"/>
          <w:pgSz w:w="11906" w:h="16838" w:code="9"/>
          <w:pgMar w:top="1985" w:right="1134" w:bottom="1418" w:left="1701" w:header="720" w:footer="720" w:gutter="0"/>
          <w:cols w:space="720"/>
          <w:vAlign w:val="center"/>
          <w:titlePg/>
        </w:sectPr>
      </w:pPr>
    </w:p>
    <w:p w14:paraId="65E1F783" w14:textId="4191F134" w:rsidR="00F80F18" w:rsidRPr="00F8465B" w:rsidRDefault="001D445E" w:rsidP="00047906">
      <w:pPr>
        <w:ind w:left="-567"/>
        <w:jc w:val="center"/>
        <w:rPr>
          <w:rFonts w:ascii="Cambria" w:hAnsi="Cambria"/>
          <w:szCs w:val="22"/>
          <w:lang w:val="es-ES"/>
        </w:rPr>
        <w:sectPr w:rsidR="00F80F18" w:rsidRPr="00F8465B" w:rsidSect="00047906">
          <w:headerReference w:type="even" r:id="rId17"/>
          <w:headerReference w:type="default" r:id="rId18"/>
          <w:footerReference w:type="default" r:id="rId19"/>
          <w:headerReference w:type="first" r:id="rId20"/>
          <w:footerReference w:type="first" r:id="rId21"/>
          <w:pgSz w:w="16838" w:h="11906" w:orient="landscape" w:code="9"/>
          <w:pgMar w:top="567" w:right="1985" w:bottom="1276" w:left="1418" w:header="720" w:footer="471" w:gutter="0"/>
          <w:pgNumType w:start="1"/>
          <w:cols w:space="720"/>
          <w:vAlign w:val="center"/>
        </w:sectPr>
      </w:pPr>
      <w:r w:rsidRPr="001D445E">
        <w:rPr>
          <w:noProof/>
        </w:rPr>
        <w:lastRenderedPageBreak/>
        <w:drawing>
          <wp:inline distT="0" distB="0" distL="0" distR="0" wp14:anchorId="64EFF728" wp14:editId="3AAEF982">
            <wp:extent cx="8531225" cy="5946140"/>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31225" cy="5946140"/>
                    </a:xfrm>
                    <a:prstGeom prst="rect">
                      <a:avLst/>
                    </a:prstGeom>
                    <a:noFill/>
                    <a:ln>
                      <a:noFill/>
                    </a:ln>
                  </pic:spPr>
                </pic:pic>
              </a:graphicData>
            </a:graphic>
          </wp:inline>
        </w:drawing>
      </w:r>
      <w:r w:rsidR="00532D12" w:rsidRPr="00F8465B">
        <w:rPr>
          <w:rFonts w:ascii="Cambria" w:hAnsi="Cambria"/>
          <w:szCs w:val="22"/>
          <w:lang w:val="es-ES"/>
        </w:rPr>
        <w:t xml:space="preserve">                     </w:t>
      </w:r>
    </w:p>
    <w:p w14:paraId="28E139A7" w14:textId="734DACFD" w:rsidR="000C522D" w:rsidRPr="00F8465B" w:rsidRDefault="00E00D0D" w:rsidP="00EF514C">
      <w:pPr>
        <w:jc w:val="center"/>
        <w:rPr>
          <w:rFonts w:ascii="Cambria" w:hAnsi="Cambria"/>
          <w:szCs w:val="22"/>
        </w:rPr>
        <w:sectPr w:rsidR="000C522D" w:rsidRPr="00F8465B" w:rsidSect="00976B0E">
          <w:headerReference w:type="even" r:id="rId23"/>
          <w:headerReference w:type="default" r:id="rId24"/>
          <w:footerReference w:type="default" r:id="rId25"/>
          <w:headerReference w:type="first" r:id="rId26"/>
          <w:footerReference w:type="first" r:id="rId27"/>
          <w:pgSz w:w="11906" w:h="16838" w:code="9"/>
          <w:pgMar w:top="1134" w:right="1134" w:bottom="1418" w:left="993" w:header="720" w:footer="720" w:gutter="0"/>
          <w:cols w:space="720"/>
          <w:vAlign w:val="center"/>
        </w:sectPr>
      </w:pPr>
      <w:r w:rsidRPr="00E00D0D">
        <w:rPr>
          <w:noProof/>
        </w:rPr>
        <w:lastRenderedPageBreak/>
        <w:drawing>
          <wp:inline distT="0" distB="0" distL="0" distR="0" wp14:anchorId="748E8518" wp14:editId="0E7D8B97">
            <wp:extent cx="5913120" cy="90716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13120" cy="9071610"/>
                    </a:xfrm>
                    <a:prstGeom prst="rect">
                      <a:avLst/>
                    </a:prstGeom>
                    <a:noFill/>
                    <a:ln>
                      <a:noFill/>
                    </a:ln>
                  </pic:spPr>
                </pic:pic>
              </a:graphicData>
            </a:graphic>
          </wp:inline>
        </w:drawing>
      </w:r>
    </w:p>
    <w:p w14:paraId="636D8612" w14:textId="073EB305" w:rsidR="00394711" w:rsidRPr="0083476F" w:rsidRDefault="00E00D0D" w:rsidP="00EF514C">
      <w:pPr>
        <w:jc w:val="center"/>
        <w:rPr>
          <w:rFonts w:ascii="Cambria" w:hAnsi="Cambria"/>
          <w:lang w:val="es-ES"/>
        </w:rPr>
      </w:pPr>
      <w:r w:rsidRPr="00E00D0D">
        <w:rPr>
          <w:noProof/>
        </w:rPr>
        <w:lastRenderedPageBreak/>
        <w:drawing>
          <wp:inline distT="0" distB="0" distL="0" distR="0" wp14:anchorId="18CE9101" wp14:editId="45FAF07B">
            <wp:extent cx="7924800" cy="2895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24800" cy="2895600"/>
                    </a:xfrm>
                    <a:prstGeom prst="rect">
                      <a:avLst/>
                    </a:prstGeom>
                    <a:noFill/>
                    <a:ln>
                      <a:noFill/>
                    </a:ln>
                  </pic:spPr>
                </pic:pic>
              </a:graphicData>
            </a:graphic>
          </wp:inline>
        </w:drawing>
      </w:r>
    </w:p>
    <w:p w14:paraId="7BBD4889" w14:textId="07F31A3E" w:rsidR="00394711" w:rsidRPr="00F8465B" w:rsidRDefault="00394711">
      <w:pPr>
        <w:keepLines w:val="0"/>
        <w:widowControl/>
        <w:jc w:val="left"/>
        <w:rPr>
          <w:rFonts w:ascii="Cambria" w:hAnsi="Cambria"/>
        </w:rPr>
      </w:pPr>
      <w:r w:rsidRPr="00F8465B">
        <w:rPr>
          <w:rFonts w:ascii="Cambria" w:hAnsi="Cambria"/>
        </w:rPr>
        <w:br w:type="page"/>
      </w:r>
    </w:p>
    <w:p w14:paraId="2794B478" w14:textId="1C7D3D0F" w:rsidR="00EF514C" w:rsidRPr="00F8465B" w:rsidRDefault="00E00D0D" w:rsidP="00EF514C">
      <w:pPr>
        <w:jc w:val="center"/>
        <w:rPr>
          <w:rFonts w:ascii="Cambria" w:hAnsi="Cambria"/>
          <w:szCs w:val="22"/>
        </w:rPr>
        <w:sectPr w:rsidR="00EF514C" w:rsidRPr="00F8465B" w:rsidSect="000C522D">
          <w:pgSz w:w="16838" w:h="11906" w:orient="landscape" w:code="9"/>
          <w:pgMar w:top="992" w:right="1134" w:bottom="1134" w:left="1418" w:header="720" w:footer="720" w:gutter="0"/>
          <w:cols w:space="720"/>
          <w:vAlign w:val="center"/>
        </w:sectPr>
      </w:pPr>
      <w:r w:rsidRPr="00E00D0D">
        <w:rPr>
          <w:noProof/>
        </w:rPr>
        <w:lastRenderedPageBreak/>
        <w:drawing>
          <wp:inline distT="0" distB="0" distL="0" distR="0" wp14:anchorId="41B7EFDF" wp14:editId="6C42FE93">
            <wp:extent cx="9071610" cy="502856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71610" cy="5028565"/>
                    </a:xfrm>
                    <a:prstGeom prst="rect">
                      <a:avLst/>
                    </a:prstGeom>
                    <a:noFill/>
                    <a:ln>
                      <a:noFill/>
                    </a:ln>
                  </pic:spPr>
                </pic:pic>
              </a:graphicData>
            </a:graphic>
          </wp:inline>
        </w:drawing>
      </w:r>
      <w:r w:rsidR="00C003AE" w:rsidRPr="00F8465B">
        <w:rPr>
          <w:rFonts w:ascii="Cambria" w:hAnsi="Cambria"/>
        </w:rPr>
        <w:br w:type="page"/>
      </w:r>
    </w:p>
    <w:p w14:paraId="0EDC2D73" w14:textId="7AC486DF" w:rsidR="00171D9B" w:rsidRPr="00F8465B" w:rsidRDefault="00310CD4">
      <w:pPr>
        <w:spacing w:line="264" w:lineRule="auto"/>
        <w:jc w:val="center"/>
        <w:rPr>
          <w:rFonts w:ascii="Cambria" w:hAnsi="Cambria"/>
          <w:b/>
          <w:spacing w:val="-3"/>
          <w:sz w:val="24"/>
          <w:szCs w:val="24"/>
        </w:rPr>
      </w:pPr>
      <w:r w:rsidRPr="00310CD4">
        <w:rPr>
          <w:noProof/>
        </w:rPr>
        <w:lastRenderedPageBreak/>
        <w:drawing>
          <wp:inline distT="0" distB="0" distL="0" distR="0" wp14:anchorId="0C6D7196" wp14:editId="04066F37">
            <wp:extent cx="5760085" cy="7311390"/>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85" cy="7311390"/>
                    </a:xfrm>
                    <a:prstGeom prst="rect">
                      <a:avLst/>
                    </a:prstGeom>
                    <a:noFill/>
                    <a:ln>
                      <a:noFill/>
                    </a:ln>
                  </pic:spPr>
                </pic:pic>
              </a:graphicData>
            </a:graphic>
          </wp:inline>
        </w:drawing>
      </w:r>
      <w:r w:rsidR="00771E76" w:rsidRPr="00F8465B">
        <w:rPr>
          <w:rFonts w:ascii="Cambria" w:hAnsi="Cambria"/>
        </w:rPr>
        <w:br w:type="page"/>
      </w:r>
      <w:r w:rsidR="00F8465B" w:rsidRPr="00F8465B">
        <w:rPr>
          <w:rFonts w:ascii="Cambria" w:hAnsi="Cambria"/>
          <w:b/>
          <w:spacing w:val="-3"/>
          <w:sz w:val="24"/>
          <w:szCs w:val="24"/>
        </w:rPr>
        <w:lastRenderedPageBreak/>
        <w:t>COFIVACASA, S.A.</w:t>
      </w:r>
      <w:r w:rsidR="00C309AE" w:rsidRPr="00F8465B">
        <w:rPr>
          <w:rFonts w:ascii="Cambria" w:hAnsi="Cambria"/>
          <w:b/>
          <w:spacing w:val="-3"/>
          <w:sz w:val="24"/>
          <w:szCs w:val="24"/>
        </w:rPr>
        <w:t xml:space="preserve"> S.M.E.</w:t>
      </w:r>
    </w:p>
    <w:p w14:paraId="2FC83DB1" w14:textId="77777777" w:rsidR="00171D9B" w:rsidRPr="00F8465B" w:rsidRDefault="00171D9B">
      <w:pPr>
        <w:spacing w:line="264" w:lineRule="auto"/>
        <w:jc w:val="center"/>
        <w:rPr>
          <w:rFonts w:ascii="Cambria" w:hAnsi="Cambria"/>
          <w:b/>
          <w:spacing w:val="-3"/>
          <w:sz w:val="24"/>
          <w:szCs w:val="24"/>
        </w:rPr>
      </w:pPr>
      <w:r w:rsidRPr="00F8465B">
        <w:rPr>
          <w:rFonts w:ascii="Cambria" w:hAnsi="Cambria"/>
          <w:b/>
          <w:spacing w:val="-3"/>
          <w:sz w:val="24"/>
          <w:szCs w:val="24"/>
        </w:rPr>
        <w:t>(Sociedad Unipersonal)</w:t>
      </w:r>
    </w:p>
    <w:p w14:paraId="2FF36985" w14:textId="77777777" w:rsidR="00171D9B" w:rsidRPr="00F8465B" w:rsidRDefault="00171D9B">
      <w:pPr>
        <w:spacing w:line="264" w:lineRule="auto"/>
        <w:jc w:val="center"/>
        <w:rPr>
          <w:rFonts w:ascii="Cambria" w:hAnsi="Cambria"/>
          <w:b/>
          <w:spacing w:val="-3"/>
          <w:sz w:val="24"/>
          <w:szCs w:val="24"/>
        </w:rPr>
      </w:pPr>
    </w:p>
    <w:p w14:paraId="2823F254" w14:textId="77777777" w:rsidR="00D10B35" w:rsidRPr="00F8465B" w:rsidRDefault="00D10B35" w:rsidP="00D10B35">
      <w:pPr>
        <w:pStyle w:val="PortadaUno"/>
        <w:jc w:val="center"/>
        <w:rPr>
          <w:rFonts w:ascii="Cambria" w:hAnsi="Cambria"/>
          <w:szCs w:val="24"/>
        </w:rPr>
      </w:pPr>
      <w:bookmarkStart w:id="1" w:name="Memoria"/>
      <w:r w:rsidRPr="00F8465B">
        <w:rPr>
          <w:rFonts w:ascii="Cambria" w:hAnsi="Cambria"/>
          <w:szCs w:val="24"/>
        </w:rPr>
        <w:t>Memoria del</w:t>
      </w:r>
      <w:r w:rsidR="00F5120D" w:rsidRPr="00F8465B">
        <w:rPr>
          <w:rFonts w:ascii="Cambria" w:hAnsi="Cambria"/>
          <w:szCs w:val="24"/>
        </w:rPr>
        <w:t xml:space="preserve"> </w:t>
      </w:r>
      <w:r w:rsidRPr="00F8465B">
        <w:rPr>
          <w:rFonts w:ascii="Cambria" w:hAnsi="Cambria"/>
          <w:szCs w:val="24"/>
        </w:rPr>
        <w:t>ejercicio terminado el</w:t>
      </w:r>
    </w:p>
    <w:p w14:paraId="06144049" w14:textId="543DD7C7" w:rsidR="00D10B35" w:rsidRPr="00F8465B" w:rsidRDefault="00D10B35" w:rsidP="00D10B35">
      <w:pPr>
        <w:pStyle w:val="PortadaUno"/>
        <w:jc w:val="center"/>
        <w:rPr>
          <w:rFonts w:ascii="Cambria" w:hAnsi="Cambria"/>
          <w:szCs w:val="24"/>
        </w:rPr>
      </w:pPr>
      <w:r w:rsidRPr="00F8465B">
        <w:rPr>
          <w:rFonts w:ascii="Cambria" w:hAnsi="Cambria"/>
          <w:szCs w:val="24"/>
        </w:rPr>
        <w:t>31 de diciembre de 20</w:t>
      </w:r>
      <w:r w:rsidR="0053128F">
        <w:rPr>
          <w:rFonts w:ascii="Cambria" w:hAnsi="Cambria"/>
          <w:szCs w:val="24"/>
        </w:rPr>
        <w:t>20</w:t>
      </w:r>
    </w:p>
    <w:bookmarkEnd w:id="1"/>
    <w:p w14:paraId="51F2D3BC" w14:textId="77777777" w:rsidR="00171D9B" w:rsidRPr="00F8465B" w:rsidRDefault="00171D9B">
      <w:pPr>
        <w:spacing w:line="264" w:lineRule="auto"/>
        <w:jc w:val="center"/>
        <w:rPr>
          <w:rFonts w:ascii="Cambria" w:hAnsi="Cambria"/>
          <w:b/>
          <w:spacing w:val="-3"/>
          <w:sz w:val="24"/>
          <w:szCs w:val="24"/>
          <w:lang w:val="es-ES"/>
        </w:rPr>
      </w:pPr>
    </w:p>
    <w:p w14:paraId="6BB1BB5F" w14:textId="77777777" w:rsidR="00171D9B" w:rsidRPr="00F8465B" w:rsidRDefault="00171D9B">
      <w:pPr>
        <w:rPr>
          <w:rFonts w:ascii="Cambria" w:hAnsi="Cambria"/>
          <w:sz w:val="24"/>
          <w:szCs w:val="24"/>
        </w:rPr>
        <w:sectPr w:rsidR="00171D9B" w:rsidRPr="00F8465B" w:rsidSect="00976B0E">
          <w:headerReference w:type="even" r:id="rId32"/>
          <w:headerReference w:type="default" r:id="rId33"/>
          <w:footerReference w:type="even" r:id="rId34"/>
          <w:headerReference w:type="first" r:id="rId35"/>
          <w:pgSz w:w="11906" w:h="16838" w:code="9"/>
          <w:pgMar w:top="1985" w:right="1134" w:bottom="1418" w:left="1701" w:header="720" w:footer="720" w:gutter="0"/>
          <w:cols w:space="720"/>
          <w:vAlign w:val="center"/>
          <w:titlePg/>
        </w:sectPr>
      </w:pPr>
    </w:p>
    <w:p w14:paraId="1C6E10D1" w14:textId="77777777" w:rsidR="009A13D4" w:rsidRPr="00F8465B" w:rsidRDefault="009A13D4" w:rsidP="00047906">
      <w:pPr>
        <w:pStyle w:val="Ttulo1a"/>
        <w:ind w:left="0"/>
        <w:rPr>
          <w:rFonts w:ascii="Cambria" w:hAnsi="Cambria"/>
          <w:sz w:val="24"/>
          <w:szCs w:val="24"/>
        </w:rPr>
      </w:pPr>
    </w:p>
    <w:p w14:paraId="4587EB95" w14:textId="4386BF92" w:rsidR="00171D9B" w:rsidRPr="00F8465B" w:rsidRDefault="00171D9B" w:rsidP="00047906">
      <w:pPr>
        <w:pStyle w:val="Ttulo4"/>
        <w:widowControl/>
        <w:numPr>
          <w:ilvl w:val="0"/>
          <w:numId w:val="3"/>
        </w:numPr>
        <w:tabs>
          <w:tab w:val="clear" w:pos="360"/>
          <w:tab w:val="left" w:pos="-448"/>
          <w:tab w:val="num" w:pos="567"/>
        </w:tabs>
        <w:spacing w:before="0" w:after="0"/>
        <w:ind w:left="567" w:right="2268" w:hanging="567"/>
        <w:jc w:val="left"/>
        <w:rPr>
          <w:rFonts w:ascii="Cambria" w:hAnsi="Cambria"/>
          <w:kern w:val="28"/>
          <w:sz w:val="24"/>
          <w:szCs w:val="24"/>
          <w:u w:val="single"/>
          <w:lang w:val="es-ES" w:eastAsia="en-US"/>
        </w:rPr>
      </w:pPr>
      <w:r w:rsidRPr="00F8465B">
        <w:rPr>
          <w:rFonts w:ascii="Cambria" w:hAnsi="Cambria"/>
          <w:kern w:val="28"/>
          <w:sz w:val="24"/>
          <w:szCs w:val="24"/>
          <w:u w:val="single"/>
          <w:lang w:val="es-ES" w:eastAsia="en-US"/>
        </w:rPr>
        <w:fldChar w:fldCharType="begin"/>
      </w:r>
      <w:r w:rsidRPr="00F8465B">
        <w:rPr>
          <w:rFonts w:ascii="Cambria" w:hAnsi="Cambria"/>
          <w:kern w:val="28"/>
          <w:sz w:val="24"/>
          <w:szCs w:val="24"/>
          <w:u w:val="single"/>
          <w:lang w:val="es-ES" w:eastAsia="en-US"/>
        </w:rPr>
        <w:instrText xml:space="preserve">SEQ nivel0 \h \r0 </w:instrText>
      </w:r>
      <w:r w:rsidRPr="00F8465B">
        <w:rPr>
          <w:rFonts w:ascii="Cambria" w:hAnsi="Cambria"/>
          <w:kern w:val="28"/>
          <w:sz w:val="24"/>
          <w:szCs w:val="24"/>
          <w:u w:val="single"/>
          <w:lang w:val="es-ES" w:eastAsia="en-US"/>
        </w:rPr>
        <w:fldChar w:fldCharType="end"/>
      </w:r>
      <w:r w:rsidRPr="00F8465B">
        <w:rPr>
          <w:rFonts w:ascii="Cambria" w:hAnsi="Cambria"/>
          <w:kern w:val="28"/>
          <w:sz w:val="24"/>
          <w:szCs w:val="24"/>
          <w:u w:val="single"/>
          <w:lang w:val="es-ES" w:eastAsia="en-US"/>
        </w:rPr>
        <w:fldChar w:fldCharType="begin"/>
      </w:r>
      <w:r w:rsidRPr="00F8465B">
        <w:rPr>
          <w:rFonts w:ascii="Cambria" w:hAnsi="Cambria"/>
          <w:kern w:val="28"/>
          <w:sz w:val="24"/>
          <w:szCs w:val="24"/>
          <w:u w:val="single"/>
          <w:lang w:val="es-ES" w:eastAsia="en-US"/>
        </w:rPr>
        <w:instrText xml:space="preserve">SEQ nivel1 \h \r0 </w:instrText>
      </w:r>
      <w:r w:rsidRPr="00F8465B">
        <w:rPr>
          <w:rFonts w:ascii="Cambria" w:hAnsi="Cambria"/>
          <w:kern w:val="28"/>
          <w:sz w:val="24"/>
          <w:szCs w:val="24"/>
          <w:u w:val="single"/>
          <w:lang w:val="es-ES" w:eastAsia="en-US"/>
        </w:rPr>
        <w:fldChar w:fldCharType="end"/>
      </w:r>
      <w:r w:rsidRPr="00F8465B">
        <w:rPr>
          <w:rFonts w:ascii="Cambria" w:hAnsi="Cambria"/>
          <w:kern w:val="28"/>
          <w:sz w:val="24"/>
          <w:szCs w:val="24"/>
          <w:u w:val="single"/>
          <w:lang w:val="es-ES" w:eastAsia="en-US"/>
        </w:rPr>
        <w:fldChar w:fldCharType="begin"/>
      </w:r>
      <w:r w:rsidRPr="00F8465B">
        <w:rPr>
          <w:rFonts w:ascii="Cambria" w:hAnsi="Cambria"/>
          <w:kern w:val="28"/>
          <w:sz w:val="24"/>
          <w:szCs w:val="24"/>
          <w:u w:val="single"/>
          <w:lang w:val="es-ES" w:eastAsia="en-US"/>
        </w:rPr>
        <w:instrText xml:space="preserve">SEQ nivel2 \h \r0 </w:instrText>
      </w:r>
      <w:r w:rsidRPr="00F8465B">
        <w:rPr>
          <w:rFonts w:ascii="Cambria" w:hAnsi="Cambria"/>
          <w:kern w:val="28"/>
          <w:sz w:val="24"/>
          <w:szCs w:val="24"/>
          <w:u w:val="single"/>
          <w:lang w:val="es-ES" w:eastAsia="en-US"/>
        </w:rPr>
        <w:fldChar w:fldCharType="end"/>
      </w:r>
      <w:r w:rsidRPr="00F8465B">
        <w:rPr>
          <w:rFonts w:ascii="Cambria" w:hAnsi="Cambria"/>
          <w:kern w:val="28"/>
          <w:sz w:val="24"/>
          <w:szCs w:val="24"/>
          <w:u w:val="single"/>
          <w:lang w:val="es-ES" w:eastAsia="en-US"/>
        </w:rPr>
        <w:fldChar w:fldCharType="begin"/>
      </w:r>
      <w:r w:rsidRPr="00F8465B">
        <w:rPr>
          <w:rFonts w:ascii="Cambria" w:hAnsi="Cambria"/>
          <w:kern w:val="28"/>
          <w:sz w:val="24"/>
          <w:szCs w:val="24"/>
          <w:u w:val="single"/>
          <w:lang w:val="es-ES" w:eastAsia="en-US"/>
        </w:rPr>
        <w:instrText xml:space="preserve">SEQ nivel3 \h \r0 </w:instrText>
      </w:r>
      <w:r w:rsidRPr="00F8465B">
        <w:rPr>
          <w:rFonts w:ascii="Cambria" w:hAnsi="Cambria"/>
          <w:kern w:val="28"/>
          <w:sz w:val="24"/>
          <w:szCs w:val="24"/>
          <w:u w:val="single"/>
          <w:lang w:val="es-ES" w:eastAsia="en-US"/>
        </w:rPr>
        <w:fldChar w:fldCharType="end"/>
      </w:r>
      <w:r w:rsidRPr="00F8465B">
        <w:rPr>
          <w:rFonts w:ascii="Cambria" w:hAnsi="Cambria"/>
          <w:kern w:val="28"/>
          <w:sz w:val="24"/>
          <w:szCs w:val="24"/>
          <w:u w:val="single"/>
          <w:lang w:val="es-ES" w:eastAsia="en-US"/>
        </w:rPr>
        <w:fldChar w:fldCharType="begin"/>
      </w:r>
      <w:r w:rsidRPr="00F8465B">
        <w:rPr>
          <w:rFonts w:ascii="Cambria" w:hAnsi="Cambria"/>
          <w:kern w:val="28"/>
          <w:sz w:val="24"/>
          <w:szCs w:val="24"/>
          <w:u w:val="single"/>
          <w:lang w:val="es-ES" w:eastAsia="en-US"/>
        </w:rPr>
        <w:instrText xml:space="preserve">SEQ nivel4 \h \r0 </w:instrText>
      </w:r>
      <w:r w:rsidRPr="00F8465B">
        <w:rPr>
          <w:rFonts w:ascii="Cambria" w:hAnsi="Cambria"/>
          <w:kern w:val="28"/>
          <w:sz w:val="24"/>
          <w:szCs w:val="24"/>
          <w:u w:val="single"/>
          <w:lang w:val="es-ES" w:eastAsia="en-US"/>
        </w:rPr>
        <w:fldChar w:fldCharType="end"/>
      </w:r>
      <w:r w:rsidRPr="00F8465B">
        <w:rPr>
          <w:rFonts w:ascii="Cambria" w:hAnsi="Cambria"/>
          <w:kern w:val="28"/>
          <w:sz w:val="24"/>
          <w:szCs w:val="24"/>
          <w:u w:val="single"/>
          <w:lang w:val="es-ES" w:eastAsia="en-US"/>
        </w:rPr>
        <w:fldChar w:fldCharType="begin"/>
      </w:r>
      <w:r w:rsidRPr="00F8465B">
        <w:rPr>
          <w:rFonts w:ascii="Cambria" w:hAnsi="Cambria"/>
          <w:kern w:val="28"/>
          <w:sz w:val="24"/>
          <w:szCs w:val="24"/>
          <w:u w:val="single"/>
          <w:lang w:val="es-ES" w:eastAsia="en-US"/>
        </w:rPr>
        <w:instrText xml:space="preserve">SEQ nivel5 \h \r0 </w:instrText>
      </w:r>
      <w:r w:rsidRPr="00F8465B">
        <w:rPr>
          <w:rFonts w:ascii="Cambria" w:hAnsi="Cambria"/>
          <w:kern w:val="28"/>
          <w:sz w:val="24"/>
          <w:szCs w:val="24"/>
          <w:u w:val="single"/>
          <w:lang w:val="es-ES" w:eastAsia="en-US"/>
        </w:rPr>
        <w:fldChar w:fldCharType="end"/>
      </w:r>
      <w:r w:rsidRPr="00F8465B">
        <w:rPr>
          <w:rFonts w:ascii="Cambria" w:hAnsi="Cambria"/>
          <w:kern w:val="28"/>
          <w:sz w:val="24"/>
          <w:szCs w:val="24"/>
          <w:u w:val="single"/>
          <w:lang w:val="es-ES" w:eastAsia="en-US"/>
        </w:rPr>
        <w:fldChar w:fldCharType="begin"/>
      </w:r>
      <w:r w:rsidRPr="00F8465B">
        <w:rPr>
          <w:rFonts w:ascii="Cambria" w:hAnsi="Cambria"/>
          <w:kern w:val="28"/>
          <w:sz w:val="24"/>
          <w:szCs w:val="24"/>
          <w:u w:val="single"/>
          <w:lang w:val="es-ES" w:eastAsia="en-US"/>
        </w:rPr>
        <w:instrText xml:space="preserve">SEQ nivel6 \h \r0 </w:instrText>
      </w:r>
      <w:r w:rsidRPr="00F8465B">
        <w:rPr>
          <w:rFonts w:ascii="Cambria" w:hAnsi="Cambria"/>
          <w:kern w:val="28"/>
          <w:sz w:val="24"/>
          <w:szCs w:val="24"/>
          <w:u w:val="single"/>
          <w:lang w:val="es-ES" w:eastAsia="en-US"/>
        </w:rPr>
        <w:fldChar w:fldCharType="end"/>
      </w:r>
      <w:r w:rsidRPr="00F8465B">
        <w:rPr>
          <w:rFonts w:ascii="Cambria" w:hAnsi="Cambria"/>
          <w:kern w:val="28"/>
          <w:sz w:val="24"/>
          <w:szCs w:val="24"/>
          <w:u w:val="single"/>
          <w:lang w:val="es-ES" w:eastAsia="en-US"/>
        </w:rPr>
        <w:fldChar w:fldCharType="begin"/>
      </w:r>
      <w:r w:rsidRPr="00F8465B">
        <w:rPr>
          <w:rFonts w:ascii="Cambria" w:hAnsi="Cambria"/>
          <w:kern w:val="28"/>
          <w:sz w:val="24"/>
          <w:szCs w:val="24"/>
          <w:u w:val="single"/>
          <w:lang w:val="es-ES" w:eastAsia="en-US"/>
        </w:rPr>
        <w:instrText xml:space="preserve">SEQ nivel7 \h \r0 </w:instrText>
      </w:r>
      <w:r w:rsidRPr="00F8465B">
        <w:rPr>
          <w:rFonts w:ascii="Cambria" w:hAnsi="Cambria"/>
          <w:kern w:val="28"/>
          <w:sz w:val="24"/>
          <w:szCs w:val="24"/>
          <w:u w:val="single"/>
          <w:lang w:val="es-ES" w:eastAsia="en-US"/>
        </w:rPr>
        <w:fldChar w:fldCharType="end"/>
      </w:r>
      <w:r w:rsidR="00E703CF" w:rsidRPr="00F8465B">
        <w:rPr>
          <w:rFonts w:ascii="Cambria" w:hAnsi="Cambria"/>
          <w:kern w:val="28"/>
          <w:sz w:val="24"/>
          <w:szCs w:val="24"/>
          <w:u w:val="single"/>
          <w:lang w:val="es-ES" w:eastAsia="en-US"/>
        </w:rPr>
        <w:t>Actividad de la empresa</w:t>
      </w:r>
    </w:p>
    <w:p w14:paraId="0A657BD0" w14:textId="77777777" w:rsidR="00171D9B" w:rsidRPr="00F8465B" w:rsidRDefault="00171D9B" w:rsidP="0024783F">
      <w:pPr>
        <w:rPr>
          <w:rFonts w:ascii="Cambria" w:hAnsi="Cambria"/>
          <w:sz w:val="24"/>
          <w:szCs w:val="24"/>
        </w:rPr>
      </w:pPr>
    </w:p>
    <w:p w14:paraId="724B9561" w14:textId="484C1A0A" w:rsidR="00171D9B" w:rsidRDefault="00171D9B" w:rsidP="00047906">
      <w:pPr>
        <w:pStyle w:val="Ttulo1a"/>
        <w:ind w:left="567"/>
        <w:rPr>
          <w:rFonts w:ascii="Cambria" w:hAnsi="Cambria"/>
          <w:sz w:val="24"/>
          <w:szCs w:val="24"/>
        </w:rPr>
      </w:pPr>
      <w:r w:rsidRPr="00F8465B">
        <w:rPr>
          <w:rFonts w:ascii="Cambria" w:hAnsi="Cambria"/>
          <w:sz w:val="24"/>
          <w:szCs w:val="24"/>
        </w:rPr>
        <w:t xml:space="preserve">COFIVACASA, S.A.U. </w:t>
      </w:r>
      <w:r w:rsidR="00C309AE" w:rsidRPr="00F8465B">
        <w:rPr>
          <w:rFonts w:ascii="Cambria" w:hAnsi="Cambria"/>
          <w:sz w:val="24"/>
          <w:szCs w:val="24"/>
        </w:rPr>
        <w:t xml:space="preserve">S.M.E. </w:t>
      </w:r>
      <w:r w:rsidRPr="00F8465B">
        <w:rPr>
          <w:rFonts w:ascii="Cambria" w:hAnsi="Cambria"/>
          <w:sz w:val="24"/>
          <w:szCs w:val="24"/>
        </w:rPr>
        <w:t xml:space="preserve">(Sociedad Unipersonal) (COFIVACASA o la Sociedad en adelante) se constituyó el 21 de mayo de 1957, como sociedad anónima de duración indefinida, con la denominación de COMERCIAL Y FINANCIERA VASCO-CASTELLANA, S.A., habiendo cambiado su nombre al actual mediante escritura pública de fecha 12 de mayo de </w:t>
      </w:r>
      <w:r w:rsidRPr="000523F8">
        <w:rPr>
          <w:rFonts w:ascii="Cambria" w:hAnsi="Cambria"/>
          <w:sz w:val="24"/>
          <w:szCs w:val="24"/>
        </w:rPr>
        <w:t xml:space="preserve">1989. Con fecha </w:t>
      </w:r>
      <w:r w:rsidR="000523F8" w:rsidRPr="000523F8">
        <w:rPr>
          <w:rFonts w:ascii="Cambria" w:hAnsi="Cambria"/>
          <w:sz w:val="24"/>
          <w:szCs w:val="24"/>
        </w:rPr>
        <w:t>28</w:t>
      </w:r>
      <w:r w:rsidR="00A40E65" w:rsidRPr="000523F8">
        <w:rPr>
          <w:rFonts w:ascii="Cambria" w:hAnsi="Cambria"/>
          <w:sz w:val="24"/>
          <w:szCs w:val="24"/>
        </w:rPr>
        <w:t xml:space="preserve"> </w:t>
      </w:r>
      <w:r w:rsidRPr="000523F8">
        <w:rPr>
          <w:rFonts w:ascii="Cambria" w:hAnsi="Cambria"/>
          <w:sz w:val="24"/>
          <w:szCs w:val="24"/>
        </w:rPr>
        <w:t>de</w:t>
      </w:r>
      <w:r w:rsidR="00A40E65" w:rsidRPr="000523F8">
        <w:rPr>
          <w:rFonts w:ascii="Cambria" w:hAnsi="Cambria"/>
          <w:sz w:val="24"/>
          <w:szCs w:val="24"/>
        </w:rPr>
        <w:t xml:space="preserve"> enero</w:t>
      </w:r>
      <w:r w:rsidRPr="000523F8">
        <w:rPr>
          <w:rFonts w:ascii="Cambria" w:hAnsi="Cambria"/>
          <w:sz w:val="24"/>
          <w:szCs w:val="24"/>
        </w:rPr>
        <w:t xml:space="preserve"> de 20</w:t>
      </w:r>
      <w:r w:rsidR="00A40E65" w:rsidRPr="000523F8">
        <w:rPr>
          <w:rFonts w:ascii="Cambria" w:hAnsi="Cambria"/>
          <w:sz w:val="24"/>
          <w:szCs w:val="24"/>
        </w:rPr>
        <w:t>19</w:t>
      </w:r>
      <w:r w:rsidR="000F6348" w:rsidRPr="000523F8">
        <w:rPr>
          <w:rFonts w:ascii="Cambria" w:hAnsi="Cambria"/>
          <w:sz w:val="24"/>
          <w:szCs w:val="24"/>
        </w:rPr>
        <w:t>,</w:t>
      </w:r>
      <w:r w:rsidRPr="000523F8">
        <w:rPr>
          <w:rFonts w:ascii="Cambria" w:hAnsi="Cambria"/>
          <w:sz w:val="24"/>
          <w:szCs w:val="24"/>
        </w:rPr>
        <w:t xml:space="preserve"> la Sociedad</w:t>
      </w:r>
      <w:r w:rsidRPr="00F379C8">
        <w:rPr>
          <w:rFonts w:ascii="Cambria" w:hAnsi="Cambria"/>
          <w:sz w:val="24"/>
          <w:szCs w:val="24"/>
        </w:rPr>
        <w:t xml:space="preserve"> </w:t>
      </w:r>
      <w:r w:rsidR="00442984">
        <w:rPr>
          <w:rFonts w:ascii="Cambria" w:hAnsi="Cambria"/>
          <w:sz w:val="24"/>
          <w:szCs w:val="24"/>
        </w:rPr>
        <w:t xml:space="preserve">cambió </w:t>
      </w:r>
      <w:r w:rsidRPr="00F379C8">
        <w:rPr>
          <w:rFonts w:ascii="Cambria" w:hAnsi="Cambria"/>
          <w:sz w:val="24"/>
          <w:szCs w:val="24"/>
        </w:rPr>
        <w:t xml:space="preserve">su domicilio social, que se encuentra actualmente en </w:t>
      </w:r>
      <w:r w:rsidR="00A565D7" w:rsidRPr="000523F8">
        <w:rPr>
          <w:rFonts w:ascii="Cambria" w:hAnsi="Cambria"/>
          <w:sz w:val="24"/>
          <w:szCs w:val="24"/>
        </w:rPr>
        <w:t xml:space="preserve">la </w:t>
      </w:r>
      <w:r w:rsidR="000523F8" w:rsidRPr="000523F8">
        <w:rPr>
          <w:rFonts w:ascii="Cambria" w:hAnsi="Cambria"/>
          <w:sz w:val="24"/>
          <w:szCs w:val="24"/>
        </w:rPr>
        <w:t>A</w:t>
      </w:r>
      <w:r w:rsidR="00A40E65" w:rsidRPr="000523F8">
        <w:rPr>
          <w:rFonts w:ascii="Cambria" w:hAnsi="Cambria"/>
          <w:sz w:val="24"/>
          <w:szCs w:val="24"/>
        </w:rPr>
        <w:t>venida General Perón 38 de Madrid</w:t>
      </w:r>
      <w:r w:rsidR="00A565D7" w:rsidRPr="000523F8">
        <w:rPr>
          <w:rFonts w:ascii="Cambria" w:hAnsi="Cambria"/>
          <w:sz w:val="24"/>
          <w:szCs w:val="24"/>
        </w:rPr>
        <w:t>.</w:t>
      </w:r>
    </w:p>
    <w:p w14:paraId="58AE9AA1" w14:textId="77777777" w:rsidR="00B55555" w:rsidRDefault="00B55555" w:rsidP="00B55555"/>
    <w:p w14:paraId="3D6EFE03" w14:textId="77777777" w:rsidR="00B55555" w:rsidRPr="00B55555" w:rsidRDefault="00B55555" w:rsidP="00B55555">
      <w:pPr>
        <w:ind w:left="567"/>
        <w:rPr>
          <w:rFonts w:ascii="Cambria" w:hAnsi="Cambria"/>
          <w:sz w:val="24"/>
          <w:szCs w:val="24"/>
        </w:rPr>
      </w:pPr>
      <w:r w:rsidRPr="00B55555">
        <w:rPr>
          <w:rFonts w:ascii="Cambria" w:hAnsi="Cambria"/>
          <w:sz w:val="24"/>
          <w:szCs w:val="24"/>
        </w:rPr>
        <w:t xml:space="preserve">Por Junta General </w:t>
      </w:r>
      <w:r>
        <w:rPr>
          <w:rFonts w:ascii="Cambria" w:hAnsi="Cambria"/>
          <w:sz w:val="24"/>
          <w:szCs w:val="24"/>
        </w:rPr>
        <w:t>Extraordinaria de fecha 1 de febrero de 2017, se adaptó la denominación social a lo dispuesto en el art. 111 de la Ley 40/2015, de 1 de octubre, de Régimen Jurídico del Sector Público, añadiendo a su denominación social Sociedad Mercantil Estatal S.M.E.</w:t>
      </w:r>
    </w:p>
    <w:p w14:paraId="661385AA" w14:textId="77777777" w:rsidR="00C309AE" w:rsidRPr="00F8465B" w:rsidRDefault="00C309AE" w:rsidP="002D6127"/>
    <w:p w14:paraId="15FBBD07" w14:textId="77777777" w:rsidR="00171D9B" w:rsidRPr="00F8465B" w:rsidRDefault="00171D9B" w:rsidP="00047906">
      <w:pPr>
        <w:pStyle w:val="Ttulo1a"/>
        <w:ind w:left="567"/>
        <w:rPr>
          <w:rFonts w:ascii="Cambria" w:hAnsi="Cambria"/>
          <w:sz w:val="24"/>
          <w:szCs w:val="24"/>
        </w:rPr>
      </w:pPr>
      <w:r w:rsidRPr="00F8465B">
        <w:rPr>
          <w:rFonts w:ascii="Cambria" w:hAnsi="Cambria"/>
          <w:sz w:val="24"/>
          <w:szCs w:val="24"/>
        </w:rPr>
        <w:t>Constituye su objeto social:</w:t>
      </w:r>
    </w:p>
    <w:p w14:paraId="758F6917" w14:textId="77777777" w:rsidR="00171D9B" w:rsidRPr="00F8465B" w:rsidRDefault="00171D9B" w:rsidP="0024783F">
      <w:pPr>
        <w:rPr>
          <w:rFonts w:ascii="Cambria" w:hAnsi="Cambria"/>
          <w:sz w:val="24"/>
          <w:szCs w:val="24"/>
        </w:rPr>
      </w:pPr>
    </w:p>
    <w:p w14:paraId="19BF965D" w14:textId="77777777" w:rsidR="00171D9B" w:rsidRPr="00F8465B" w:rsidRDefault="00171D9B" w:rsidP="00047906">
      <w:pPr>
        <w:numPr>
          <w:ilvl w:val="0"/>
          <w:numId w:val="1"/>
        </w:numPr>
        <w:ind w:left="993" w:hanging="426"/>
        <w:rPr>
          <w:rFonts w:ascii="Cambria" w:hAnsi="Cambria"/>
          <w:sz w:val="24"/>
          <w:szCs w:val="24"/>
        </w:rPr>
      </w:pPr>
      <w:r w:rsidRPr="00F8465B">
        <w:rPr>
          <w:rFonts w:ascii="Cambria" w:hAnsi="Cambria"/>
          <w:sz w:val="24"/>
          <w:szCs w:val="24"/>
        </w:rPr>
        <w:t>La compraventa y negociación de valores mobiliarios y participaciones en fondos de inversión, con exclusión de aquellas actividades sujetas a legislación especial.</w:t>
      </w:r>
    </w:p>
    <w:p w14:paraId="65F81CC3" w14:textId="77777777" w:rsidR="00171D9B" w:rsidRPr="00F8465B" w:rsidRDefault="00171D9B" w:rsidP="00047906">
      <w:pPr>
        <w:numPr>
          <w:ilvl w:val="12"/>
          <w:numId w:val="0"/>
        </w:numPr>
        <w:ind w:left="993" w:hanging="426"/>
        <w:rPr>
          <w:rFonts w:ascii="Cambria" w:hAnsi="Cambria"/>
          <w:sz w:val="24"/>
          <w:szCs w:val="24"/>
        </w:rPr>
      </w:pPr>
    </w:p>
    <w:p w14:paraId="7A7460C5" w14:textId="77777777" w:rsidR="00171D9B" w:rsidRPr="00F8465B" w:rsidRDefault="00171D9B" w:rsidP="00047906">
      <w:pPr>
        <w:numPr>
          <w:ilvl w:val="0"/>
          <w:numId w:val="1"/>
        </w:numPr>
        <w:ind w:left="993" w:hanging="426"/>
        <w:rPr>
          <w:rFonts w:ascii="Cambria" w:hAnsi="Cambria"/>
          <w:sz w:val="24"/>
          <w:szCs w:val="24"/>
        </w:rPr>
      </w:pPr>
      <w:r w:rsidRPr="00F8465B">
        <w:rPr>
          <w:rFonts w:ascii="Cambria" w:hAnsi="Cambria"/>
          <w:sz w:val="24"/>
          <w:szCs w:val="24"/>
        </w:rPr>
        <w:t>La compraventa y administración de fincas, la compraventa, importación y exportación de efectos y materiales.</w:t>
      </w:r>
    </w:p>
    <w:p w14:paraId="5DB1500A" w14:textId="77777777" w:rsidR="00171D9B" w:rsidRPr="00F8465B" w:rsidRDefault="00171D9B" w:rsidP="00047906">
      <w:pPr>
        <w:numPr>
          <w:ilvl w:val="12"/>
          <w:numId w:val="0"/>
        </w:numPr>
        <w:ind w:left="993" w:hanging="426"/>
        <w:rPr>
          <w:rFonts w:ascii="Cambria" w:hAnsi="Cambria"/>
          <w:sz w:val="24"/>
          <w:szCs w:val="24"/>
        </w:rPr>
      </w:pPr>
    </w:p>
    <w:p w14:paraId="76586DD1" w14:textId="77777777" w:rsidR="00171D9B" w:rsidRPr="00F8465B" w:rsidRDefault="00171D9B" w:rsidP="00047906">
      <w:pPr>
        <w:numPr>
          <w:ilvl w:val="0"/>
          <w:numId w:val="1"/>
        </w:numPr>
        <w:ind w:left="993" w:hanging="426"/>
        <w:rPr>
          <w:rFonts w:ascii="Cambria" w:hAnsi="Cambria"/>
          <w:sz w:val="24"/>
          <w:szCs w:val="24"/>
        </w:rPr>
      </w:pPr>
      <w:r w:rsidRPr="00F8465B">
        <w:rPr>
          <w:rFonts w:ascii="Cambria" w:hAnsi="Cambria"/>
          <w:sz w:val="24"/>
          <w:szCs w:val="24"/>
        </w:rPr>
        <w:t>La prestación de toda clase de servicios de asesoramiento financiero y asistencia técnica.</w:t>
      </w:r>
    </w:p>
    <w:p w14:paraId="3979D121" w14:textId="77777777" w:rsidR="00171D9B" w:rsidRPr="00F8465B" w:rsidRDefault="00171D9B" w:rsidP="00047906">
      <w:pPr>
        <w:numPr>
          <w:ilvl w:val="12"/>
          <w:numId w:val="0"/>
        </w:numPr>
        <w:ind w:left="993" w:hanging="426"/>
        <w:rPr>
          <w:rFonts w:ascii="Cambria" w:hAnsi="Cambria"/>
          <w:sz w:val="24"/>
          <w:szCs w:val="24"/>
        </w:rPr>
      </w:pPr>
    </w:p>
    <w:p w14:paraId="1158AF8A" w14:textId="77777777" w:rsidR="00171D9B" w:rsidRPr="00F8465B" w:rsidRDefault="00171D9B" w:rsidP="00047906">
      <w:pPr>
        <w:numPr>
          <w:ilvl w:val="0"/>
          <w:numId w:val="1"/>
        </w:numPr>
        <w:ind w:left="993" w:hanging="426"/>
        <w:rPr>
          <w:rFonts w:ascii="Cambria" w:hAnsi="Cambria"/>
          <w:sz w:val="24"/>
          <w:szCs w:val="24"/>
        </w:rPr>
      </w:pPr>
      <w:r w:rsidRPr="00F8465B">
        <w:rPr>
          <w:rFonts w:ascii="Cambria" w:hAnsi="Cambria"/>
          <w:sz w:val="24"/>
          <w:szCs w:val="24"/>
        </w:rPr>
        <w:t>La adquisición y explotación de bienes inmuebles.</w:t>
      </w:r>
    </w:p>
    <w:p w14:paraId="1252FEBA" w14:textId="77777777" w:rsidR="00957985" w:rsidRPr="00F8465B" w:rsidRDefault="00957985" w:rsidP="00047906">
      <w:pPr>
        <w:ind w:left="993" w:hanging="426"/>
        <w:rPr>
          <w:rFonts w:ascii="Cambria" w:hAnsi="Cambria"/>
          <w:sz w:val="24"/>
          <w:szCs w:val="24"/>
        </w:rPr>
      </w:pPr>
    </w:p>
    <w:p w14:paraId="1502E4E3" w14:textId="77777777" w:rsidR="00957985" w:rsidRPr="00F8465B" w:rsidRDefault="00957985" w:rsidP="00047906">
      <w:pPr>
        <w:numPr>
          <w:ilvl w:val="0"/>
          <w:numId w:val="1"/>
        </w:numPr>
        <w:ind w:left="993" w:hanging="426"/>
        <w:rPr>
          <w:rFonts w:ascii="Cambria" w:hAnsi="Cambria"/>
          <w:sz w:val="24"/>
          <w:szCs w:val="24"/>
        </w:rPr>
      </w:pPr>
      <w:r w:rsidRPr="00F8465B">
        <w:rPr>
          <w:rFonts w:ascii="Cambria" w:hAnsi="Cambria"/>
          <w:sz w:val="24"/>
          <w:szCs w:val="24"/>
        </w:rPr>
        <w:t>Llevar a cabo procesos de liquidación y extinción de sociedades y entidades provenientes del Sector Público Empresarial y Estatal que se encuentren sin actividad industrial o comercial.</w:t>
      </w:r>
    </w:p>
    <w:p w14:paraId="2B139E99" w14:textId="77777777" w:rsidR="00957985" w:rsidRPr="00F8465B" w:rsidRDefault="00957985" w:rsidP="00047906">
      <w:pPr>
        <w:ind w:left="993" w:hanging="426"/>
        <w:rPr>
          <w:rFonts w:ascii="Cambria" w:hAnsi="Cambria"/>
          <w:sz w:val="24"/>
          <w:szCs w:val="24"/>
        </w:rPr>
      </w:pPr>
    </w:p>
    <w:p w14:paraId="2AB82E06" w14:textId="77777777" w:rsidR="00AF096C" w:rsidRPr="00F8465B" w:rsidRDefault="00957985" w:rsidP="00047906">
      <w:pPr>
        <w:numPr>
          <w:ilvl w:val="0"/>
          <w:numId w:val="1"/>
        </w:numPr>
        <w:ind w:left="993" w:hanging="426"/>
        <w:rPr>
          <w:rFonts w:ascii="Cambria" w:hAnsi="Cambria"/>
          <w:sz w:val="24"/>
          <w:szCs w:val="24"/>
        </w:rPr>
      </w:pPr>
      <w:r w:rsidRPr="00F8465B">
        <w:rPr>
          <w:rFonts w:ascii="Cambria" w:hAnsi="Cambria"/>
          <w:sz w:val="24"/>
          <w:szCs w:val="24"/>
        </w:rPr>
        <w:t>La gestión coordinada de sus participaciones accionariales en distintas sociedades y entidades cuyo capital pertenece al Sector Público Empresarial y Estatal u Organismos dependientes del mismo, a cuyos efectos podrá suscribir acuerdos de gestión o de cualquier naturaleza jurídica así como adquirir las acciones o participaciones representativas del capital social de las entidades antes citadas, así como de cualquiera de sus filiales o sociedades participadas e igualmente adquirir los títulos susceptibles de convertirse en acciones o participaciones emitidos por cualquiera de las sociedades o entidades a que se ha hecho alusión.</w:t>
      </w:r>
    </w:p>
    <w:p w14:paraId="76CA58DE" w14:textId="77777777" w:rsidR="002C3AAC" w:rsidRPr="00F8465B" w:rsidRDefault="002C3AAC" w:rsidP="00047906">
      <w:pPr>
        <w:ind w:left="993" w:hanging="426"/>
        <w:rPr>
          <w:rFonts w:ascii="Cambria" w:hAnsi="Cambria"/>
          <w:sz w:val="24"/>
          <w:szCs w:val="24"/>
        </w:rPr>
      </w:pPr>
    </w:p>
    <w:p w14:paraId="4BC041CC" w14:textId="77777777" w:rsidR="0096238F" w:rsidRPr="00F8465B" w:rsidRDefault="0096238F">
      <w:pPr>
        <w:keepLines w:val="0"/>
        <w:widowControl/>
        <w:jc w:val="left"/>
        <w:rPr>
          <w:rFonts w:ascii="Cambria" w:hAnsi="Cambria"/>
          <w:sz w:val="24"/>
          <w:szCs w:val="24"/>
        </w:rPr>
      </w:pPr>
      <w:r w:rsidRPr="00F8465B">
        <w:rPr>
          <w:rFonts w:ascii="Cambria" w:hAnsi="Cambria"/>
          <w:sz w:val="24"/>
          <w:szCs w:val="24"/>
        </w:rPr>
        <w:br w:type="page"/>
      </w:r>
    </w:p>
    <w:p w14:paraId="29A90069" w14:textId="77777777" w:rsidR="0096238F" w:rsidRPr="00F8465B" w:rsidRDefault="0096238F" w:rsidP="002D6127">
      <w:pPr>
        <w:ind w:left="993"/>
        <w:rPr>
          <w:rFonts w:ascii="Cambria" w:hAnsi="Cambria"/>
          <w:sz w:val="24"/>
          <w:szCs w:val="24"/>
        </w:rPr>
      </w:pPr>
    </w:p>
    <w:p w14:paraId="538172B1" w14:textId="77777777" w:rsidR="0096238F" w:rsidRPr="00F8465B" w:rsidRDefault="0096238F" w:rsidP="002D6127">
      <w:pPr>
        <w:pStyle w:val="Prrafodelista"/>
        <w:rPr>
          <w:rFonts w:ascii="Cambria" w:hAnsi="Cambria"/>
          <w:sz w:val="24"/>
          <w:szCs w:val="24"/>
        </w:rPr>
      </w:pPr>
    </w:p>
    <w:p w14:paraId="2819D322" w14:textId="77777777" w:rsidR="00C309AE" w:rsidRPr="00F8465B" w:rsidRDefault="00AF096C" w:rsidP="002D6127">
      <w:pPr>
        <w:numPr>
          <w:ilvl w:val="0"/>
          <w:numId w:val="1"/>
        </w:numPr>
        <w:ind w:left="993" w:hanging="426"/>
        <w:rPr>
          <w:rFonts w:ascii="Cambria" w:hAnsi="Cambria"/>
          <w:sz w:val="24"/>
          <w:szCs w:val="24"/>
        </w:rPr>
      </w:pPr>
      <w:r w:rsidRPr="00F8465B">
        <w:rPr>
          <w:rFonts w:ascii="Cambria" w:hAnsi="Cambria"/>
          <w:sz w:val="24"/>
          <w:szCs w:val="24"/>
        </w:rPr>
        <w:t>La gestión coordinada de los compromisos y derechos asumidos por sucesión universal de otras sociedades o entidades y en especial del personal pasivo proveniente de esas sociedades, así como la administración, tenencia, explotación, cesión, transmisión, enajenación o cualquier negocio jurídico conexo, complementario o derivado de lo anterior respecto de los bienes asumidos tendentes a la consecución de finalizar y cancelar ordenadamente los derechos y obligaciones adquiridos.</w:t>
      </w:r>
    </w:p>
    <w:p w14:paraId="01C5893C" w14:textId="77777777" w:rsidR="006B7538" w:rsidRPr="00F8465B" w:rsidRDefault="00C309AE" w:rsidP="002D6127">
      <w:pPr>
        <w:ind w:left="993"/>
        <w:rPr>
          <w:rFonts w:ascii="Cambria" w:hAnsi="Cambria"/>
          <w:sz w:val="24"/>
          <w:szCs w:val="24"/>
        </w:rPr>
      </w:pPr>
      <w:r w:rsidRPr="00F8465B" w:rsidDel="00C309AE">
        <w:rPr>
          <w:rFonts w:ascii="Cambria" w:hAnsi="Cambria"/>
          <w:sz w:val="24"/>
          <w:szCs w:val="24"/>
        </w:rPr>
        <w:t xml:space="preserve"> </w:t>
      </w:r>
    </w:p>
    <w:p w14:paraId="122E7A06" w14:textId="77777777" w:rsidR="00171D9B" w:rsidRPr="00F8465B" w:rsidRDefault="00A565D7" w:rsidP="00047906">
      <w:pPr>
        <w:pStyle w:val="Ttulo1a"/>
        <w:ind w:left="567"/>
        <w:rPr>
          <w:rFonts w:ascii="Cambria" w:hAnsi="Cambria"/>
          <w:sz w:val="24"/>
          <w:szCs w:val="24"/>
        </w:rPr>
      </w:pPr>
      <w:r w:rsidRPr="00F8465B">
        <w:rPr>
          <w:rFonts w:ascii="Cambria" w:hAnsi="Cambria"/>
          <w:sz w:val="24"/>
          <w:szCs w:val="24"/>
        </w:rPr>
        <w:t>Con fecha</w:t>
      </w:r>
      <w:r w:rsidR="00171D9B" w:rsidRPr="00F8465B">
        <w:rPr>
          <w:rFonts w:ascii="Cambria" w:hAnsi="Cambria"/>
          <w:sz w:val="24"/>
          <w:szCs w:val="24"/>
        </w:rPr>
        <w:t xml:space="preserve"> 30 de junio de 2002 se procedió a la cesión de los activos y pasivos de las </w:t>
      </w:r>
      <w:r w:rsidR="00E940E5" w:rsidRPr="00F8465B">
        <w:rPr>
          <w:rFonts w:ascii="Cambria" w:hAnsi="Cambria"/>
          <w:sz w:val="24"/>
          <w:szCs w:val="24"/>
        </w:rPr>
        <w:t>S</w:t>
      </w:r>
      <w:r w:rsidR="00171D9B" w:rsidRPr="00F8465B">
        <w:rPr>
          <w:rFonts w:ascii="Cambria" w:hAnsi="Cambria"/>
          <w:sz w:val="24"/>
          <w:szCs w:val="24"/>
        </w:rPr>
        <w:t>ociedades Empresa Nacional para el Desarrollo de la Industria Alimentaria, S.A., Tecnología y Gestión de la Innovación, S.A. e Inirail, S.A. a COFIVACASA.</w:t>
      </w:r>
    </w:p>
    <w:p w14:paraId="1C0BE6A4" w14:textId="77777777" w:rsidR="00171D9B" w:rsidRPr="00F8465B" w:rsidRDefault="00171D9B" w:rsidP="00047906">
      <w:pPr>
        <w:pStyle w:val="Ttulo1a"/>
        <w:ind w:left="567"/>
        <w:rPr>
          <w:rFonts w:ascii="Cambria" w:hAnsi="Cambria"/>
          <w:sz w:val="24"/>
          <w:szCs w:val="24"/>
        </w:rPr>
      </w:pPr>
    </w:p>
    <w:p w14:paraId="0F9BDD60" w14:textId="77777777" w:rsidR="00171D9B" w:rsidRPr="00F8465B" w:rsidRDefault="00171D9B" w:rsidP="00047906">
      <w:pPr>
        <w:pStyle w:val="Ttulo1a"/>
        <w:ind w:left="567"/>
        <w:rPr>
          <w:rFonts w:ascii="Cambria" w:hAnsi="Cambria"/>
          <w:sz w:val="24"/>
          <w:szCs w:val="24"/>
        </w:rPr>
      </w:pPr>
      <w:r w:rsidRPr="00F8465B">
        <w:rPr>
          <w:rFonts w:ascii="Cambria" w:hAnsi="Cambria"/>
          <w:sz w:val="24"/>
          <w:szCs w:val="24"/>
        </w:rPr>
        <w:t>Con fe</w:t>
      </w:r>
      <w:r w:rsidR="00EE3FCA" w:rsidRPr="00F8465B">
        <w:rPr>
          <w:rFonts w:ascii="Cambria" w:hAnsi="Cambria"/>
          <w:sz w:val="24"/>
          <w:szCs w:val="24"/>
        </w:rPr>
        <w:t>cha 30 de s</w:t>
      </w:r>
      <w:r w:rsidRPr="00F8465B">
        <w:rPr>
          <w:rFonts w:ascii="Cambria" w:hAnsi="Cambria"/>
          <w:sz w:val="24"/>
          <w:szCs w:val="24"/>
        </w:rPr>
        <w:t xml:space="preserve">eptiembre de 2003, se procedió a la cesión de los activos y pasivos de </w:t>
      </w:r>
      <w:smartTag w:uri="urn:schemas-microsoft-com:office:smarttags" w:element="PersonName">
        <w:smartTagPr>
          <w:attr w:name="ProductID" w:val="la Sociedad Altos"/>
        </w:smartTagPr>
        <w:r w:rsidRPr="00F8465B">
          <w:rPr>
            <w:rFonts w:ascii="Cambria" w:hAnsi="Cambria"/>
            <w:sz w:val="24"/>
            <w:szCs w:val="24"/>
          </w:rPr>
          <w:t>la Sociedad Altos</w:t>
        </w:r>
      </w:smartTag>
      <w:r w:rsidRPr="00F8465B">
        <w:rPr>
          <w:rFonts w:ascii="Cambria" w:hAnsi="Cambria"/>
          <w:sz w:val="24"/>
          <w:szCs w:val="24"/>
        </w:rPr>
        <w:t xml:space="preserve"> Hornos del Mediterráneo, S.A. (en adelante AHM) a COFIVACASA.</w:t>
      </w:r>
    </w:p>
    <w:p w14:paraId="69885D67" w14:textId="77777777" w:rsidR="00171D9B" w:rsidRPr="00F8465B" w:rsidRDefault="00171D9B" w:rsidP="00047906">
      <w:pPr>
        <w:pStyle w:val="Ttulo1a"/>
        <w:ind w:left="567"/>
        <w:rPr>
          <w:rFonts w:ascii="Cambria" w:hAnsi="Cambria"/>
          <w:sz w:val="24"/>
          <w:szCs w:val="24"/>
        </w:rPr>
      </w:pPr>
    </w:p>
    <w:p w14:paraId="2F7414BB" w14:textId="72AE57E0" w:rsidR="00171D9B" w:rsidRPr="00F8465B" w:rsidRDefault="00171D9B" w:rsidP="00047906">
      <w:pPr>
        <w:pStyle w:val="Ttulo1a"/>
        <w:ind w:left="567"/>
        <w:rPr>
          <w:rFonts w:ascii="Cambria" w:hAnsi="Cambria"/>
          <w:sz w:val="24"/>
          <w:szCs w:val="24"/>
        </w:rPr>
      </w:pPr>
      <w:r w:rsidRPr="00F8465B">
        <w:rPr>
          <w:rFonts w:ascii="Cambria" w:hAnsi="Cambria"/>
          <w:sz w:val="24"/>
          <w:szCs w:val="24"/>
        </w:rPr>
        <w:t>Con fecha 30 de junio de 2005, se procedió a la cesión de los activos y pasivos de la Sociedad Industrias Mecánicas del Noroeste, S.A.U. (en</w:t>
      </w:r>
      <w:r w:rsidR="00DA4445">
        <w:rPr>
          <w:rFonts w:ascii="Cambria" w:hAnsi="Cambria"/>
          <w:sz w:val="24"/>
          <w:szCs w:val="24"/>
        </w:rPr>
        <w:t xml:space="preserve"> </w:t>
      </w:r>
      <w:r w:rsidRPr="00F8465B">
        <w:rPr>
          <w:rFonts w:ascii="Cambria" w:hAnsi="Cambria"/>
          <w:sz w:val="24"/>
          <w:szCs w:val="24"/>
        </w:rPr>
        <w:t>adelante</w:t>
      </w:r>
      <w:r w:rsidR="00DA4445">
        <w:rPr>
          <w:rFonts w:ascii="Cambria" w:hAnsi="Cambria"/>
          <w:sz w:val="24"/>
          <w:szCs w:val="24"/>
        </w:rPr>
        <w:t xml:space="preserve"> </w:t>
      </w:r>
      <w:r w:rsidRPr="00F8465B">
        <w:rPr>
          <w:rFonts w:ascii="Cambria" w:hAnsi="Cambria"/>
          <w:sz w:val="24"/>
          <w:szCs w:val="24"/>
        </w:rPr>
        <w:t>IMENOSA) a COFIVACASA.</w:t>
      </w:r>
    </w:p>
    <w:p w14:paraId="134C1B62" w14:textId="77777777" w:rsidR="00171D9B" w:rsidRPr="00F8465B" w:rsidRDefault="00171D9B" w:rsidP="00047906">
      <w:pPr>
        <w:pStyle w:val="Ttulo1a"/>
        <w:ind w:left="567"/>
        <w:rPr>
          <w:rFonts w:ascii="Cambria" w:hAnsi="Cambria"/>
          <w:sz w:val="24"/>
          <w:szCs w:val="24"/>
        </w:rPr>
      </w:pPr>
    </w:p>
    <w:p w14:paraId="69C34315" w14:textId="77777777" w:rsidR="00171D9B" w:rsidRPr="00F8465B" w:rsidRDefault="002D6927" w:rsidP="00047906">
      <w:pPr>
        <w:pStyle w:val="Ttulo1a"/>
        <w:ind w:left="567"/>
        <w:rPr>
          <w:rFonts w:ascii="Cambria" w:hAnsi="Cambria"/>
          <w:sz w:val="24"/>
          <w:szCs w:val="24"/>
        </w:rPr>
      </w:pPr>
      <w:r w:rsidRPr="00F8465B">
        <w:rPr>
          <w:rFonts w:ascii="Cambria" w:hAnsi="Cambria"/>
          <w:sz w:val="24"/>
          <w:szCs w:val="24"/>
        </w:rPr>
        <w:t>C</w:t>
      </w:r>
      <w:r w:rsidR="00171D9B" w:rsidRPr="00F8465B">
        <w:rPr>
          <w:rFonts w:ascii="Cambria" w:hAnsi="Cambria"/>
          <w:sz w:val="24"/>
          <w:szCs w:val="24"/>
        </w:rPr>
        <w:t>on fecha</w:t>
      </w:r>
      <w:r w:rsidR="00A565D7" w:rsidRPr="00F8465B">
        <w:rPr>
          <w:rFonts w:ascii="Cambria" w:hAnsi="Cambria"/>
          <w:sz w:val="24"/>
          <w:szCs w:val="24"/>
        </w:rPr>
        <w:t xml:space="preserve"> </w:t>
      </w:r>
      <w:r w:rsidR="00B33E41" w:rsidRPr="00F8465B">
        <w:rPr>
          <w:rFonts w:ascii="Cambria" w:hAnsi="Cambria"/>
          <w:sz w:val="24"/>
          <w:szCs w:val="24"/>
        </w:rPr>
        <w:t>30 de junio de 2006, se procedió</w:t>
      </w:r>
      <w:r w:rsidR="00171D9B" w:rsidRPr="00F8465B">
        <w:rPr>
          <w:rFonts w:ascii="Cambria" w:hAnsi="Cambria"/>
          <w:sz w:val="24"/>
          <w:szCs w:val="24"/>
        </w:rPr>
        <w:t xml:space="preserve"> a la cesión de los activos y pasivos de las Sociedades ACENOR, S.A.U. (en adelante, ACENOR) y Empresa Nacional ADARO </w:t>
      </w:r>
      <w:r w:rsidR="00916E48" w:rsidRPr="00F8465B">
        <w:rPr>
          <w:rFonts w:ascii="Cambria" w:hAnsi="Cambria"/>
          <w:sz w:val="24"/>
          <w:szCs w:val="24"/>
        </w:rPr>
        <w:t>S.A.</w:t>
      </w:r>
      <w:r w:rsidR="00171D9B" w:rsidRPr="00F8465B">
        <w:rPr>
          <w:rFonts w:ascii="Cambria" w:hAnsi="Cambria"/>
          <w:sz w:val="24"/>
          <w:szCs w:val="24"/>
        </w:rPr>
        <w:t xml:space="preserve"> (en adelante, ADARO) a COFIVACASA.</w:t>
      </w:r>
    </w:p>
    <w:p w14:paraId="02F17D96" w14:textId="77777777" w:rsidR="00676980" w:rsidRPr="00F8465B" w:rsidRDefault="00676980" w:rsidP="00047906">
      <w:pPr>
        <w:pStyle w:val="Ttulo1a"/>
        <w:ind w:left="567"/>
        <w:rPr>
          <w:rFonts w:ascii="Cambria" w:hAnsi="Cambria"/>
          <w:sz w:val="24"/>
          <w:szCs w:val="24"/>
        </w:rPr>
      </w:pPr>
    </w:p>
    <w:p w14:paraId="056B87C3" w14:textId="77777777" w:rsidR="00A46E95" w:rsidRPr="00F8465B" w:rsidRDefault="001A641C" w:rsidP="00047906">
      <w:pPr>
        <w:pStyle w:val="Ttulo1a"/>
        <w:ind w:left="567"/>
        <w:rPr>
          <w:rFonts w:ascii="Cambria" w:hAnsi="Cambria"/>
          <w:sz w:val="24"/>
          <w:szCs w:val="24"/>
        </w:rPr>
      </w:pPr>
      <w:r w:rsidRPr="00F8465B">
        <w:rPr>
          <w:rFonts w:ascii="Cambria" w:hAnsi="Cambria"/>
          <w:sz w:val="24"/>
          <w:szCs w:val="24"/>
        </w:rPr>
        <w:t xml:space="preserve">Con fecha 1 de enero de 2010, se procedió a la cesión de los activos y pasivos de las </w:t>
      </w:r>
      <w:r w:rsidR="00A46E95" w:rsidRPr="00F8465B">
        <w:rPr>
          <w:rFonts w:ascii="Cambria" w:hAnsi="Cambria"/>
          <w:sz w:val="24"/>
          <w:szCs w:val="24"/>
        </w:rPr>
        <w:t>filiales</w:t>
      </w:r>
      <w:r w:rsidR="00B24FC8" w:rsidRPr="00F8465B">
        <w:rPr>
          <w:rFonts w:ascii="Cambria" w:hAnsi="Cambria"/>
          <w:sz w:val="24"/>
          <w:szCs w:val="24"/>
        </w:rPr>
        <w:t xml:space="preserve"> </w:t>
      </w:r>
      <w:r w:rsidRPr="00F8465B">
        <w:rPr>
          <w:rFonts w:ascii="Cambria" w:hAnsi="Cambria"/>
          <w:sz w:val="24"/>
          <w:szCs w:val="24"/>
        </w:rPr>
        <w:t xml:space="preserve">Babcock Wilcox Española, S.A. (en adelante, BWE) y </w:t>
      </w:r>
      <w:r w:rsidR="00086F9F" w:rsidRPr="00F8465B">
        <w:rPr>
          <w:rFonts w:ascii="Cambria" w:hAnsi="Cambria"/>
          <w:sz w:val="24"/>
          <w:szCs w:val="24"/>
        </w:rPr>
        <w:t>Soluciones Ferrolan</w:t>
      </w:r>
      <w:r w:rsidR="00B24FC8" w:rsidRPr="00F8465B">
        <w:rPr>
          <w:rFonts w:ascii="Cambria" w:hAnsi="Cambria"/>
          <w:sz w:val="24"/>
          <w:szCs w:val="24"/>
        </w:rPr>
        <w:t xml:space="preserve">as, </w:t>
      </w:r>
      <w:r w:rsidR="00E27A7A" w:rsidRPr="00F8465B">
        <w:rPr>
          <w:rFonts w:ascii="Cambria" w:hAnsi="Cambria"/>
          <w:sz w:val="24"/>
          <w:szCs w:val="24"/>
        </w:rPr>
        <w:t>S.A.</w:t>
      </w:r>
      <w:r w:rsidR="00B24FC8" w:rsidRPr="00F8465B">
        <w:rPr>
          <w:rFonts w:ascii="Cambria" w:hAnsi="Cambria"/>
          <w:sz w:val="24"/>
          <w:szCs w:val="24"/>
        </w:rPr>
        <w:t xml:space="preserve"> (en adelante, SOFESA), y de Prerreducidos integrados del Suroes</w:t>
      </w:r>
      <w:r w:rsidR="00A46E95" w:rsidRPr="00F8465B">
        <w:rPr>
          <w:rFonts w:ascii="Cambria" w:hAnsi="Cambria"/>
          <w:sz w:val="24"/>
          <w:szCs w:val="24"/>
        </w:rPr>
        <w:t>te de España, S.A. (</w:t>
      </w:r>
      <w:r w:rsidR="00F379C8">
        <w:rPr>
          <w:rFonts w:ascii="Cambria" w:hAnsi="Cambria"/>
          <w:sz w:val="24"/>
          <w:szCs w:val="24"/>
        </w:rPr>
        <w:t xml:space="preserve">en adelante, </w:t>
      </w:r>
      <w:r w:rsidR="00A46E95" w:rsidRPr="00F8465B">
        <w:rPr>
          <w:rFonts w:ascii="Cambria" w:hAnsi="Cambria"/>
          <w:sz w:val="24"/>
          <w:szCs w:val="24"/>
        </w:rPr>
        <w:t>PRESUR), esta última</w:t>
      </w:r>
      <w:r w:rsidR="00B24FC8" w:rsidRPr="00F8465B">
        <w:rPr>
          <w:rFonts w:ascii="Cambria" w:hAnsi="Cambria"/>
          <w:sz w:val="24"/>
          <w:szCs w:val="24"/>
        </w:rPr>
        <w:t xml:space="preserve"> </w:t>
      </w:r>
      <w:r w:rsidR="00A46E95" w:rsidRPr="00F8465B">
        <w:rPr>
          <w:rFonts w:ascii="Cambria" w:hAnsi="Cambria"/>
          <w:sz w:val="24"/>
          <w:szCs w:val="24"/>
        </w:rPr>
        <w:t>íntegramente participada por SEPI, al amparo de lo dispuesto en el artículo 52.1 de la Ley 3/2009, de 3 de abril, sobre modificaciones estructurales de las sociedades Mercantiles (LMESM).</w:t>
      </w:r>
    </w:p>
    <w:p w14:paraId="0943F406" w14:textId="77777777" w:rsidR="00D46ECB" w:rsidRPr="00F8465B" w:rsidRDefault="00D46ECB" w:rsidP="00047906">
      <w:pPr>
        <w:pStyle w:val="Ttulo1a"/>
        <w:ind w:left="567"/>
        <w:rPr>
          <w:rFonts w:ascii="Cambria" w:hAnsi="Cambria"/>
          <w:sz w:val="24"/>
          <w:szCs w:val="24"/>
        </w:rPr>
      </w:pPr>
    </w:p>
    <w:p w14:paraId="0EF54CC9" w14:textId="77777777" w:rsidR="00D46ECB" w:rsidRPr="00F8465B" w:rsidRDefault="00D46ECB" w:rsidP="00047906">
      <w:pPr>
        <w:pStyle w:val="Ttulo1a"/>
        <w:ind w:left="567"/>
        <w:rPr>
          <w:rFonts w:ascii="Cambria" w:hAnsi="Cambria"/>
          <w:sz w:val="24"/>
          <w:szCs w:val="24"/>
        </w:rPr>
      </w:pPr>
      <w:r w:rsidRPr="00F8465B">
        <w:rPr>
          <w:rFonts w:ascii="Cambria" w:hAnsi="Cambria"/>
          <w:sz w:val="24"/>
          <w:szCs w:val="24"/>
        </w:rPr>
        <w:t>Con fecha 18 de mayo de 2011, se procedió a la firma de la escritura de liquidación de la filial denominada Sociedad para el Desarrollo de Andalucía, S.A. (SODIAN).</w:t>
      </w:r>
    </w:p>
    <w:p w14:paraId="738F7198" w14:textId="77777777" w:rsidR="00D46ECB" w:rsidRPr="00F8465B" w:rsidRDefault="00D46ECB" w:rsidP="00047906">
      <w:pPr>
        <w:pStyle w:val="Ttulo1a"/>
        <w:ind w:left="567"/>
        <w:rPr>
          <w:rFonts w:ascii="Cambria" w:hAnsi="Cambria"/>
          <w:sz w:val="24"/>
          <w:szCs w:val="24"/>
        </w:rPr>
      </w:pPr>
    </w:p>
    <w:p w14:paraId="6105BE77" w14:textId="77777777" w:rsidR="00603CAD" w:rsidRPr="00F8465B" w:rsidRDefault="0035206F" w:rsidP="00047906">
      <w:pPr>
        <w:pStyle w:val="Ttulo1a"/>
        <w:ind w:left="567"/>
        <w:rPr>
          <w:rFonts w:ascii="Cambria" w:hAnsi="Cambria"/>
          <w:sz w:val="24"/>
          <w:szCs w:val="24"/>
        </w:rPr>
      </w:pPr>
      <w:r w:rsidRPr="00F8465B">
        <w:rPr>
          <w:rFonts w:ascii="Cambria" w:hAnsi="Cambria"/>
          <w:sz w:val="24"/>
          <w:szCs w:val="24"/>
        </w:rPr>
        <w:t xml:space="preserve">El </w:t>
      </w:r>
      <w:r w:rsidR="00E940E5" w:rsidRPr="00F8465B">
        <w:rPr>
          <w:rFonts w:ascii="Cambria" w:hAnsi="Cambria"/>
          <w:sz w:val="24"/>
          <w:szCs w:val="24"/>
        </w:rPr>
        <w:t>Consejo</w:t>
      </w:r>
      <w:r w:rsidRPr="00F8465B">
        <w:rPr>
          <w:rFonts w:ascii="Cambria" w:hAnsi="Cambria"/>
          <w:sz w:val="24"/>
          <w:szCs w:val="24"/>
        </w:rPr>
        <w:t xml:space="preserve"> de Ministros de 16 de marzo de 2012, aprobó el plan de reestructuración y racionalización del sector público empresarial y fundacional estatal. En dicho plan, se autorizó entre otras, la extinción de la filial de Cofivacasa, Sociedad Altos Hornos de Vizcaya -</w:t>
      </w:r>
      <w:r w:rsidR="00C82ED4" w:rsidRPr="00C82ED4">
        <w:rPr>
          <w:rFonts w:ascii="Cambria" w:hAnsi="Cambria"/>
          <w:sz w:val="24"/>
          <w:szCs w:val="24"/>
        </w:rPr>
        <w:t xml:space="preserve"> </w:t>
      </w:r>
      <w:r w:rsidR="00C82ED4" w:rsidRPr="00F8465B">
        <w:rPr>
          <w:rFonts w:ascii="Cambria" w:hAnsi="Cambria"/>
          <w:sz w:val="24"/>
          <w:szCs w:val="24"/>
        </w:rPr>
        <w:t>ENSIDESA CAPITAL, S.A.U</w:t>
      </w:r>
      <w:r w:rsidR="00C82ED4" w:rsidRPr="00F8465B" w:rsidDel="00C82ED4">
        <w:rPr>
          <w:rFonts w:ascii="Cambria" w:hAnsi="Cambria"/>
          <w:sz w:val="24"/>
          <w:szCs w:val="24"/>
        </w:rPr>
        <w:t xml:space="preserve"> </w:t>
      </w:r>
      <w:r w:rsidRPr="00F8465B">
        <w:rPr>
          <w:rFonts w:ascii="Cambria" w:hAnsi="Cambria"/>
          <w:sz w:val="24"/>
          <w:szCs w:val="24"/>
        </w:rPr>
        <w:t>(</w:t>
      </w:r>
      <w:r w:rsidR="00C82ED4">
        <w:rPr>
          <w:rFonts w:ascii="Cambria" w:hAnsi="Cambria"/>
          <w:sz w:val="24"/>
          <w:szCs w:val="24"/>
        </w:rPr>
        <w:t xml:space="preserve">En adelante </w:t>
      </w:r>
      <w:r w:rsidRPr="00F8465B">
        <w:rPr>
          <w:rFonts w:ascii="Cambria" w:hAnsi="Cambria"/>
          <w:sz w:val="24"/>
          <w:szCs w:val="24"/>
        </w:rPr>
        <w:t>AEC) transmitiendo en bloque su patrimonio a la matriz de acuerdo con lo dispuesto en el artículo 53 de la Ley 3/2009</w:t>
      </w:r>
      <w:r w:rsidR="00A40E65">
        <w:rPr>
          <w:rFonts w:ascii="Cambria" w:hAnsi="Cambria"/>
          <w:sz w:val="24"/>
          <w:szCs w:val="24"/>
        </w:rPr>
        <w:t xml:space="preserve">, así como la desinversión </w:t>
      </w:r>
      <w:r w:rsidR="00A10D25">
        <w:rPr>
          <w:rFonts w:ascii="Cambria" w:hAnsi="Cambria"/>
          <w:sz w:val="24"/>
          <w:szCs w:val="24"/>
        </w:rPr>
        <w:t xml:space="preserve">de la participación </w:t>
      </w:r>
      <w:r w:rsidR="00A40E65">
        <w:rPr>
          <w:rFonts w:ascii="Cambria" w:hAnsi="Cambria"/>
          <w:sz w:val="24"/>
          <w:szCs w:val="24"/>
        </w:rPr>
        <w:t xml:space="preserve"> de Cofivacasa</w:t>
      </w:r>
      <w:r w:rsidR="00A10D25">
        <w:rPr>
          <w:rFonts w:ascii="Cambria" w:hAnsi="Cambria"/>
          <w:sz w:val="24"/>
          <w:szCs w:val="24"/>
        </w:rPr>
        <w:t xml:space="preserve"> en la filial</w:t>
      </w:r>
      <w:r w:rsidR="00A40E65">
        <w:rPr>
          <w:rFonts w:ascii="Cambria" w:hAnsi="Cambria"/>
          <w:sz w:val="24"/>
          <w:szCs w:val="24"/>
        </w:rPr>
        <w:t xml:space="preserve">,  </w:t>
      </w:r>
      <w:r w:rsidR="00A40E65" w:rsidRPr="00F8465B">
        <w:rPr>
          <w:rFonts w:ascii="Cambria" w:hAnsi="Cambria"/>
          <w:sz w:val="24"/>
          <w:szCs w:val="24"/>
        </w:rPr>
        <w:t>Equipos Termo Metálicos, S.A. S.M.E. (</w:t>
      </w:r>
      <w:r w:rsidR="00C82ED4">
        <w:rPr>
          <w:rFonts w:ascii="Cambria" w:hAnsi="Cambria"/>
          <w:sz w:val="24"/>
          <w:szCs w:val="24"/>
        </w:rPr>
        <w:t xml:space="preserve">en adelante </w:t>
      </w:r>
      <w:r w:rsidR="00A40E65" w:rsidRPr="00F8465B">
        <w:rPr>
          <w:rFonts w:ascii="Cambria" w:hAnsi="Cambria"/>
          <w:sz w:val="24"/>
          <w:szCs w:val="24"/>
        </w:rPr>
        <w:t>ETM) en liquidación</w:t>
      </w:r>
      <w:r w:rsidR="00A10D25">
        <w:rPr>
          <w:rFonts w:ascii="Cambria" w:hAnsi="Cambria"/>
          <w:sz w:val="24"/>
          <w:szCs w:val="24"/>
        </w:rPr>
        <w:t>.</w:t>
      </w:r>
    </w:p>
    <w:p w14:paraId="3468CAF3" w14:textId="77777777" w:rsidR="006B7538" w:rsidRPr="00F8465B" w:rsidRDefault="006B7538" w:rsidP="00047906">
      <w:pPr>
        <w:pStyle w:val="Ttulo1a"/>
        <w:ind w:left="567"/>
        <w:rPr>
          <w:rFonts w:ascii="Cambria" w:hAnsi="Cambria"/>
          <w:sz w:val="24"/>
          <w:szCs w:val="24"/>
        </w:rPr>
      </w:pPr>
    </w:p>
    <w:p w14:paraId="333E9F73" w14:textId="77777777" w:rsidR="0035206F" w:rsidRPr="00F8465B" w:rsidRDefault="0035206F" w:rsidP="00047906">
      <w:pPr>
        <w:pStyle w:val="Ttulo1a"/>
        <w:ind w:left="567"/>
        <w:rPr>
          <w:rFonts w:ascii="Cambria" w:hAnsi="Cambria"/>
          <w:sz w:val="24"/>
          <w:szCs w:val="24"/>
        </w:rPr>
      </w:pPr>
      <w:r w:rsidRPr="00F8465B">
        <w:rPr>
          <w:rFonts w:ascii="Cambria" w:hAnsi="Cambria"/>
          <w:sz w:val="24"/>
          <w:szCs w:val="24"/>
        </w:rPr>
        <w:t xml:space="preserve">En junio de 2013, el </w:t>
      </w:r>
      <w:r w:rsidR="00E940E5" w:rsidRPr="00F8465B">
        <w:rPr>
          <w:rFonts w:ascii="Cambria" w:hAnsi="Cambria"/>
          <w:sz w:val="24"/>
          <w:szCs w:val="24"/>
        </w:rPr>
        <w:t>Consejo</w:t>
      </w:r>
      <w:r w:rsidRPr="00F8465B">
        <w:rPr>
          <w:rFonts w:ascii="Cambria" w:hAnsi="Cambria"/>
          <w:sz w:val="24"/>
          <w:szCs w:val="24"/>
        </w:rPr>
        <w:t xml:space="preserve"> de Administración de SEPI aprobó la absorción de </w:t>
      </w:r>
      <w:r w:rsidR="00A40E65">
        <w:rPr>
          <w:rFonts w:ascii="Cambria" w:hAnsi="Cambria"/>
          <w:sz w:val="24"/>
          <w:szCs w:val="24"/>
        </w:rPr>
        <w:t>AEC</w:t>
      </w:r>
      <w:r w:rsidR="00A40E65" w:rsidRPr="00F8465B">
        <w:rPr>
          <w:rFonts w:ascii="Cambria" w:hAnsi="Cambria"/>
          <w:sz w:val="24"/>
          <w:szCs w:val="24"/>
        </w:rPr>
        <w:t xml:space="preserve"> </w:t>
      </w:r>
      <w:r w:rsidRPr="00F8465B">
        <w:rPr>
          <w:rFonts w:ascii="Cambria" w:hAnsi="Cambria"/>
          <w:sz w:val="24"/>
          <w:szCs w:val="24"/>
        </w:rPr>
        <w:t>por</w:t>
      </w:r>
      <w:r w:rsidR="00DE4664" w:rsidRPr="00F8465B">
        <w:rPr>
          <w:rFonts w:ascii="Cambria" w:hAnsi="Cambria"/>
          <w:sz w:val="24"/>
          <w:szCs w:val="24"/>
        </w:rPr>
        <w:t xml:space="preserve"> COFIVACASA</w:t>
      </w:r>
      <w:r w:rsidRPr="00F8465B">
        <w:rPr>
          <w:rFonts w:ascii="Cambria" w:hAnsi="Cambria"/>
          <w:sz w:val="24"/>
          <w:szCs w:val="24"/>
        </w:rPr>
        <w:t xml:space="preserve"> con efectos contables 1 de enero de 2013.</w:t>
      </w:r>
    </w:p>
    <w:p w14:paraId="0477CA16" w14:textId="77777777" w:rsidR="0096238F" w:rsidRPr="00F8465B" w:rsidRDefault="0096238F">
      <w:pPr>
        <w:keepLines w:val="0"/>
        <w:widowControl/>
        <w:jc w:val="left"/>
        <w:rPr>
          <w:rFonts w:ascii="Cambria" w:hAnsi="Cambria"/>
          <w:sz w:val="24"/>
          <w:szCs w:val="24"/>
        </w:rPr>
      </w:pPr>
      <w:r w:rsidRPr="00F8465B">
        <w:rPr>
          <w:rFonts w:ascii="Cambria" w:hAnsi="Cambria"/>
          <w:sz w:val="24"/>
          <w:szCs w:val="24"/>
        </w:rPr>
        <w:br w:type="page"/>
      </w:r>
    </w:p>
    <w:p w14:paraId="0290502A" w14:textId="77777777" w:rsidR="0035206F" w:rsidRPr="00F8465B" w:rsidRDefault="0035206F" w:rsidP="00047906">
      <w:pPr>
        <w:pStyle w:val="Ttulo1a"/>
        <w:ind w:left="567"/>
        <w:rPr>
          <w:rFonts w:ascii="Cambria" w:hAnsi="Cambria"/>
          <w:sz w:val="24"/>
          <w:szCs w:val="24"/>
        </w:rPr>
      </w:pPr>
    </w:p>
    <w:p w14:paraId="75600823" w14:textId="77777777" w:rsidR="00CD2E6E" w:rsidRDefault="00687793" w:rsidP="002D6127">
      <w:pPr>
        <w:pStyle w:val="Ttulo1a"/>
        <w:ind w:left="567"/>
        <w:rPr>
          <w:rFonts w:ascii="Cambria" w:hAnsi="Cambria"/>
          <w:sz w:val="24"/>
          <w:szCs w:val="24"/>
        </w:rPr>
      </w:pPr>
      <w:r w:rsidRPr="00F8465B">
        <w:rPr>
          <w:rFonts w:ascii="Cambria" w:hAnsi="Cambria"/>
          <w:sz w:val="24"/>
          <w:szCs w:val="24"/>
        </w:rPr>
        <w:t xml:space="preserve">La Junta General Extraordinaria de </w:t>
      </w:r>
      <w:r w:rsidR="00DE4664" w:rsidRPr="00F8465B">
        <w:rPr>
          <w:rFonts w:ascii="Cambria" w:hAnsi="Cambria"/>
          <w:sz w:val="24"/>
          <w:szCs w:val="24"/>
        </w:rPr>
        <w:t>COFIVACASA,</w:t>
      </w:r>
      <w:r w:rsidRPr="00F8465B">
        <w:rPr>
          <w:rFonts w:ascii="Cambria" w:hAnsi="Cambria"/>
          <w:sz w:val="24"/>
          <w:szCs w:val="24"/>
        </w:rPr>
        <w:t xml:space="preserve"> (sociedad absorbente), celebrada el 2 de julio de 2013, aprobó el proyecto de fusión de la Sociedad con </w:t>
      </w:r>
      <w:r w:rsidR="00C82ED4">
        <w:rPr>
          <w:rFonts w:ascii="Cambria" w:hAnsi="Cambria"/>
          <w:sz w:val="24"/>
          <w:szCs w:val="24"/>
        </w:rPr>
        <w:t xml:space="preserve">AEC </w:t>
      </w:r>
      <w:r w:rsidRPr="00F8465B">
        <w:rPr>
          <w:rFonts w:ascii="Cambria" w:hAnsi="Cambria"/>
          <w:sz w:val="24"/>
          <w:szCs w:val="24"/>
        </w:rPr>
        <w:t>(sociedad absorbida), acordando aprobar como balances de fusión los correspondientes al 31 de diciembre de 2012 de dichas sociedades y estableciendo que las operaciones de la sociedad absorbida se entenderían por cuenta de la absorbente desde, inclusive, el 1 de enero de 2013.</w:t>
      </w:r>
    </w:p>
    <w:p w14:paraId="00251F5B" w14:textId="77777777" w:rsidR="00C82ED4" w:rsidRDefault="00C82ED4" w:rsidP="00C82ED4"/>
    <w:p w14:paraId="2B309B2F" w14:textId="553D44DD" w:rsidR="00C82ED4" w:rsidRDefault="00C82ED4" w:rsidP="00C82ED4">
      <w:pPr>
        <w:tabs>
          <w:tab w:val="left" w:pos="-720"/>
          <w:tab w:val="left" w:pos="0"/>
        </w:tabs>
        <w:suppressAutoHyphens/>
        <w:ind w:left="567" w:right="-33"/>
        <w:rPr>
          <w:rFonts w:ascii="Cambria" w:hAnsi="Cambria"/>
          <w:sz w:val="24"/>
          <w:szCs w:val="24"/>
        </w:rPr>
      </w:pPr>
      <w:r w:rsidRPr="00674665">
        <w:rPr>
          <w:rFonts w:ascii="Cambria" w:hAnsi="Cambria"/>
          <w:spacing w:val="-3"/>
          <w:sz w:val="24"/>
          <w:szCs w:val="24"/>
        </w:rPr>
        <w:t>Con fecha 1 de agosto de 2014, el consejo de ministros ratific</w:t>
      </w:r>
      <w:r>
        <w:rPr>
          <w:rFonts w:ascii="Cambria" w:hAnsi="Cambria"/>
          <w:spacing w:val="-3"/>
          <w:sz w:val="24"/>
          <w:szCs w:val="24"/>
        </w:rPr>
        <w:t>ó</w:t>
      </w:r>
      <w:r w:rsidRPr="00674665">
        <w:rPr>
          <w:rFonts w:ascii="Cambria" w:hAnsi="Cambria"/>
          <w:spacing w:val="-3"/>
          <w:sz w:val="24"/>
          <w:szCs w:val="24"/>
        </w:rPr>
        <w:t xml:space="preserve"> la decisión adoptada por el consejo de administración de SEPI de proceder al cierre y liquidación de la sociedad</w:t>
      </w:r>
      <w:r>
        <w:rPr>
          <w:rFonts w:ascii="Cambria" w:hAnsi="Cambria"/>
          <w:spacing w:val="-3"/>
          <w:sz w:val="24"/>
          <w:szCs w:val="24"/>
        </w:rPr>
        <w:t xml:space="preserve"> ETM</w:t>
      </w:r>
      <w:r w:rsidRPr="00674665">
        <w:rPr>
          <w:rFonts w:ascii="Cambria" w:hAnsi="Cambria"/>
          <w:spacing w:val="-3"/>
          <w:sz w:val="24"/>
          <w:szCs w:val="24"/>
        </w:rPr>
        <w:t xml:space="preserve">. </w:t>
      </w:r>
      <w:r w:rsidRPr="00674665">
        <w:rPr>
          <w:rFonts w:ascii="Cambria" w:hAnsi="Cambria"/>
          <w:sz w:val="24"/>
          <w:szCs w:val="24"/>
        </w:rPr>
        <w:t>Con fecha 5 de septiembre de 2014 se elevó a escritura pública la liquidación</w:t>
      </w:r>
      <w:r w:rsidR="007236F5">
        <w:rPr>
          <w:rFonts w:ascii="Cambria" w:hAnsi="Cambria"/>
          <w:sz w:val="24"/>
          <w:szCs w:val="24"/>
        </w:rPr>
        <w:t>.</w:t>
      </w:r>
      <w:r w:rsidR="00AD4863">
        <w:rPr>
          <w:rFonts w:ascii="Cambria" w:hAnsi="Cambria"/>
          <w:sz w:val="24"/>
          <w:szCs w:val="24"/>
        </w:rPr>
        <w:t xml:space="preserve"> </w:t>
      </w:r>
      <w:r w:rsidRPr="00674665">
        <w:rPr>
          <w:rFonts w:ascii="Cambria" w:hAnsi="Cambria"/>
          <w:sz w:val="24"/>
          <w:szCs w:val="24"/>
        </w:rPr>
        <w:t>Dicha escritura nombró Liquida</w:t>
      </w:r>
      <w:r w:rsidR="00A10D25">
        <w:rPr>
          <w:rFonts w:ascii="Cambria" w:hAnsi="Cambria"/>
          <w:sz w:val="24"/>
          <w:szCs w:val="24"/>
        </w:rPr>
        <w:t xml:space="preserve">dor de la sociedad a COFIVACASA. </w:t>
      </w:r>
      <w:r w:rsidRPr="00F8465B">
        <w:rPr>
          <w:rFonts w:ascii="Cambria" w:hAnsi="Cambria"/>
          <w:sz w:val="24"/>
          <w:szCs w:val="24"/>
        </w:rPr>
        <w:t>Con fecha</w:t>
      </w:r>
      <w:r>
        <w:rPr>
          <w:rFonts w:ascii="Cambria" w:hAnsi="Cambria"/>
          <w:sz w:val="24"/>
          <w:szCs w:val="24"/>
        </w:rPr>
        <w:t xml:space="preserve"> 19 de diciembre de </w:t>
      </w:r>
      <w:r w:rsidRPr="009B58C6">
        <w:rPr>
          <w:rFonts w:ascii="Cambria" w:hAnsi="Cambria"/>
          <w:sz w:val="24"/>
          <w:szCs w:val="24"/>
        </w:rPr>
        <w:t xml:space="preserve">2017, </w:t>
      </w:r>
      <w:r>
        <w:rPr>
          <w:rFonts w:ascii="Cambria" w:hAnsi="Cambria"/>
          <w:sz w:val="24"/>
          <w:szCs w:val="24"/>
        </w:rPr>
        <w:t>quedó inscrita en el Registro,</w:t>
      </w:r>
      <w:r w:rsidRPr="00F8465B">
        <w:rPr>
          <w:rFonts w:ascii="Cambria" w:hAnsi="Cambria"/>
          <w:sz w:val="24"/>
          <w:szCs w:val="24"/>
        </w:rPr>
        <w:t xml:space="preserve"> la escritura de liquidación</w:t>
      </w:r>
      <w:r>
        <w:rPr>
          <w:rFonts w:ascii="Cambria" w:hAnsi="Cambria"/>
          <w:sz w:val="24"/>
          <w:szCs w:val="24"/>
        </w:rPr>
        <w:t>.</w:t>
      </w:r>
    </w:p>
    <w:p w14:paraId="02BE2B9A" w14:textId="77777777" w:rsidR="00C82ED4" w:rsidRPr="00C82ED4" w:rsidRDefault="00C82ED4" w:rsidP="00C82ED4"/>
    <w:p w14:paraId="549B666C" w14:textId="77777777" w:rsidR="00603CAD" w:rsidRDefault="00603CAD" w:rsidP="00CD2E6E">
      <w:pPr>
        <w:pStyle w:val="Ttulo1a"/>
        <w:ind w:left="567"/>
        <w:rPr>
          <w:rFonts w:ascii="Cambria" w:hAnsi="Cambria"/>
          <w:sz w:val="24"/>
          <w:szCs w:val="24"/>
        </w:rPr>
      </w:pPr>
      <w:r w:rsidRPr="00F8465B">
        <w:rPr>
          <w:rFonts w:ascii="Cambria" w:hAnsi="Cambria"/>
          <w:sz w:val="24"/>
          <w:szCs w:val="24"/>
        </w:rPr>
        <w:t xml:space="preserve">La información requerida por el artículo 93 del texto refundido de la ley del Impuesto sobre Sociedades, aprobado por Real Decreto Legislativo 4/2004 de 5 de marzo, sobre fusiones, escisiones, aportaciones de activos y canje de valores, se incluye en las Cuentas Anuales de los ejercicios 2002, 2003, 2005, 2006, 2010, 2013 </w:t>
      </w:r>
      <w:r w:rsidRPr="000523F8">
        <w:rPr>
          <w:rFonts w:ascii="Cambria" w:hAnsi="Cambria"/>
          <w:sz w:val="24"/>
          <w:szCs w:val="24"/>
        </w:rPr>
        <w:t>y 2014 respectivamente.</w:t>
      </w:r>
    </w:p>
    <w:p w14:paraId="68B50EE8" w14:textId="77777777" w:rsidR="00C82ED4" w:rsidRDefault="00C82ED4" w:rsidP="00C82ED4"/>
    <w:p w14:paraId="0509CAAD" w14:textId="77777777" w:rsidR="009D5274" w:rsidRDefault="00DE4664" w:rsidP="00CD2E6E">
      <w:pPr>
        <w:pStyle w:val="Ttulo1a"/>
        <w:ind w:left="567"/>
        <w:rPr>
          <w:rFonts w:ascii="Cambria" w:hAnsi="Cambria"/>
          <w:sz w:val="24"/>
          <w:szCs w:val="24"/>
        </w:rPr>
      </w:pPr>
      <w:r w:rsidRPr="00F8465B">
        <w:rPr>
          <w:rFonts w:ascii="Cambria" w:hAnsi="Cambria"/>
          <w:sz w:val="24"/>
          <w:szCs w:val="24"/>
        </w:rPr>
        <w:t>COFIVACASA</w:t>
      </w:r>
      <w:r w:rsidR="00603CAD" w:rsidRPr="00F8465B">
        <w:rPr>
          <w:rFonts w:ascii="Cambria" w:hAnsi="Cambria"/>
          <w:sz w:val="24"/>
          <w:szCs w:val="24"/>
        </w:rPr>
        <w:t xml:space="preserve"> está a su vez integrada dentro del grupo SEPI cuya sociedad dominante es la Sociedad Estatal de Participaciones Industriales (SEPI), con domicilio social en Madrid.</w:t>
      </w:r>
    </w:p>
    <w:p w14:paraId="63B11401" w14:textId="77777777" w:rsidR="00A56B07" w:rsidRPr="00A56B07" w:rsidRDefault="00A56B07" w:rsidP="00A56B07"/>
    <w:p w14:paraId="1B595D4E" w14:textId="77777777" w:rsidR="00171D9B" w:rsidRPr="00F8465B" w:rsidRDefault="00E703CF" w:rsidP="00CD2E6E">
      <w:pPr>
        <w:pStyle w:val="Ttulo4"/>
        <w:widowControl/>
        <w:numPr>
          <w:ilvl w:val="0"/>
          <w:numId w:val="3"/>
        </w:numPr>
        <w:tabs>
          <w:tab w:val="clear" w:pos="360"/>
          <w:tab w:val="left" w:pos="-448"/>
          <w:tab w:val="num" w:pos="567"/>
        </w:tabs>
        <w:spacing w:before="0" w:after="0"/>
        <w:ind w:left="567" w:right="2268" w:hanging="567"/>
        <w:jc w:val="left"/>
        <w:rPr>
          <w:rFonts w:ascii="Cambria" w:hAnsi="Cambria"/>
          <w:kern w:val="28"/>
          <w:sz w:val="24"/>
          <w:szCs w:val="24"/>
          <w:u w:val="single"/>
          <w:lang w:val="es-ES" w:eastAsia="en-US"/>
        </w:rPr>
      </w:pPr>
      <w:r w:rsidRPr="00F8465B">
        <w:rPr>
          <w:rFonts w:ascii="Cambria" w:hAnsi="Cambria"/>
          <w:kern w:val="28"/>
          <w:sz w:val="24"/>
          <w:szCs w:val="24"/>
          <w:u w:val="single"/>
          <w:lang w:val="es-ES" w:eastAsia="en-US"/>
        </w:rPr>
        <w:t>Bases de presentación de las cuentas anuales</w:t>
      </w:r>
    </w:p>
    <w:p w14:paraId="4E5D453D" w14:textId="77777777" w:rsidR="009A13D4" w:rsidRPr="00F8465B" w:rsidRDefault="009A13D4" w:rsidP="0024783F">
      <w:pPr>
        <w:pStyle w:val="Ttulo2"/>
        <w:keepNext/>
        <w:ind w:left="426"/>
        <w:rPr>
          <w:rFonts w:ascii="Cambria" w:hAnsi="Cambria"/>
          <w:sz w:val="24"/>
          <w:szCs w:val="24"/>
        </w:rPr>
      </w:pPr>
    </w:p>
    <w:p w14:paraId="6B360F12" w14:textId="77777777" w:rsidR="00502552" w:rsidRPr="00F8465B" w:rsidRDefault="00502552" w:rsidP="00CD2E6E">
      <w:pPr>
        <w:pStyle w:val="Ttulo2"/>
        <w:keepNext/>
        <w:ind w:left="567"/>
        <w:rPr>
          <w:rFonts w:ascii="Cambria" w:hAnsi="Cambria"/>
          <w:sz w:val="24"/>
          <w:szCs w:val="24"/>
        </w:rPr>
      </w:pPr>
      <w:r w:rsidRPr="00F8465B">
        <w:rPr>
          <w:rFonts w:ascii="Cambria" w:hAnsi="Cambria"/>
          <w:sz w:val="24"/>
          <w:szCs w:val="24"/>
        </w:rPr>
        <w:t>2.1 Marco normativo de información financiera aplicable a la Sociedad</w:t>
      </w:r>
    </w:p>
    <w:p w14:paraId="13ED248C" w14:textId="77777777" w:rsidR="00502552" w:rsidRPr="00F8465B" w:rsidRDefault="00502552" w:rsidP="00CD2E6E">
      <w:pPr>
        <w:pStyle w:val="Ttulo1a"/>
        <w:ind w:left="567"/>
        <w:rPr>
          <w:rFonts w:ascii="Cambria" w:hAnsi="Cambria"/>
          <w:sz w:val="24"/>
          <w:szCs w:val="24"/>
        </w:rPr>
      </w:pPr>
    </w:p>
    <w:p w14:paraId="0B9FBDD8" w14:textId="77777777" w:rsidR="00502552" w:rsidRPr="00F8465B" w:rsidRDefault="00502552" w:rsidP="00CD2E6E">
      <w:pPr>
        <w:pStyle w:val="Ttulo1a"/>
        <w:ind w:left="567"/>
        <w:rPr>
          <w:rFonts w:ascii="Cambria" w:hAnsi="Cambria"/>
          <w:sz w:val="24"/>
          <w:szCs w:val="24"/>
        </w:rPr>
      </w:pPr>
      <w:r w:rsidRPr="00F8465B">
        <w:rPr>
          <w:rFonts w:ascii="Cambria" w:hAnsi="Cambria"/>
          <w:sz w:val="24"/>
          <w:szCs w:val="24"/>
        </w:rPr>
        <w:t>Estas cuentas anuales se han for</w:t>
      </w:r>
      <w:r w:rsidR="00294F9D" w:rsidRPr="00F8465B">
        <w:rPr>
          <w:rFonts w:ascii="Cambria" w:hAnsi="Cambria"/>
          <w:sz w:val="24"/>
          <w:szCs w:val="24"/>
        </w:rPr>
        <w:t>mulado</w:t>
      </w:r>
      <w:r w:rsidRPr="00F8465B">
        <w:rPr>
          <w:rFonts w:ascii="Cambria" w:hAnsi="Cambria"/>
          <w:sz w:val="24"/>
          <w:szCs w:val="24"/>
        </w:rPr>
        <w:t xml:space="preserve"> por </w:t>
      </w:r>
      <w:r w:rsidR="00F379C8">
        <w:rPr>
          <w:rFonts w:ascii="Cambria" w:hAnsi="Cambria"/>
          <w:sz w:val="24"/>
          <w:szCs w:val="24"/>
        </w:rPr>
        <w:t>el</w:t>
      </w:r>
      <w:r w:rsidRPr="00F8465B">
        <w:rPr>
          <w:rFonts w:ascii="Cambria" w:hAnsi="Cambria"/>
          <w:sz w:val="24"/>
          <w:szCs w:val="24"/>
        </w:rPr>
        <w:t xml:space="preserve"> </w:t>
      </w:r>
      <w:r w:rsidR="00E940E5" w:rsidRPr="00F8465B">
        <w:rPr>
          <w:rFonts w:ascii="Cambria" w:hAnsi="Cambria"/>
          <w:sz w:val="24"/>
          <w:szCs w:val="24"/>
        </w:rPr>
        <w:t>Administrador</w:t>
      </w:r>
      <w:r w:rsidRPr="00F8465B">
        <w:rPr>
          <w:rFonts w:ascii="Cambria" w:hAnsi="Cambria"/>
          <w:sz w:val="24"/>
          <w:szCs w:val="24"/>
        </w:rPr>
        <w:t xml:space="preserve"> </w:t>
      </w:r>
      <w:r w:rsidR="00E940E5" w:rsidRPr="00F8465B">
        <w:rPr>
          <w:rFonts w:ascii="Cambria" w:hAnsi="Cambria"/>
          <w:sz w:val="24"/>
          <w:szCs w:val="24"/>
        </w:rPr>
        <w:t>Únic</w:t>
      </w:r>
      <w:r w:rsidR="00F379C8">
        <w:rPr>
          <w:rFonts w:ascii="Cambria" w:hAnsi="Cambria"/>
          <w:sz w:val="24"/>
          <w:szCs w:val="24"/>
        </w:rPr>
        <w:t>o</w:t>
      </w:r>
      <w:r w:rsidRPr="00F8465B">
        <w:rPr>
          <w:rFonts w:ascii="Cambria" w:hAnsi="Cambria"/>
          <w:sz w:val="24"/>
          <w:szCs w:val="24"/>
        </w:rPr>
        <w:t xml:space="preserve"> de acuerdo con el marco normativo de información financiera aplicable a la Sociedad, que es el establecido en:</w:t>
      </w:r>
    </w:p>
    <w:p w14:paraId="0A42B6AD" w14:textId="77777777" w:rsidR="00D3039F" w:rsidRPr="00F8465B" w:rsidRDefault="00D3039F" w:rsidP="00CD2E6E">
      <w:pPr>
        <w:pStyle w:val="Ttulo1a"/>
        <w:ind w:left="567"/>
        <w:rPr>
          <w:rFonts w:ascii="Cambria" w:hAnsi="Cambria"/>
          <w:sz w:val="24"/>
          <w:szCs w:val="24"/>
        </w:rPr>
      </w:pPr>
    </w:p>
    <w:p w14:paraId="3C66CEF5" w14:textId="77777777" w:rsidR="00AF6C93" w:rsidRPr="00F8465B" w:rsidRDefault="00502552" w:rsidP="002D6127">
      <w:pPr>
        <w:keepLines w:val="0"/>
        <w:widowControl/>
        <w:numPr>
          <w:ilvl w:val="0"/>
          <w:numId w:val="12"/>
        </w:numPr>
        <w:ind w:left="993" w:hanging="426"/>
        <w:rPr>
          <w:rFonts w:ascii="Cambria" w:hAnsi="Cambria"/>
          <w:sz w:val="24"/>
          <w:szCs w:val="24"/>
        </w:rPr>
      </w:pPr>
      <w:r w:rsidRPr="00D11070">
        <w:rPr>
          <w:rFonts w:ascii="Cambria" w:hAnsi="Cambria"/>
          <w:sz w:val="24"/>
          <w:szCs w:val="24"/>
        </w:rPr>
        <w:t xml:space="preserve">Código de Comercio y la restante legislación mercantil. </w:t>
      </w:r>
      <w:r w:rsidRPr="00F8465B">
        <w:rPr>
          <w:rFonts w:ascii="Cambria" w:hAnsi="Cambria"/>
          <w:sz w:val="24"/>
          <w:szCs w:val="24"/>
        </w:rPr>
        <w:t>Plan General de Contabilidad aprobado por el Real Decreto 1514/2007</w:t>
      </w:r>
      <w:r w:rsidR="00AD4863">
        <w:rPr>
          <w:rFonts w:ascii="Cambria" w:hAnsi="Cambria"/>
          <w:sz w:val="24"/>
          <w:szCs w:val="24"/>
        </w:rPr>
        <w:t>,</w:t>
      </w:r>
      <w:r w:rsidRPr="00F8465B">
        <w:rPr>
          <w:rFonts w:ascii="Cambria" w:hAnsi="Cambria"/>
          <w:sz w:val="24"/>
          <w:szCs w:val="24"/>
        </w:rPr>
        <w:t xml:space="preserve"> </w:t>
      </w:r>
      <w:r w:rsidR="00CB1547" w:rsidRPr="00F8465B">
        <w:rPr>
          <w:rFonts w:ascii="Cambria" w:hAnsi="Cambria"/>
          <w:sz w:val="24"/>
          <w:szCs w:val="24"/>
        </w:rPr>
        <w:t>de 16 de noviembre, aplicando las modificaciones introducidas al mismo mediante el Real Decreto 1159/2010</w:t>
      </w:r>
      <w:r w:rsidR="00AD4863">
        <w:rPr>
          <w:rFonts w:ascii="Cambria" w:hAnsi="Cambria"/>
          <w:sz w:val="24"/>
          <w:szCs w:val="24"/>
        </w:rPr>
        <w:t>, de 17 de septiembre y por el Real Decreto 602/2016, de 2 de diciembre</w:t>
      </w:r>
      <w:r w:rsidR="00CB1547" w:rsidRPr="00F8465B">
        <w:rPr>
          <w:rFonts w:ascii="Cambria" w:hAnsi="Cambria"/>
          <w:sz w:val="24"/>
          <w:szCs w:val="24"/>
        </w:rPr>
        <w:t>.</w:t>
      </w:r>
      <w:r w:rsidR="00C309AE" w:rsidRPr="00F8465B" w:rsidDel="00C309AE">
        <w:rPr>
          <w:rFonts w:ascii="Cambria" w:hAnsi="Cambria"/>
          <w:sz w:val="24"/>
          <w:szCs w:val="24"/>
        </w:rPr>
        <w:t xml:space="preserve"> </w:t>
      </w:r>
    </w:p>
    <w:p w14:paraId="4F1E6B1D" w14:textId="77777777" w:rsidR="00D3039F" w:rsidRPr="00F8465B" w:rsidRDefault="00502552" w:rsidP="002D6127">
      <w:pPr>
        <w:keepLines w:val="0"/>
        <w:widowControl/>
        <w:numPr>
          <w:ilvl w:val="0"/>
          <w:numId w:val="12"/>
        </w:numPr>
        <w:ind w:left="993" w:hanging="426"/>
        <w:rPr>
          <w:rFonts w:ascii="Cambria" w:hAnsi="Cambria"/>
          <w:sz w:val="24"/>
          <w:szCs w:val="24"/>
        </w:rPr>
      </w:pPr>
      <w:r w:rsidRPr="00F8465B">
        <w:rPr>
          <w:rFonts w:ascii="Cambria" w:hAnsi="Cambria"/>
          <w:sz w:val="24"/>
          <w:szCs w:val="24"/>
        </w:rPr>
        <w:t xml:space="preserve">Las normas de obligado cumplimiento aprobadas por el Instituto de Contabilidad y </w:t>
      </w:r>
      <w:r w:rsidR="006F36E3" w:rsidRPr="00F8465B">
        <w:rPr>
          <w:rFonts w:ascii="Cambria" w:hAnsi="Cambria"/>
          <w:sz w:val="24"/>
          <w:szCs w:val="24"/>
        </w:rPr>
        <w:t>Auditoría</w:t>
      </w:r>
      <w:r w:rsidRPr="00F8465B">
        <w:rPr>
          <w:rFonts w:ascii="Cambria" w:hAnsi="Cambria"/>
          <w:sz w:val="24"/>
          <w:szCs w:val="24"/>
        </w:rPr>
        <w:t xml:space="preserve"> de Cuentas en desarrollo del Plan General de Contabilidad y sus normas complementarias.</w:t>
      </w:r>
    </w:p>
    <w:p w14:paraId="5D0016C4" w14:textId="77777777" w:rsidR="00502552" w:rsidRPr="00F8465B" w:rsidRDefault="00502552" w:rsidP="0077383F">
      <w:pPr>
        <w:keepLines w:val="0"/>
        <w:widowControl/>
        <w:numPr>
          <w:ilvl w:val="0"/>
          <w:numId w:val="12"/>
        </w:numPr>
        <w:ind w:left="993" w:hanging="426"/>
        <w:rPr>
          <w:rFonts w:ascii="Cambria" w:hAnsi="Cambria"/>
          <w:sz w:val="24"/>
          <w:szCs w:val="24"/>
        </w:rPr>
      </w:pPr>
      <w:r w:rsidRPr="00F8465B">
        <w:rPr>
          <w:rFonts w:ascii="Cambria" w:hAnsi="Cambria"/>
          <w:sz w:val="24"/>
          <w:szCs w:val="24"/>
        </w:rPr>
        <w:t>El resto de la normativa contable española que resulte de aplicación.</w:t>
      </w:r>
    </w:p>
    <w:p w14:paraId="09B57E7F" w14:textId="77777777" w:rsidR="00033FA0" w:rsidRDefault="00033FA0">
      <w:pPr>
        <w:keepLines w:val="0"/>
        <w:widowControl/>
        <w:jc w:val="left"/>
        <w:rPr>
          <w:rFonts w:ascii="Cambria" w:hAnsi="Cambria"/>
          <w:sz w:val="24"/>
          <w:szCs w:val="24"/>
        </w:rPr>
      </w:pPr>
    </w:p>
    <w:p w14:paraId="6776583C" w14:textId="49CB2307" w:rsidR="00A56B07" w:rsidRDefault="00033FA0" w:rsidP="00033FA0">
      <w:pPr>
        <w:pStyle w:val="Ttulo1a"/>
        <w:ind w:left="567"/>
        <w:rPr>
          <w:rFonts w:ascii="Cambria" w:hAnsi="Cambria"/>
          <w:sz w:val="24"/>
          <w:szCs w:val="24"/>
        </w:rPr>
      </w:pPr>
      <w:r>
        <w:rPr>
          <w:rFonts w:ascii="Cambria" w:hAnsi="Cambria"/>
          <w:sz w:val="24"/>
          <w:szCs w:val="24"/>
        </w:rPr>
        <w:t>Las cifras incluidas en las cuentas anuales están expresadas en miles de euros, salvo que se indique lo contrario.</w:t>
      </w:r>
      <w:r>
        <w:t xml:space="preserve"> </w:t>
      </w:r>
      <w:r w:rsidR="00A56B07">
        <w:rPr>
          <w:rFonts w:ascii="Cambria" w:hAnsi="Cambria"/>
          <w:sz w:val="24"/>
          <w:szCs w:val="24"/>
        </w:rPr>
        <w:br w:type="page"/>
      </w:r>
    </w:p>
    <w:p w14:paraId="4223D960" w14:textId="77777777" w:rsidR="00502552" w:rsidRPr="00F8465B" w:rsidRDefault="00502552" w:rsidP="0024783F">
      <w:pPr>
        <w:rPr>
          <w:rFonts w:ascii="Cambria" w:hAnsi="Cambria"/>
          <w:sz w:val="24"/>
          <w:szCs w:val="24"/>
        </w:rPr>
      </w:pPr>
    </w:p>
    <w:p w14:paraId="74572112" w14:textId="77777777" w:rsidR="00171D9B" w:rsidRPr="00F8465B" w:rsidRDefault="00D10B35" w:rsidP="0077383F">
      <w:pPr>
        <w:pStyle w:val="Ttulo2"/>
        <w:keepNext/>
        <w:ind w:left="567"/>
        <w:rPr>
          <w:rFonts w:ascii="Cambria" w:hAnsi="Cambria"/>
          <w:sz w:val="24"/>
          <w:szCs w:val="24"/>
        </w:rPr>
      </w:pPr>
      <w:r w:rsidRPr="00F8465B">
        <w:rPr>
          <w:rFonts w:ascii="Cambria" w:hAnsi="Cambria"/>
          <w:sz w:val="24"/>
          <w:szCs w:val="24"/>
        </w:rPr>
        <w:t>2.</w:t>
      </w:r>
      <w:r w:rsidR="00502552" w:rsidRPr="00F8465B">
        <w:rPr>
          <w:rFonts w:ascii="Cambria" w:hAnsi="Cambria"/>
          <w:sz w:val="24"/>
          <w:szCs w:val="24"/>
        </w:rPr>
        <w:t>2</w:t>
      </w:r>
      <w:r w:rsidRPr="00F8465B">
        <w:rPr>
          <w:rFonts w:ascii="Cambria" w:hAnsi="Cambria"/>
          <w:sz w:val="24"/>
          <w:szCs w:val="24"/>
        </w:rPr>
        <w:t xml:space="preserve"> </w:t>
      </w:r>
      <w:r w:rsidR="00171D9B" w:rsidRPr="00F8465B">
        <w:rPr>
          <w:rFonts w:ascii="Cambria" w:hAnsi="Cambria"/>
          <w:sz w:val="24"/>
          <w:szCs w:val="24"/>
        </w:rPr>
        <w:t>Imagen fiel</w:t>
      </w:r>
    </w:p>
    <w:p w14:paraId="4D9CB0A4" w14:textId="77777777" w:rsidR="00171D9B" w:rsidRPr="00F8465B" w:rsidRDefault="00171D9B" w:rsidP="0024783F">
      <w:pPr>
        <w:keepNext/>
        <w:ind w:left="426"/>
        <w:rPr>
          <w:rFonts w:ascii="Cambria" w:hAnsi="Cambria"/>
          <w:sz w:val="24"/>
          <w:szCs w:val="24"/>
        </w:rPr>
      </w:pPr>
    </w:p>
    <w:p w14:paraId="0F315C39" w14:textId="77777777" w:rsidR="00D10B35" w:rsidRPr="00F8465B" w:rsidRDefault="00D10B35" w:rsidP="00A75583">
      <w:pPr>
        <w:pStyle w:val="Ttulo1a"/>
        <w:ind w:left="567"/>
        <w:rPr>
          <w:rFonts w:ascii="Cambria" w:hAnsi="Cambria"/>
          <w:sz w:val="24"/>
          <w:szCs w:val="24"/>
        </w:rPr>
      </w:pPr>
      <w:r w:rsidRPr="00F8465B">
        <w:rPr>
          <w:rFonts w:ascii="Cambria" w:hAnsi="Cambria"/>
          <w:sz w:val="24"/>
          <w:szCs w:val="24"/>
        </w:rPr>
        <w:t xml:space="preserve">Las </w:t>
      </w:r>
      <w:r w:rsidR="00A565D7" w:rsidRPr="00F8465B">
        <w:rPr>
          <w:rFonts w:ascii="Cambria" w:hAnsi="Cambria"/>
          <w:sz w:val="24"/>
          <w:szCs w:val="24"/>
        </w:rPr>
        <w:t xml:space="preserve">presentes cuentas anuales </w:t>
      </w:r>
      <w:r w:rsidRPr="00F8465B">
        <w:rPr>
          <w:rFonts w:ascii="Cambria" w:hAnsi="Cambria"/>
          <w:sz w:val="24"/>
          <w:szCs w:val="24"/>
        </w:rPr>
        <w:t xml:space="preserve">han sido obtenidas de los registros contables de </w:t>
      </w:r>
      <w:r w:rsidR="008F578A" w:rsidRPr="00F8465B">
        <w:rPr>
          <w:rFonts w:ascii="Cambria" w:hAnsi="Cambria"/>
          <w:sz w:val="24"/>
          <w:szCs w:val="24"/>
        </w:rPr>
        <w:t>COFIVACASA</w:t>
      </w:r>
      <w:r w:rsidRPr="00F8465B">
        <w:rPr>
          <w:rFonts w:ascii="Cambria" w:hAnsi="Cambria"/>
          <w:sz w:val="24"/>
          <w:szCs w:val="24"/>
        </w:rPr>
        <w:t xml:space="preserve"> y se presentan de acuerdo con el </w:t>
      </w:r>
      <w:r w:rsidR="00502552" w:rsidRPr="00F8465B">
        <w:rPr>
          <w:rFonts w:ascii="Cambria" w:hAnsi="Cambria"/>
          <w:sz w:val="24"/>
          <w:szCs w:val="24"/>
        </w:rPr>
        <w:t xml:space="preserve">marco normativo de información financiera que le resulta de aplicación y en particular, </w:t>
      </w:r>
      <w:r w:rsidR="00294F9D" w:rsidRPr="00F8465B">
        <w:rPr>
          <w:rFonts w:ascii="Cambria" w:hAnsi="Cambria"/>
          <w:sz w:val="24"/>
          <w:szCs w:val="24"/>
        </w:rPr>
        <w:t xml:space="preserve">con </w:t>
      </w:r>
      <w:r w:rsidR="00502552" w:rsidRPr="00F8465B">
        <w:rPr>
          <w:rFonts w:ascii="Cambria" w:hAnsi="Cambria"/>
          <w:sz w:val="24"/>
          <w:szCs w:val="24"/>
        </w:rPr>
        <w:t xml:space="preserve">los principios y criterios contables en </w:t>
      </w:r>
      <w:r w:rsidR="00496A45" w:rsidRPr="00F8465B">
        <w:rPr>
          <w:rFonts w:ascii="Cambria" w:hAnsi="Cambria"/>
          <w:sz w:val="24"/>
          <w:szCs w:val="24"/>
        </w:rPr>
        <w:t>é</w:t>
      </w:r>
      <w:r w:rsidR="00502552" w:rsidRPr="00F8465B">
        <w:rPr>
          <w:rFonts w:ascii="Cambria" w:hAnsi="Cambria"/>
          <w:sz w:val="24"/>
          <w:szCs w:val="24"/>
        </w:rPr>
        <w:t>l contenidos</w:t>
      </w:r>
      <w:r w:rsidRPr="00F8465B">
        <w:rPr>
          <w:rFonts w:ascii="Cambria" w:hAnsi="Cambria"/>
          <w:sz w:val="24"/>
          <w:szCs w:val="24"/>
        </w:rPr>
        <w:t>, de forma que muestran la imagen fiel del patrimonio, de la situación fi</w:t>
      </w:r>
      <w:r w:rsidR="0024195F" w:rsidRPr="00F8465B">
        <w:rPr>
          <w:rFonts w:ascii="Cambria" w:hAnsi="Cambria"/>
          <w:sz w:val="24"/>
          <w:szCs w:val="24"/>
        </w:rPr>
        <w:t xml:space="preserve">nanciera, </w:t>
      </w:r>
      <w:r w:rsidRPr="00F8465B">
        <w:rPr>
          <w:rFonts w:ascii="Cambria" w:hAnsi="Cambria"/>
          <w:sz w:val="24"/>
          <w:szCs w:val="24"/>
        </w:rPr>
        <w:t>d</w:t>
      </w:r>
      <w:r w:rsidR="0024195F" w:rsidRPr="00F8465B">
        <w:rPr>
          <w:rFonts w:ascii="Cambria" w:hAnsi="Cambria"/>
          <w:sz w:val="24"/>
          <w:szCs w:val="24"/>
        </w:rPr>
        <w:t>e los resultados y de los flujos de efectivo de la Sociedad habidos durante el ejercicio.</w:t>
      </w:r>
    </w:p>
    <w:p w14:paraId="73ABA59C" w14:textId="77777777" w:rsidR="00D10B35" w:rsidRPr="00F8465B" w:rsidRDefault="00D10B35" w:rsidP="00A75583">
      <w:pPr>
        <w:pStyle w:val="Ttulo1a"/>
        <w:ind w:left="567"/>
        <w:rPr>
          <w:rFonts w:ascii="Cambria" w:hAnsi="Cambria"/>
          <w:sz w:val="24"/>
          <w:szCs w:val="24"/>
        </w:rPr>
      </w:pPr>
    </w:p>
    <w:p w14:paraId="1AFD46A3" w14:textId="3422DE00" w:rsidR="00D10B35" w:rsidRPr="0053128F" w:rsidRDefault="00D10B35" w:rsidP="00A75583">
      <w:pPr>
        <w:pStyle w:val="Ttulo1a"/>
        <w:ind w:left="567"/>
        <w:rPr>
          <w:rFonts w:ascii="Cambria" w:hAnsi="Cambria"/>
          <w:sz w:val="24"/>
          <w:szCs w:val="24"/>
        </w:rPr>
      </w:pPr>
      <w:r w:rsidRPr="00F8465B">
        <w:rPr>
          <w:rFonts w:ascii="Cambria" w:hAnsi="Cambria"/>
          <w:sz w:val="24"/>
          <w:szCs w:val="24"/>
        </w:rPr>
        <w:t>Estas cuentas anuales,</w:t>
      </w:r>
      <w:r w:rsidR="00C12D91" w:rsidRPr="00F8465B">
        <w:rPr>
          <w:rFonts w:ascii="Cambria" w:hAnsi="Cambria"/>
          <w:sz w:val="24"/>
          <w:szCs w:val="24"/>
        </w:rPr>
        <w:t xml:space="preserve"> que han sido formuladas por </w:t>
      </w:r>
      <w:r w:rsidR="00C82ED4">
        <w:rPr>
          <w:rFonts w:ascii="Cambria" w:hAnsi="Cambria"/>
          <w:sz w:val="24"/>
          <w:szCs w:val="24"/>
        </w:rPr>
        <w:t>el</w:t>
      </w:r>
      <w:r w:rsidRPr="00F8465B">
        <w:rPr>
          <w:rFonts w:ascii="Cambria" w:hAnsi="Cambria"/>
          <w:sz w:val="24"/>
          <w:szCs w:val="24"/>
        </w:rPr>
        <w:t xml:space="preserve"> </w:t>
      </w:r>
      <w:r w:rsidR="00E940E5" w:rsidRPr="00F8465B">
        <w:rPr>
          <w:rFonts w:ascii="Cambria" w:hAnsi="Cambria"/>
          <w:sz w:val="24"/>
          <w:szCs w:val="24"/>
        </w:rPr>
        <w:t>Administrador</w:t>
      </w:r>
      <w:r w:rsidR="00C12D91" w:rsidRPr="00F8465B">
        <w:rPr>
          <w:rFonts w:ascii="Cambria" w:hAnsi="Cambria"/>
          <w:sz w:val="24"/>
          <w:szCs w:val="24"/>
        </w:rPr>
        <w:t xml:space="preserve"> </w:t>
      </w:r>
      <w:r w:rsidR="00E940E5" w:rsidRPr="00F8465B">
        <w:rPr>
          <w:rFonts w:ascii="Cambria" w:hAnsi="Cambria"/>
          <w:sz w:val="24"/>
          <w:szCs w:val="24"/>
        </w:rPr>
        <w:t>Únic</w:t>
      </w:r>
      <w:r w:rsidR="00F379C8">
        <w:rPr>
          <w:rFonts w:ascii="Cambria" w:hAnsi="Cambria"/>
          <w:sz w:val="24"/>
          <w:szCs w:val="24"/>
        </w:rPr>
        <w:t>o</w:t>
      </w:r>
      <w:r w:rsidR="00C12D91" w:rsidRPr="00F8465B">
        <w:rPr>
          <w:rFonts w:ascii="Cambria" w:hAnsi="Cambria"/>
          <w:sz w:val="24"/>
          <w:szCs w:val="24"/>
        </w:rPr>
        <w:t xml:space="preserve"> </w:t>
      </w:r>
      <w:r w:rsidRPr="00F8465B">
        <w:rPr>
          <w:rFonts w:ascii="Cambria" w:hAnsi="Cambria"/>
          <w:sz w:val="24"/>
          <w:szCs w:val="24"/>
        </w:rPr>
        <w:t xml:space="preserve">de la Sociedad, se someterán a la aprobación </w:t>
      </w:r>
      <w:r w:rsidR="001F2336" w:rsidRPr="00F8465B">
        <w:rPr>
          <w:rFonts w:ascii="Cambria" w:hAnsi="Cambria"/>
          <w:sz w:val="24"/>
          <w:szCs w:val="24"/>
        </w:rPr>
        <w:t>d</w:t>
      </w:r>
      <w:r w:rsidR="00E64F16" w:rsidRPr="00F8465B">
        <w:rPr>
          <w:rFonts w:ascii="Cambria" w:hAnsi="Cambria"/>
          <w:sz w:val="24"/>
          <w:szCs w:val="24"/>
        </w:rPr>
        <w:t xml:space="preserve">el Accionista </w:t>
      </w:r>
      <w:r w:rsidR="00E940E5" w:rsidRPr="00F8465B">
        <w:rPr>
          <w:rFonts w:ascii="Cambria" w:hAnsi="Cambria"/>
          <w:sz w:val="24"/>
          <w:szCs w:val="24"/>
        </w:rPr>
        <w:t>Único</w:t>
      </w:r>
      <w:r w:rsidRPr="00F8465B">
        <w:rPr>
          <w:rFonts w:ascii="Cambria" w:hAnsi="Cambria"/>
          <w:sz w:val="24"/>
          <w:szCs w:val="24"/>
        </w:rPr>
        <w:t>, estimándose que serán aprobadas sin modificación alguna. Por su parte, las cuentas anuales del ejercicio 20</w:t>
      </w:r>
      <w:r w:rsidR="00C264AF" w:rsidRPr="00F8465B">
        <w:rPr>
          <w:rFonts w:ascii="Cambria" w:hAnsi="Cambria"/>
          <w:sz w:val="24"/>
          <w:szCs w:val="24"/>
        </w:rPr>
        <w:t>1</w:t>
      </w:r>
      <w:r w:rsidR="0053128F">
        <w:rPr>
          <w:rFonts w:ascii="Cambria" w:hAnsi="Cambria"/>
          <w:sz w:val="24"/>
          <w:szCs w:val="24"/>
        </w:rPr>
        <w:t>9</w:t>
      </w:r>
      <w:r w:rsidRPr="00F8465B">
        <w:rPr>
          <w:rFonts w:ascii="Cambria" w:hAnsi="Cambria"/>
          <w:sz w:val="24"/>
          <w:szCs w:val="24"/>
        </w:rPr>
        <w:t xml:space="preserve"> fueron aprobadas por </w:t>
      </w:r>
      <w:r w:rsidR="001F2336" w:rsidRPr="00F8465B">
        <w:rPr>
          <w:rFonts w:ascii="Cambria" w:hAnsi="Cambria"/>
          <w:sz w:val="24"/>
          <w:szCs w:val="24"/>
        </w:rPr>
        <w:t xml:space="preserve">el </w:t>
      </w:r>
      <w:r w:rsidR="00E64F16" w:rsidRPr="00F8465B">
        <w:rPr>
          <w:rFonts w:ascii="Cambria" w:hAnsi="Cambria"/>
          <w:sz w:val="24"/>
          <w:szCs w:val="24"/>
        </w:rPr>
        <w:t xml:space="preserve">Accionista </w:t>
      </w:r>
      <w:r w:rsidR="00E940E5" w:rsidRPr="00F8465B">
        <w:rPr>
          <w:rFonts w:ascii="Cambria" w:hAnsi="Cambria"/>
          <w:sz w:val="24"/>
          <w:szCs w:val="24"/>
        </w:rPr>
        <w:t>Único</w:t>
      </w:r>
      <w:r w:rsidR="00E64F16" w:rsidRPr="00F8465B">
        <w:rPr>
          <w:rFonts w:ascii="Cambria" w:hAnsi="Cambria"/>
          <w:sz w:val="24"/>
          <w:szCs w:val="24"/>
        </w:rPr>
        <w:t xml:space="preserve"> </w:t>
      </w:r>
      <w:r w:rsidR="00294F9D" w:rsidRPr="00F8465B">
        <w:rPr>
          <w:rFonts w:ascii="Cambria" w:hAnsi="Cambria"/>
          <w:sz w:val="24"/>
          <w:szCs w:val="24"/>
        </w:rPr>
        <w:t xml:space="preserve">con </w:t>
      </w:r>
      <w:r w:rsidR="00294F9D" w:rsidRPr="0053128F">
        <w:rPr>
          <w:rFonts w:ascii="Cambria" w:hAnsi="Cambria"/>
          <w:sz w:val="24"/>
          <w:szCs w:val="24"/>
        </w:rPr>
        <w:t xml:space="preserve">fecha </w:t>
      </w:r>
      <w:r w:rsidR="0053128F" w:rsidRPr="0053128F">
        <w:rPr>
          <w:rFonts w:ascii="Cambria" w:hAnsi="Cambria"/>
          <w:sz w:val="24"/>
          <w:szCs w:val="24"/>
        </w:rPr>
        <w:t>14</w:t>
      </w:r>
      <w:r w:rsidR="007D5005" w:rsidRPr="0053128F">
        <w:rPr>
          <w:rFonts w:ascii="Cambria" w:hAnsi="Cambria"/>
          <w:sz w:val="24"/>
          <w:szCs w:val="24"/>
        </w:rPr>
        <w:t xml:space="preserve"> de mayo</w:t>
      </w:r>
      <w:r w:rsidRPr="0053128F">
        <w:rPr>
          <w:rFonts w:ascii="Cambria" w:hAnsi="Cambria"/>
          <w:sz w:val="24"/>
          <w:szCs w:val="24"/>
        </w:rPr>
        <w:t xml:space="preserve"> de </w:t>
      </w:r>
      <w:r w:rsidR="00346E96" w:rsidRPr="0053128F">
        <w:rPr>
          <w:rFonts w:ascii="Cambria" w:hAnsi="Cambria"/>
          <w:sz w:val="24"/>
          <w:szCs w:val="24"/>
        </w:rPr>
        <w:t>20</w:t>
      </w:r>
      <w:r w:rsidR="0053128F" w:rsidRPr="0053128F">
        <w:rPr>
          <w:rFonts w:ascii="Cambria" w:hAnsi="Cambria"/>
          <w:sz w:val="24"/>
          <w:szCs w:val="24"/>
        </w:rPr>
        <w:t>20</w:t>
      </w:r>
      <w:r w:rsidR="00D11070" w:rsidRPr="0053128F">
        <w:rPr>
          <w:rFonts w:ascii="Cambria" w:hAnsi="Cambria"/>
          <w:sz w:val="24"/>
          <w:szCs w:val="24"/>
        </w:rPr>
        <w:t>.</w:t>
      </w:r>
    </w:p>
    <w:p w14:paraId="018BA386" w14:textId="77777777" w:rsidR="00A56B07" w:rsidRPr="0053128F" w:rsidRDefault="00A56B07" w:rsidP="00A56B07"/>
    <w:p w14:paraId="650D0A05" w14:textId="77777777" w:rsidR="00C12D91" w:rsidRPr="00F8465B" w:rsidRDefault="00C12D91" w:rsidP="00A75583">
      <w:pPr>
        <w:pStyle w:val="Ttulo2"/>
        <w:keepNext/>
        <w:ind w:left="567"/>
        <w:rPr>
          <w:rFonts w:ascii="Cambria" w:hAnsi="Cambria"/>
          <w:sz w:val="24"/>
          <w:szCs w:val="24"/>
        </w:rPr>
      </w:pPr>
      <w:r w:rsidRPr="0053128F">
        <w:rPr>
          <w:rFonts w:ascii="Cambria" w:hAnsi="Cambria"/>
          <w:sz w:val="24"/>
          <w:szCs w:val="24"/>
        </w:rPr>
        <w:t>2.</w:t>
      </w:r>
      <w:r w:rsidR="00496A45" w:rsidRPr="0053128F">
        <w:rPr>
          <w:rFonts w:ascii="Cambria" w:hAnsi="Cambria"/>
          <w:sz w:val="24"/>
          <w:szCs w:val="24"/>
        </w:rPr>
        <w:t>3</w:t>
      </w:r>
      <w:r w:rsidRPr="0053128F">
        <w:rPr>
          <w:rFonts w:ascii="Cambria" w:hAnsi="Cambria"/>
          <w:sz w:val="24"/>
          <w:szCs w:val="24"/>
        </w:rPr>
        <w:t xml:space="preserve"> Principios contables aplicados</w:t>
      </w:r>
    </w:p>
    <w:p w14:paraId="40464074" w14:textId="77777777" w:rsidR="00C12D91" w:rsidRPr="00F8465B" w:rsidRDefault="00C12D91" w:rsidP="0024783F">
      <w:pPr>
        <w:ind w:left="426"/>
        <w:rPr>
          <w:rFonts w:ascii="Cambria" w:hAnsi="Cambria"/>
          <w:sz w:val="24"/>
          <w:szCs w:val="24"/>
        </w:rPr>
      </w:pPr>
    </w:p>
    <w:p w14:paraId="622370E3" w14:textId="77777777" w:rsidR="00C12D91" w:rsidRDefault="00C82ED4" w:rsidP="00A75583">
      <w:pPr>
        <w:pStyle w:val="Ttulo1a"/>
        <w:ind w:left="567"/>
        <w:rPr>
          <w:rFonts w:ascii="Cambria" w:hAnsi="Cambria"/>
          <w:sz w:val="24"/>
          <w:szCs w:val="24"/>
        </w:rPr>
      </w:pPr>
      <w:r>
        <w:rPr>
          <w:rFonts w:ascii="Cambria" w:hAnsi="Cambria"/>
          <w:sz w:val="24"/>
          <w:szCs w:val="24"/>
        </w:rPr>
        <w:t>El</w:t>
      </w:r>
      <w:r w:rsidR="00C12D91" w:rsidRPr="00F8465B">
        <w:rPr>
          <w:rFonts w:ascii="Cambria" w:hAnsi="Cambria"/>
          <w:sz w:val="24"/>
          <w:szCs w:val="24"/>
        </w:rPr>
        <w:t xml:space="preserve"> </w:t>
      </w:r>
      <w:r w:rsidR="00E940E5" w:rsidRPr="00F8465B">
        <w:rPr>
          <w:rFonts w:ascii="Cambria" w:hAnsi="Cambria"/>
          <w:sz w:val="24"/>
          <w:szCs w:val="24"/>
        </w:rPr>
        <w:t>Administrado</w:t>
      </w:r>
      <w:r>
        <w:rPr>
          <w:rFonts w:ascii="Cambria" w:hAnsi="Cambria"/>
          <w:sz w:val="24"/>
          <w:szCs w:val="24"/>
        </w:rPr>
        <w:t>r</w:t>
      </w:r>
      <w:r w:rsidR="00C12D91" w:rsidRPr="00F8465B">
        <w:rPr>
          <w:rFonts w:ascii="Cambria" w:hAnsi="Cambria"/>
          <w:sz w:val="24"/>
          <w:szCs w:val="24"/>
        </w:rPr>
        <w:t xml:space="preserve"> </w:t>
      </w:r>
      <w:r w:rsidR="00E940E5" w:rsidRPr="00F8465B">
        <w:rPr>
          <w:rFonts w:ascii="Cambria" w:hAnsi="Cambria"/>
          <w:sz w:val="24"/>
          <w:szCs w:val="24"/>
        </w:rPr>
        <w:t>Únic</w:t>
      </w:r>
      <w:r>
        <w:rPr>
          <w:rFonts w:ascii="Cambria" w:hAnsi="Cambria"/>
          <w:sz w:val="24"/>
          <w:szCs w:val="24"/>
        </w:rPr>
        <w:t>o</w:t>
      </w:r>
      <w:r w:rsidR="00C12D91" w:rsidRPr="00F8465B">
        <w:rPr>
          <w:rFonts w:ascii="Cambria" w:hAnsi="Cambria"/>
          <w:sz w:val="24"/>
          <w:szCs w:val="24"/>
        </w:rPr>
        <w:t xml:space="preserve"> ha formulado estas cuentas anuales teniendo en consideración la totalidad de los principios y normas contables de aplicación obligatoria que tienen un efecto significativo en dichas cuentas anuales. No existe ningún principio contable que siendo obligatorio, haya dejado de aplicarse.</w:t>
      </w:r>
    </w:p>
    <w:p w14:paraId="04AEB100" w14:textId="77777777" w:rsidR="00361596" w:rsidRPr="00F8465B" w:rsidRDefault="00361596" w:rsidP="0024783F">
      <w:pPr>
        <w:pStyle w:val="Ttulo2"/>
        <w:keepNext/>
        <w:ind w:left="426"/>
        <w:rPr>
          <w:rFonts w:ascii="Cambria" w:hAnsi="Cambria"/>
          <w:sz w:val="24"/>
          <w:szCs w:val="24"/>
        </w:rPr>
      </w:pPr>
    </w:p>
    <w:p w14:paraId="3CC8FC21" w14:textId="77777777" w:rsidR="00C12D91" w:rsidRPr="00F8465B" w:rsidRDefault="00C12D91" w:rsidP="00A75583">
      <w:pPr>
        <w:pStyle w:val="Ttulo2"/>
        <w:keepNext/>
        <w:ind w:left="567"/>
        <w:rPr>
          <w:rFonts w:ascii="Cambria" w:hAnsi="Cambria"/>
          <w:sz w:val="24"/>
          <w:szCs w:val="24"/>
        </w:rPr>
      </w:pPr>
      <w:r w:rsidRPr="00F8465B">
        <w:rPr>
          <w:rFonts w:ascii="Cambria" w:hAnsi="Cambria"/>
          <w:sz w:val="24"/>
          <w:szCs w:val="24"/>
        </w:rPr>
        <w:t>2.</w:t>
      </w:r>
      <w:r w:rsidR="00496A45" w:rsidRPr="00F8465B">
        <w:rPr>
          <w:rFonts w:ascii="Cambria" w:hAnsi="Cambria"/>
          <w:sz w:val="24"/>
          <w:szCs w:val="24"/>
        </w:rPr>
        <w:t>4</w:t>
      </w:r>
      <w:r w:rsidRPr="00F8465B">
        <w:rPr>
          <w:rFonts w:ascii="Cambria" w:hAnsi="Cambria"/>
          <w:sz w:val="24"/>
          <w:szCs w:val="24"/>
        </w:rPr>
        <w:t xml:space="preserve"> Aspectos críticos de la valoración y estimación de la incertidumbre</w:t>
      </w:r>
    </w:p>
    <w:p w14:paraId="057D617F" w14:textId="77777777" w:rsidR="00C12D91" w:rsidRPr="00F8465B" w:rsidRDefault="00C12D91" w:rsidP="0024783F">
      <w:pPr>
        <w:ind w:left="426"/>
        <w:rPr>
          <w:rFonts w:ascii="Cambria" w:hAnsi="Cambria"/>
          <w:sz w:val="24"/>
          <w:szCs w:val="24"/>
        </w:rPr>
      </w:pPr>
    </w:p>
    <w:p w14:paraId="36120101" w14:textId="77777777" w:rsidR="00C12D91" w:rsidRPr="00F8465B" w:rsidRDefault="00C12D91" w:rsidP="00A75583">
      <w:pPr>
        <w:pStyle w:val="Ttulo1a"/>
        <w:ind w:left="567"/>
        <w:rPr>
          <w:rFonts w:ascii="Cambria" w:hAnsi="Cambria"/>
          <w:sz w:val="24"/>
          <w:szCs w:val="24"/>
        </w:rPr>
      </w:pPr>
      <w:r w:rsidRPr="00F8465B">
        <w:rPr>
          <w:rFonts w:ascii="Cambria" w:hAnsi="Cambria"/>
          <w:sz w:val="24"/>
          <w:szCs w:val="24"/>
        </w:rPr>
        <w:t>En la elaboración de las cuentas anuales adjuntas se han utilizado estimaciones realizadas por la Sociedad para valorar algunos de los activos, pasivos, ingresos, gastos y compromisos que figuran registrados en ellas. Básicamente, estas estimaciones se refieren a:</w:t>
      </w:r>
    </w:p>
    <w:p w14:paraId="6BBD6238" w14:textId="77777777" w:rsidR="00C12D91" w:rsidRPr="00F8465B" w:rsidRDefault="00C12D91" w:rsidP="0024783F">
      <w:pPr>
        <w:pStyle w:val="Lista"/>
        <w:rPr>
          <w:rFonts w:ascii="Cambria" w:hAnsi="Cambria"/>
          <w:sz w:val="24"/>
          <w:szCs w:val="24"/>
        </w:rPr>
      </w:pPr>
    </w:p>
    <w:p w14:paraId="5B6DFCE5" w14:textId="2A87A53B" w:rsidR="00C12D91" w:rsidRPr="006F11B4" w:rsidRDefault="00C12D91" w:rsidP="006F11B4">
      <w:pPr>
        <w:pStyle w:val="Listaconnmeros"/>
        <w:numPr>
          <w:ilvl w:val="0"/>
          <w:numId w:val="6"/>
        </w:numPr>
        <w:shd w:val="clear" w:color="auto" w:fill="FFFFFF" w:themeFill="background1"/>
        <w:tabs>
          <w:tab w:val="clear" w:pos="1440"/>
          <w:tab w:val="num" w:pos="993"/>
        </w:tabs>
        <w:ind w:left="993" w:hanging="426"/>
        <w:rPr>
          <w:rFonts w:ascii="Cambria" w:hAnsi="Cambria"/>
          <w:sz w:val="24"/>
          <w:szCs w:val="24"/>
        </w:rPr>
      </w:pPr>
      <w:r w:rsidRPr="006F11B4">
        <w:rPr>
          <w:rFonts w:ascii="Cambria" w:hAnsi="Cambria"/>
          <w:sz w:val="24"/>
          <w:szCs w:val="24"/>
        </w:rPr>
        <w:t>Las hipótesis empleadas en el cálculo actuarial de los pasivos por pensiones y otros compromisos con el p</w:t>
      </w:r>
      <w:r w:rsidR="008C4DAC" w:rsidRPr="006F11B4">
        <w:rPr>
          <w:rFonts w:ascii="Cambria" w:hAnsi="Cambria"/>
          <w:sz w:val="24"/>
          <w:szCs w:val="24"/>
        </w:rPr>
        <w:t>ersonal (Not</w:t>
      </w:r>
      <w:r w:rsidR="00A147DE" w:rsidRPr="006F11B4">
        <w:rPr>
          <w:rFonts w:ascii="Cambria" w:hAnsi="Cambria"/>
          <w:sz w:val="24"/>
          <w:szCs w:val="24"/>
        </w:rPr>
        <w:t>a 4.</w:t>
      </w:r>
      <w:r w:rsidR="00BA456F" w:rsidRPr="006F11B4">
        <w:rPr>
          <w:rFonts w:ascii="Cambria" w:hAnsi="Cambria"/>
          <w:sz w:val="24"/>
          <w:szCs w:val="24"/>
        </w:rPr>
        <w:t>10</w:t>
      </w:r>
      <w:r w:rsidRPr="006F11B4">
        <w:rPr>
          <w:rFonts w:ascii="Cambria" w:hAnsi="Cambria"/>
          <w:sz w:val="24"/>
          <w:szCs w:val="24"/>
        </w:rPr>
        <w:t>).</w:t>
      </w:r>
    </w:p>
    <w:p w14:paraId="258BD574" w14:textId="0D5F694C" w:rsidR="00C12D91" w:rsidRPr="006F11B4" w:rsidRDefault="00E41067" w:rsidP="006F11B4">
      <w:pPr>
        <w:pStyle w:val="Listaconnmeros"/>
        <w:numPr>
          <w:ilvl w:val="0"/>
          <w:numId w:val="6"/>
        </w:numPr>
        <w:shd w:val="clear" w:color="auto" w:fill="FFFFFF" w:themeFill="background1"/>
        <w:tabs>
          <w:tab w:val="clear" w:pos="1440"/>
          <w:tab w:val="num" w:pos="993"/>
        </w:tabs>
        <w:ind w:left="993" w:hanging="426"/>
        <w:rPr>
          <w:rFonts w:ascii="Cambria" w:hAnsi="Cambria"/>
          <w:sz w:val="24"/>
          <w:szCs w:val="24"/>
        </w:rPr>
      </w:pPr>
      <w:r w:rsidRPr="006F11B4">
        <w:rPr>
          <w:rFonts w:ascii="Cambria" w:hAnsi="Cambria"/>
          <w:sz w:val="24"/>
          <w:szCs w:val="24"/>
        </w:rPr>
        <w:t>Registro y valoración de activos y pasivos financieros</w:t>
      </w:r>
      <w:r w:rsidR="00C12D91" w:rsidRPr="006F11B4">
        <w:rPr>
          <w:rFonts w:ascii="Cambria" w:hAnsi="Cambria"/>
          <w:sz w:val="24"/>
          <w:szCs w:val="24"/>
        </w:rPr>
        <w:t xml:space="preserve"> </w:t>
      </w:r>
      <w:r w:rsidR="00F72F8E" w:rsidRPr="006F11B4">
        <w:rPr>
          <w:rFonts w:ascii="Cambria" w:hAnsi="Cambria"/>
          <w:sz w:val="24"/>
          <w:szCs w:val="24"/>
        </w:rPr>
        <w:t>(No</w:t>
      </w:r>
      <w:r w:rsidR="00A147DE" w:rsidRPr="006F11B4">
        <w:rPr>
          <w:rFonts w:ascii="Cambria" w:hAnsi="Cambria"/>
          <w:sz w:val="24"/>
          <w:szCs w:val="24"/>
        </w:rPr>
        <w:t>ta 4.</w:t>
      </w:r>
      <w:r w:rsidR="00DE36CA" w:rsidRPr="006F11B4">
        <w:rPr>
          <w:rFonts w:ascii="Cambria" w:hAnsi="Cambria"/>
          <w:sz w:val="24"/>
          <w:szCs w:val="24"/>
        </w:rPr>
        <w:t>4</w:t>
      </w:r>
      <w:r w:rsidR="00C12D91" w:rsidRPr="006F11B4">
        <w:rPr>
          <w:rFonts w:ascii="Cambria" w:hAnsi="Cambria"/>
          <w:sz w:val="24"/>
          <w:szCs w:val="24"/>
        </w:rPr>
        <w:t>).</w:t>
      </w:r>
    </w:p>
    <w:p w14:paraId="00888B13" w14:textId="4F00440F" w:rsidR="00770666" w:rsidRPr="006F11B4" w:rsidRDefault="00A565D7" w:rsidP="006F11B4">
      <w:pPr>
        <w:pStyle w:val="Listaconnmeros"/>
        <w:numPr>
          <w:ilvl w:val="0"/>
          <w:numId w:val="6"/>
        </w:numPr>
        <w:shd w:val="clear" w:color="auto" w:fill="FFFFFF" w:themeFill="background1"/>
        <w:tabs>
          <w:tab w:val="clear" w:pos="1440"/>
          <w:tab w:val="num" w:pos="993"/>
        </w:tabs>
        <w:ind w:left="993" w:hanging="426"/>
        <w:rPr>
          <w:rFonts w:ascii="Cambria" w:hAnsi="Cambria"/>
          <w:sz w:val="24"/>
          <w:szCs w:val="24"/>
        </w:rPr>
      </w:pPr>
      <w:r w:rsidRPr="006F11B4">
        <w:rPr>
          <w:rFonts w:ascii="Cambria" w:hAnsi="Cambria"/>
          <w:sz w:val="24"/>
          <w:szCs w:val="24"/>
        </w:rPr>
        <w:t>La estimación de determinadas provisiones (Nota 4.</w:t>
      </w:r>
      <w:r w:rsidR="00BA456F" w:rsidRPr="006F11B4">
        <w:rPr>
          <w:rFonts w:ascii="Cambria" w:hAnsi="Cambria"/>
          <w:sz w:val="24"/>
          <w:szCs w:val="24"/>
        </w:rPr>
        <w:t xml:space="preserve">8 </w:t>
      </w:r>
      <w:r w:rsidR="0003790F" w:rsidRPr="006F11B4">
        <w:rPr>
          <w:rFonts w:ascii="Cambria" w:hAnsi="Cambria"/>
          <w:sz w:val="24"/>
          <w:szCs w:val="24"/>
        </w:rPr>
        <w:t>y 4.</w:t>
      </w:r>
      <w:r w:rsidR="00BA456F" w:rsidRPr="006F11B4">
        <w:rPr>
          <w:rFonts w:ascii="Cambria" w:hAnsi="Cambria"/>
          <w:sz w:val="24"/>
          <w:szCs w:val="24"/>
        </w:rPr>
        <w:t>11</w:t>
      </w:r>
      <w:r w:rsidRPr="006F11B4">
        <w:rPr>
          <w:rFonts w:ascii="Cambria" w:hAnsi="Cambria"/>
          <w:sz w:val="24"/>
          <w:szCs w:val="24"/>
        </w:rPr>
        <w:t>).</w:t>
      </w:r>
    </w:p>
    <w:p w14:paraId="114C19C4" w14:textId="77777777" w:rsidR="00E6485D" w:rsidRPr="00F8465B" w:rsidRDefault="00E6485D" w:rsidP="0024783F">
      <w:pPr>
        <w:pStyle w:val="Listaconnmeros"/>
        <w:tabs>
          <w:tab w:val="num" w:pos="851"/>
        </w:tabs>
        <w:ind w:left="851" w:hanging="425"/>
        <w:rPr>
          <w:rFonts w:ascii="Cambria" w:hAnsi="Cambria"/>
          <w:sz w:val="24"/>
          <w:szCs w:val="24"/>
        </w:rPr>
      </w:pPr>
    </w:p>
    <w:p w14:paraId="2F854115" w14:textId="12E3DD03" w:rsidR="00A75583" w:rsidRPr="00F8465B" w:rsidRDefault="00C12D91" w:rsidP="002D6127">
      <w:pPr>
        <w:pStyle w:val="Ttulo1a"/>
        <w:ind w:left="567"/>
        <w:rPr>
          <w:rFonts w:ascii="Cambria" w:hAnsi="Cambria"/>
          <w:sz w:val="24"/>
          <w:szCs w:val="24"/>
        </w:rPr>
      </w:pPr>
      <w:r w:rsidRPr="00F8465B">
        <w:rPr>
          <w:rFonts w:ascii="Cambria" w:hAnsi="Cambria"/>
          <w:sz w:val="24"/>
          <w:szCs w:val="24"/>
        </w:rPr>
        <w:t>A pesar de que estas estimaciones se han realizado en función de la mejor información disponible al cierre del 20</w:t>
      </w:r>
      <w:r w:rsidR="0053128F">
        <w:rPr>
          <w:rFonts w:ascii="Cambria" w:hAnsi="Cambria"/>
          <w:sz w:val="24"/>
          <w:szCs w:val="24"/>
        </w:rPr>
        <w:t>20</w:t>
      </w:r>
      <w:r w:rsidRPr="007075DD">
        <w:rPr>
          <w:rFonts w:ascii="Cambria" w:hAnsi="Cambria"/>
          <w:sz w:val="24"/>
          <w:szCs w:val="24"/>
        </w:rPr>
        <w:t>,</w:t>
      </w:r>
      <w:r w:rsidRPr="00F8465B">
        <w:rPr>
          <w:rFonts w:ascii="Cambria" w:hAnsi="Cambria"/>
          <w:sz w:val="24"/>
          <w:szCs w:val="24"/>
        </w:rPr>
        <w:t xml:space="preserve"> pudiera ocurrir que como consecuencia de cambios externos o de la disposición de información adicional</w:t>
      </w:r>
      <w:r w:rsidR="00A10D25">
        <w:rPr>
          <w:rFonts w:ascii="Cambria" w:hAnsi="Cambria"/>
          <w:sz w:val="24"/>
          <w:szCs w:val="24"/>
        </w:rPr>
        <w:t>,</w:t>
      </w:r>
      <w:r w:rsidRPr="00F8465B">
        <w:rPr>
          <w:rFonts w:ascii="Cambria" w:hAnsi="Cambria"/>
          <w:sz w:val="24"/>
          <w:szCs w:val="24"/>
        </w:rPr>
        <w:t xml:space="preserve"> dichas estimaciones sean re</w:t>
      </w:r>
      <w:r w:rsidR="00E64F16" w:rsidRPr="00F8465B">
        <w:rPr>
          <w:rFonts w:ascii="Cambria" w:hAnsi="Cambria"/>
          <w:sz w:val="24"/>
          <w:szCs w:val="24"/>
        </w:rPr>
        <w:t>evaluadas en ejercicios futuros</w:t>
      </w:r>
      <w:r w:rsidR="009E7894" w:rsidRPr="00F8465B">
        <w:rPr>
          <w:rFonts w:ascii="Cambria" w:hAnsi="Cambria"/>
          <w:sz w:val="24"/>
          <w:szCs w:val="24"/>
        </w:rPr>
        <w:t>, en cuyo caso, se</w:t>
      </w:r>
      <w:r w:rsidR="00E64F16" w:rsidRPr="00F8465B">
        <w:rPr>
          <w:rFonts w:ascii="Cambria" w:hAnsi="Cambria"/>
          <w:sz w:val="24"/>
          <w:szCs w:val="24"/>
        </w:rPr>
        <w:t xml:space="preserve"> modificar</w:t>
      </w:r>
      <w:r w:rsidR="00A11B86" w:rsidRPr="00F8465B">
        <w:rPr>
          <w:rFonts w:ascii="Cambria" w:hAnsi="Cambria"/>
          <w:sz w:val="24"/>
          <w:szCs w:val="24"/>
        </w:rPr>
        <w:t>ía</w:t>
      </w:r>
      <w:r w:rsidR="00E64F16" w:rsidRPr="00F8465B">
        <w:rPr>
          <w:rFonts w:ascii="Cambria" w:hAnsi="Cambria"/>
          <w:sz w:val="24"/>
          <w:szCs w:val="24"/>
        </w:rPr>
        <w:t>n de forma prospectiva.</w:t>
      </w:r>
    </w:p>
    <w:p w14:paraId="261E8F8B" w14:textId="7F122C24" w:rsidR="00BD664D" w:rsidRDefault="00BD664D">
      <w:pPr>
        <w:keepLines w:val="0"/>
        <w:widowControl/>
        <w:jc w:val="left"/>
        <w:rPr>
          <w:rFonts w:ascii="Cambria" w:hAnsi="Cambria"/>
          <w:sz w:val="24"/>
          <w:szCs w:val="24"/>
        </w:rPr>
      </w:pPr>
      <w:r>
        <w:rPr>
          <w:rFonts w:ascii="Cambria" w:hAnsi="Cambria"/>
          <w:sz w:val="24"/>
          <w:szCs w:val="24"/>
        </w:rPr>
        <w:br w:type="page"/>
      </w:r>
    </w:p>
    <w:p w14:paraId="7D759F92" w14:textId="77777777" w:rsidR="00AD4863" w:rsidRDefault="00AD4863" w:rsidP="00AD4863"/>
    <w:p w14:paraId="6CDE15BE" w14:textId="77777777" w:rsidR="00BD664D" w:rsidRDefault="00BD664D" w:rsidP="00BD664D">
      <w:pPr>
        <w:pStyle w:val="Ttulo1a"/>
        <w:ind w:left="567"/>
        <w:rPr>
          <w:rFonts w:ascii="Cambria" w:hAnsi="Cambria"/>
          <w:sz w:val="24"/>
          <w:szCs w:val="24"/>
        </w:rPr>
      </w:pPr>
      <w:r w:rsidRPr="00F8465B">
        <w:rPr>
          <w:rFonts w:ascii="Cambria" w:hAnsi="Cambria"/>
          <w:sz w:val="24"/>
          <w:szCs w:val="24"/>
        </w:rPr>
        <w:t>Principio de Empresa en funcionamiento</w:t>
      </w:r>
    </w:p>
    <w:p w14:paraId="1EF50C5E" w14:textId="77777777" w:rsidR="00BD664D" w:rsidRDefault="00BD664D" w:rsidP="00BD664D"/>
    <w:p w14:paraId="68C17D76" w14:textId="50E2445A" w:rsidR="006E05CA" w:rsidRDefault="006E05CA" w:rsidP="00BD664D">
      <w:pPr>
        <w:pStyle w:val="Ttulo1a"/>
        <w:ind w:left="567"/>
        <w:rPr>
          <w:rFonts w:ascii="Cambria" w:hAnsi="Cambria"/>
          <w:sz w:val="24"/>
          <w:szCs w:val="24"/>
        </w:rPr>
      </w:pPr>
      <w:r w:rsidRPr="00107FF5">
        <w:rPr>
          <w:rFonts w:ascii="Cambria" w:hAnsi="Cambria"/>
          <w:sz w:val="24"/>
          <w:szCs w:val="24"/>
        </w:rPr>
        <w:t xml:space="preserve">A </w:t>
      </w:r>
      <w:r>
        <w:rPr>
          <w:rFonts w:ascii="Cambria" w:hAnsi="Cambria"/>
          <w:sz w:val="24"/>
          <w:szCs w:val="24"/>
        </w:rPr>
        <w:t>31 de diciembre</w:t>
      </w:r>
      <w:r w:rsidRPr="00107FF5">
        <w:rPr>
          <w:rFonts w:ascii="Cambria" w:hAnsi="Cambria"/>
          <w:sz w:val="24"/>
          <w:szCs w:val="24"/>
        </w:rPr>
        <w:t xml:space="preserve"> de 2020 el patrimonio neto presenta un importe negativo de </w:t>
      </w:r>
      <w:r w:rsidR="00FC2BE7">
        <w:rPr>
          <w:rFonts w:ascii="Cambria" w:hAnsi="Cambria"/>
          <w:sz w:val="24"/>
          <w:szCs w:val="24"/>
        </w:rPr>
        <w:t>327</w:t>
      </w:r>
      <w:r w:rsidRPr="00107FF5">
        <w:rPr>
          <w:rFonts w:ascii="Cambria" w:hAnsi="Cambria"/>
          <w:sz w:val="24"/>
          <w:szCs w:val="24"/>
        </w:rPr>
        <w:t xml:space="preserve"> miles de euros. A este respecto, hay que considerar lo que indica la reciente Ley 3/2020 de 18 de septiembre, que determina que, a los efectos de determinar la concurrencia de la causa de disolución prevista en el artículo 363.1 e) del texto refundido de la Ley de Sociedades de Capital, no se tomarán en consideración las pérdidas del ejercicio 2020, por lo que la Sociedad no estaría en causa de disolución</w:t>
      </w:r>
    </w:p>
    <w:p w14:paraId="5DB6FDDD" w14:textId="77777777" w:rsidR="006E05CA" w:rsidRDefault="006E05CA" w:rsidP="00BD664D">
      <w:pPr>
        <w:pStyle w:val="Ttulo1a"/>
        <w:ind w:left="567"/>
        <w:rPr>
          <w:rFonts w:ascii="Cambria" w:hAnsi="Cambria"/>
          <w:sz w:val="24"/>
          <w:szCs w:val="24"/>
        </w:rPr>
      </w:pPr>
    </w:p>
    <w:p w14:paraId="39E82CD1" w14:textId="43D7416B" w:rsidR="00BD664D" w:rsidRPr="00F8465B" w:rsidRDefault="00BD664D" w:rsidP="00BD664D">
      <w:pPr>
        <w:pStyle w:val="Ttulo1a"/>
        <w:ind w:left="567"/>
        <w:rPr>
          <w:rFonts w:ascii="Cambria" w:hAnsi="Cambria"/>
          <w:sz w:val="24"/>
          <w:szCs w:val="24"/>
        </w:rPr>
      </w:pPr>
      <w:r w:rsidRPr="00F8465B">
        <w:rPr>
          <w:rFonts w:ascii="Cambria" w:hAnsi="Cambria"/>
          <w:sz w:val="24"/>
          <w:szCs w:val="24"/>
        </w:rPr>
        <w:t xml:space="preserve">Las cuentas anuales han sido formuladas asumiendo el principio de empresa en funcionamiento, es decir, asumiendo que la actividad de la Sociedad continúa. </w:t>
      </w:r>
      <w:r w:rsidR="006E05CA">
        <w:rPr>
          <w:rFonts w:ascii="Cambria" w:hAnsi="Cambria"/>
          <w:sz w:val="24"/>
          <w:szCs w:val="24"/>
        </w:rPr>
        <w:t>E</w:t>
      </w:r>
      <w:r w:rsidRPr="00555AD0">
        <w:rPr>
          <w:rFonts w:ascii="Cambria" w:hAnsi="Cambria"/>
          <w:sz w:val="24"/>
          <w:szCs w:val="24"/>
        </w:rPr>
        <w:t>xisten</w:t>
      </w:r>
      <w:r w:rsidRPr="00F8465B">
        <w:rPr>
          <w:rFonts w:ascii="Cambria" w:hAnsi="Cambria"/>
          <w:sz w:val="24"/>
          <w:szCs w:val="24"/>
        </w:rPr>
        <w:t xml:space="preserve"> una serie de factores que mitigan la duda sobre la capacidad de la entidad para continuar con su actividad:</w:t>
      </w:r>
    </w:p>
    <w:p w14:paraId="1B0C3062" w14:textId="77777777" w:rsidR="00BD664D" w:rsidRPr="00F8465B" w:rsidRDefault="00BD664D" w:rsidP="00BD664D">
      <w:pPr>
        <w:rPr>
          <w:rFonts w:ascii="Cambria" w:hAnsi="Cambria"/>
          <w:sz w:val="24"/>
          <w:szCs w:val="24"/>
        </w:rPr>
      </w:pPr>
    </w:p>
    <w:p w14:paraId="3DA8ED01" w14:textId="77777777" w:rsidR="00BD664D" w:rsidRPr="00F8465B" w:rsidRDefault="00BD664D" w:rsidP="00BD664D">
      <w:pPr>
        <w:pStyle w:val="Prrafodelista"/>
        <w:numPr>
          <w:ilvl w:val="0"/>
          <w:numId w:val="37"/>
        </w:numPr>
        <w:ind w:left="993" w:hanging="426"/>
        <w:rPr>
          <w:rFonts w:ascii="Cambria" w:hAnsi="Cambria"/>
          <w:sz w:val="24"/>
          <w:szCs w:val="24"/>
        </w:rPr>
      </w:pPr>
      <w:r w:rsidRPr="00F8465B">
        <w:rPr>
          <w:rFonts w:ascii="Cambria" w:hAnsi="Cambria"/>
          <w:sz w:val="24"/>
          <w:szCs w:val="24"/>
        </w:rPr>
        <w:t>Las pérdidas producidas en el ejercicio 2015 se debieron a situaciones atípicas y extraordinarias que han seguido su devenir judicial en el ejercicio 2016</w:t>
      </w:r>
      <w:r>
        <w:rPr>
          <w:rFonts w:ascii="Cambria" w:hAnsi="Cambria"/>
          <w:sz w:val="24"/>
          <w:szCs w:val="24"/>
        </w:rPr>
        <w:t xml:space="preserve"> y siguientes</w:t>
      </w:r>
      <w:r w:rsidRPr="00F8465B">
        <w:rPr>
          <w:rFonts w:ascii="Cambria" w:hAnsi="Cambria"/>
          <w:sz w:val="24"/>
          <w:szCs w:val="24"/>
        </w:rPr>
        <w:t>. En el presente ejercicio se ha actualizado la correspondiente provisión.</w:t>
      </w:r>
    </w:p>
    <w:p w14:paraId="14990B32" w14:textId="33F27516" w:rsidR="00BD664D" w:rsidRPr="00CA5836" w:rsidRDefault="00BD664D" w:rsidP="00BD664D">
      <w:pPr>
        <w:pStyle w:val="Prrafodelista"/>
        <w:numPr>
          <w:ilvl w:val="0"/>
          <w:numId w:val="37"/>
        </w:numPr>
        <w:ind w:left="993" w:hanging="426"/>
        <w:rPr>
          <w:rFonts w:ascii="Cambria" w:hAnsi="Cambria"/>
          <w:sz w:val="24"/>
          <w:szCs w:val="24"/>
        </w:rPr>
      </w:pPr>
      <w:r w:rsidRPr="00F8465B">
        <w:rPr>
          <w:rFonts w:ascii="Cambria" w:hAnsi="Cambria"/>
          <w:sz w:val="24"/>
          <w:szCs w:val="24"/>
        </w:rPr>
        <w:t xml:space="preserve">El Accionista Único de la Sociedad, Sociedad Estatal de Participaciones Industriales (SEPI), </w:t>
      </w:r>
      <w:r w:rsidRPr="00555AD0">
        <w:rPr>
          <w:rFonts w:ascii="Cambria" w:hAnsi="Cambria"/>
          <w:sz w:val="24"/>
          <w:szCs w:val="24"/>
        </w:rPr>
        <w:t xml:space="preserve">en su Junta </w:t>
      </w:r>
      <w:r w:rsidRPr="00D86D55">
        <w:rPr>
          <w:rFonts w:ascii="Cambria" w:hAnsi="Cambria"/>
          <w:sz w:val="24"/>
          <w:szCs w:val="24"/>
        </w:rPr>
        <w:t xml:space="preserve">General Extraordinaria </w:t>
      </w:r>
      <w:r w:rsidRPr="006E05CA">
        <w:rPr>
          <w:rFonts w:ascii="Cambria" w:hAnsi="Cambria"/>
          <w:sz w:val="24"/>
          <w:szCs w:val="24"/>
        </w:rPr>
        <w:t xml:space="preserve">de </w:t>
      </w:r>
      <w:r w:rsidR="006E05CA" w:rsidRPr="006E05CA">
        <w:rPr>
          <w:rFonts w:ascii="Cambria" w:hAnsi="Cambria"/>
          <w:sz w:val="24"/>
          <w:szCs w:val="24"/>
        </w:rPr>
        <w:t xml:space="preserve">25 </w:t>
      </w:r>
      <w:r w:rsidRPr="006E05CA">
        <w:rPr>
          <w:rFonts w:ascii="Cambria" w:hAnsi="Cambria"/>
          <w:sz w:val="24"/>
          <w:szCs w:val="24"/>
        </w:rPr>
        <w:t>de marzo de 2021,</w:t>
      </w:r>
      <w:r w:rsidRPr="00FB14CB">
        <w:rPr>
          <w:rFonts w:ascii="Cambria" w:hAnsi="Cambria"/>
          <w:sz w:val="24"/>
          <w:szCs w:val="24"/>
        </w:rPr>
        <w:t xml:space="preserve"> </w:t>
      </w:r>
      <w:r>
        <w:rPr>
          <w:rFonts w:ascii="Cambria" w:hAnsi="Cambria"/>
          <w:sz w:val="24"/>
          <w:szCs w:val="24"/>
        </w:rPr>
        <w:t xml:space="preserve"> ha adoptado el </w:t>
      </w:r>
      <w:r w:rsidRPr="00FB14CB">
        <w:rPr>
          <w:rFonts w:ascii="Cambria" w:hAnsi="Cambria"/>
          <w:sz w:val="24"/>
          <w:szCs w:val="24"/>
        </w:rPr>
        <w:t xml:space="preserve">acuerdo de hacer una aportación de fondos a Cofivacasa por </w:t>
      </w:r>
      <w:r w:rsidRPr="00CA5836">
        <w:rPr>
          <w:rFonts w:ascii="Cambria" w:hAnsi="Cambria"/>
          <w:sz w:val="24"/>
          <w:szCs w:val="24"/>
        </w:rPr>
        <w:t xml:space="preserve">importe de </w:t>
      </w:r>
      <w:r w:rsidR="00D86D55" w:rsidRPr="00CA5836">
        <w:rPr>
          <w:rFonts w:ascii="Cambria" w:hAnsi="Cambria"/>
          <w:sz w:val="24"/>
          <w:szCs w:val="24"/>
        </w:rPr>
        <w:t>3.</w:t>
      </w:r>
      <w:r w:rsidR="00CA5836" w:rsidRPr="00CA5836">
        <w:rPr>
          <w:rFonts w:ascii="Cambria" w:hAnsi="Cambria"/>
          <w:sz w:val="24"/>
          <w:szCs w:val="24"/>
        </w:rPr>
        <w:t xml:space="preserve">332 </w:t>
      </w:r>
      <w:r w:rsidRPr="00CA5836">
        <w:rPr>
          <w:rFonts w:ascii="Cambria" w:hAnsi="Cambria"/>
          <w:sz w:val="24"/>
          <w:szCs w:val="24"/>
        </w:rPr>
        <w:t>miles de euros para reestructurar su patrimonio</w:t>
      </w:r>
      <w:r w:rsidR="006E05CA" w:rsidRPr="00CA5836">
        <w:rPr>
          <w:rFonts w:ascii="Cambria" w:hAnsi="Cambria"/>
          <w:sz w:val="24"/>
          <w:szCs w:val="24"/>
        </w:rPr>
        <w:t>.</w:t>
      </w:r>
    </w:p>
    <w:p w14:paraId="2477A4F5" w14:textId="77777777" w:rsidR="00AD4863" w:rsidRDefault="00AD4863" w:rsidP="00AD4863"/>
    <w:p w14:paraId="5CD7088F" w14:textId="77777777" w:rsidR="00C12D91" w:rsidRPr="00F8465B" w:rsidRDefault="00C12D91" w:rsidP="00A75583">
      <w:pPr>
        <w:pStyle w:val="Ttulo2"/>
        <w:keepNext/>
        <w:ind w:left="567"/>
        <w:rPr>
          <w:rFonts w:ascii="Cambria" w:hAnsi="Cambria"/>
          <w:sz w:val="24"/>
          <w:szCs w:val="24"/>
        </w:rPr>
      </w:pPr>
      <w:r w:rsidRPr="00F8465B">
        <w:rPr>
          <w:rFonts w:ascii="Cambria" w:hAnsi="Cambria"/>
          <w:sz w:val="24"/>
          <w:szCs w:val="24"/>
        </w:rPr>
        <w:t>2.</w:t>
      </w:r>
      <w:r w:rsidR="00496A45" w:rsidRPr="00F8465B">
        <w:rPr>
          <w:rFonts w:ascii="Cambria" w:hAnsi="Cambria"/>
          <w:sz w:val="24"/>
          <w:szCs w:val="24"/>
        </w:rPr>
        <w:t>5</w:t>
      </w:r>
      <w:r w:rsidR="00EE3FCA" w:rsidRPr="00F8465B">
        <w:rPr>
          <w:rFonts w:ascii="Cambria" w:hAnsi="Cambria"/>
          <w:sz w:val="24"/>
          <w:szCs w:val="24"/>
        </w:rPr>
        <w:t xml:space="preserve"> Comparación de la información</w:t>
      </w:r>
    </w:p>
    <w:p w14:paraId="40703CD3" w14:textId="77777777" w:rsidR="00C12D91" w:rsidRPr="00F8465B" w:rsidRDefault="00C12D91" w:rsidP="0024783F">
      <w:pPr>
        <w:pStyle w:val="Lista"/>
        <w:ind w:left="426"/>
        <w:rPr>
          <w:rFonts w:ascii="Cambria" w:hAnsi="Cambria"/>
          <w:sz w:val="24"/>
          <w:szCs w:val="24"/>
        </w:rPr>
      </w:pPr>
    </w:p>
    <w:p w14:paraId="2CDA538E" w14:textId="6714E06F" w:rsidR="00CB1547" w:rsidRDefault="00CB1547" w:rsidP="00A75583">
      <w:pPr>
        <w:pStyle w:val="Ttulo1a"/>
        <w:ind w:left="567"/>
        <w:rPr>
          <w:rFonts w:ascii="Cambria" w:hAnsi="Cambria"/>
          <w:sz w:val="24"/>
          <w:szCs w:val="24"/>
        </w:rPr>
      </w:pPr>
      <w:r w:rsidRPr="00F8465B">
        <w:rPr>
          <w:rFonts w:ascii="Cambria" w:hAnsi="Cambria"/>
          <w:sz w:val="24"/>
          <w:szCs w:val="24"/>
        </w:rPr>
        <w:t xml:space="preserve">De acuerdo con la legislación mercantil, </w:t>
      </w:r>
      <w:r w:rsidR="00F379C8">
        <w:rPr>
          <w:rFonts w:ascii="Cambria" w:hAnsi="Cambria"/>
          <w:sz w:val="24"/>
          <w:szCs w:val="24"/>
        </w:rPr>
        <w:t>el</w:t>
      </w:r>
      <w:r w:rsidRPr="00F8465B">
        <w:rPr>
          <w:rFonts w:ascii="Cambria" w:hAnsi="Cambria"/>
          <w:sz w:val="24"/>
          <w:szCs w:val="24"/>
        </w:rPr>
        <w:t xml:space="preserve"> </w:t>
      </w:r>
      <w:r w:rsidR="00E940E5" w:rsidRPr="00F8465B">
        <w:rPr>
          <w:rFonts w:ascii="Cambria" w:hAnsi="Cambria"/>
          <w:sz w:val="24"/>
          <w:szCs w:val="24"/>
        </w:rPr>
        <w:t>Administrador</w:t>
      </w:r>
      <w:r w:rsidRPr="00F8465B">
        <w:rPr>
          <w:rFonts w:ascii="Cambria" w:hAnsi="Cambria"/>
          <w:sz w:val="24"/>
          <w:szCs w:val="24"/>
        </w:rPr>
        <w:t xml:space="preserve"> </w:t>
      </w:r>
      <w:r w:rsidR="00E940E5" w:rsidRPr="00F8465B">
        <w:rPr>
          <w:rFonts w:ascii="Cambria" w:hAnsi="Cambria"/>
          <w:sz w:val="24"/>
          <w:szCs w:val="24"/>
        </w:rPr>
        <w:t>Únic</w:t>
      </w:r>
      <w:r w:rsidR="00F379C8">
        <w:rPr>
          <w:rFonts w:ascii="Cambria" w:hAnsi="Cambria"/>
          <w:sz w:val="24"/>
          <w:szCs w:val="24"/>
        </w:rPr>
        <w:t>o</w:t>
      </w:r>
      <w:r w:rsidRPr="00F8465B">
        <w:rPr>
          <w:rFonts w:ascii="Cambria" w:hAnsi="Cambria"/>
          <w:sz w:val="24"/>
          <w:szCs w:val="24"/>
        </w:rPr>
        <w:t xml:space="preserve"> presenta, a efectos comparativos, con cada una de las partidas del Balance de Situación, de la</w:t>
      </w:r>
      <w:r w:rsidR="00B93CE8" w:rsidRPr="00F8465B">
        <w:rPr>
          <w:rFonts w:ascii="Cambria" w:hAnsi="Cambria"/>
          <w:sz w:val="24"/>
          <w:szCs w:val="24"/>
        </w:rPr>
        <w:t xml:space="preserve"> Cuenta de Pérdidas y Ganancias,</w:t>
      </w:r>
      <w:r w:rsidRPr="00F8465B">
        <w:rPr>
          <w:rFonts w:ascii="Cambria" w:hAnsi="Cambria"/>
          <w:sz w:val="24"/>
          <w:szCs w:val="24"/>
        </w:rPr>
        <w:t xml:space="preserve"> del Estado de Cambios en el Patrimonio Neto y del Estado de flujos de efectivo, además de las cifras del ejercicio 20</w:t>
      </w:r>
      <w:r w:rsidR="0053128F">
        <w:rPr>
          <w:rFonts w:ascii="Cambria" w:hAnsi="Cambria"/>
          <w:sz w:val="24"/>
          <w:szCs w:val="24"/>
        </w:rPr>
        <w:t>20</w:t>
      </w:r>
      <w:r w:rsidRPr="00F8465B">
        <w:rPr>
          <w:rFonts w:ascii="Cambria" w:hAnsi="Cambria"/>
          <w:sz w:val="24"/>
          <w:szCs w:val="24"/>
        </w:rPr>
        <w:t>, las correspondientes al ejercicio anterior. Las partidas de ambos ejercicios son comparables y homogéneas.</w:t>
      </w:r>
    </w:p>
    <w:p w14:paraId="4EC42D73" w14:textId="77777777" w:rsidR="00623643" w:rsidRPr="00F8465B" w:rsidRDefault="00623643" w:rsidP="00623643"/>
    <w:p w14:paraId="57107DD3" w14:textId="77777777" w:rsidR="006142BF" w:rsidRPr="00F8465B" w:rsidRDefault="006142BF" w:rsidP="00A75583">
      <w:pPr>
        <w:pStyle w:val="Ttulo2"/>
        <w:keepNext/>
        <w:ind w:left="567"/>
        <w:rPr>
          <w:rFonts w:ascii="Cambria" w:hAnsi="Cambria"/>
          <w:sz w:val="24"/>
          <w:szCs w:val="24"/>
        </w:rPr>
      </w:pPr>
      <w:r w:rsidRPr="00F8465B">
        <w:rPr>
          <w:rFonts w:ascii="Cambria" w:hAnsi="Cambria"/>
          <w:sz w:val="24"/>
          <w:szCs w:val="24"/>
        </w:rPr>
        <w:t>2.6 Agrupación de partidas</w:t>
      </w:r>
    </w:p>
    <w:p w14:paraId="2EB7FAD2" w14:textId="77777777" w:rsidR="006142BF" w:rsidRPr="00F8465B" w:rsidRDefault="006142BF" w:rsidP="00A75583">
      <w:pPr>
        <w:pStyle w:val="Ttulo1a"/>
        <w:ind w:left="567"/>
        <w:rPr>
          <w:rFonts w:ascii="Cambria" w:hAnsi="Cambria"/>
          <w:sz w:val="24"/>
          <w:szCs w:val="24"/>
        </w:rPr>
      </w:pPr>
    </w:p>
    <w:p w14:paraId="631E04BB" w14:textId="218B4EE1" w:rsidR="00A75583" w:rsidRPr="00F8465B" w:rsidRDefault="006142BF" w:rsidP="002D6127">
      <w:pPr>
        <w:pStyle w:val="Ttulo1a"/>
        <w:ind w:left="567"/>
        <w:rPr>
          <w:rFonts w:ascii="Cambria" w:hAnsi="Cambria"/>
          <w:sz w:val="24"/>
          <w:szCs w:val="24"/>
        </w:rPr>
      </w:pPr>
      <w:r w:rsidRPr="000523F8">
        <w:rPr>
          <w:rFonts w:ascii="Cambria" w:hAnsi="Cambria"/>
          <w:sz w:val="24"/>
          <w:szCs w:val="24"/>
        </w:rPr>
        <w:t xml:space="preserve">Determinadas partidas del </w:t>
      </w:r>
      <w:r w:rsidR="007236F5">
        <w:rPr>
          <w:rFonts w:ascii="Cambria" w:hAnsi="Cambria"/>
          <w:sz w:val="24"/>
          <w:szCs w:val="24"/>
        </w:rPr>
        <w:t>B</w:t>
      </w:r>
      <w:r w:rsidRPr="000523F8">
        <w:rPr>
          <w:rFonts w:ascii="Cambria" w:hAnsi="Cambria"/>
          <w:sz w:val="24"/>
          <w:szCs w:val="24"/>
        </w:rPr>
        <w:t>alance</w:t>
      </w:r>
      <w:r w:rsidR="007236F5">
        <w:rPr>
          <w:rFonts w:ascii="Cambria" w:hAnsi="Cambria"/>
          <w:sz w:val="24"/>
          <w:szCs w:val="24"/>
        </w:rPr>
        <w:t>, de la cuenta de Pérdidas y Ganancias, del Estado de Cambios en el P</w:t>
      </w:r>
      <w:r w:rsidRPr="000523F8">
        <w:rPr>
          <w:rFonts w:ascii="Cambria" w:hAnsi="Cambria"/>
          <w:sz w:val="24"/>
          <w:szCs w:val="24"/>
        </w:rPr>
        <w:t xml:space="preserve">atrimonio </w:t>
      </w:r>
      <w:r w:rsidR="007236F5">
        <w:rPr>
          <w:rFonts w:ascii="Cambria" w:hAnsi="Cambria"/>
          <w:sz w:val="24"/>
          <w:szCs w:val="24"/>
        </w:rPr>
        <w:t>Neto y del E</w:t>
      </w:r>
      <w:r w:rsidRPr="000523F8">
        <w:rPr>
          <w:rFonts w:ascii="Cambria" w:hAnsi="Cambria"/>
          <w:sz w:val="24"/>
          <w:szCs w:val="24"/>
        </w:rPr>
        <w:t>stado de flujos de efectivo se presentan de forma agrupada para facilitar su comprensión, si bien, en la medida en q</w:t>
      </w:r>
      <w:r w:rsidRPr="00F8465B">
        <w:rPr>
          <w:rFonts w:ascii="Cambria" w:hAnsi="Cambria"/>
          <w:sz w:val="24"/>
          <w:szCs w:val="24"/>
        </w:rPr>
        <w:t xml:space="preserve">ue sea significativa, se ha incluido la información desagregada en las correspondientes </w:t>
      </w:r>
      <w:r w:rsidR="00464F86" w:rsidRPr="00F8465B">
        <w:rPr>
          <w:rFonts w:ascii="Cambria" w:hAnsi="Cambria"/>
          <w:sz w:val="24"/>
          <w:szCs w:val="24"/>
        </w:rPr>
        <w:t>N</w:t>
      </w:r>
      <w:r w:rsidRPr="00F8465B">
        <w:rPr>
          <w:rFonts w:ascii="Cambria" w:hAnsi="Cambria"/>
          <w:sz w:val="24"/>
          <w:szCs w:val="24"/>
        </w:rPr>
        <w:t>otas de la memoria.</w:t>
      </w:r>
    </w:p>
    <w:p w14:paraId="11A86DDA" w14:textId="77777777" w:rsidR="006142BF" w:rsidRPr="00F8465B" w:rsidRDefault="006142BF" w:rsidP="0024783F">
      <w:pPr>
        <w:pStyle w:val="Ttulo2"/>
        <w:keepNext/>
        <w:ind w:left="426"/>
        <w:rPr>
          <w:rFonts w:ascii="Cambria" w:hAnsi="Cambria"/>
          <w:szCs w:val="22"/>
        </w:rPr>
      </w:pPr>
    </w:p>
    <w:p w14:paraId="058AF79A" w14:textId="77777777" w:rsidR="006142BF" w:rsidRPr="00F8465B" w:rsidRDefault="006142BF" w:rsidP="00A75583">
      <w:pPr>
        <w:pStyle w:val="Ttulo2"/>
        <w:keepNext/>
        <w:ind w:left="567"/>
        <w:rPr>
          <w:rFonts w:ascii="Cambria" w:hAnsi="Cambria"/>
          <w:sz w:val="24"/>
          <w:szCs w:val="24"/>
        </w:rPr>
      </w:pPr>
      <w:r w:rsidRPr="00F8465B">
        <w:rPr>
          <w:rFonts w:ascii="Cambria" w:hAnsi="Cambria"/>
          <w:sz w:val="24"/>
          <w:szCs w:val="24"/>
        </w:rPr>
        <w:t>2.7 Cambios de criterios contables</w:t>
      </w:r>
    </w:p>
    <w:p w14:paraId="3F497349" w14:textId="77777777" w:rsidR="006142BF" w:rsidRPr="00F8465B" w:rsidRDefault="006142BF" w:rsidP="00196704">
      <w:pPr>
        <w:pStyle w:val="Ttulo1a"/>
        <w:ind w:left="567"/>
        <w:rPr>
          <w:rFonts w:ascii="Cambria" w:hAnsi="Cambria"/>
          <w:sz w:val="24"/>
          <w:szCs w:val="24"/>
        </w:rPr>
      </w:pPr>
    </w:p>
    <w:p w14:paraId="7FD89507" w14:textId="303101A9" w:rsidR="006142BF" w:rsidRPr="00F8465B" w:rsidRDefault="006142BF" w:rsidP="00196704">
      <w:pPr>
        <w:pStyle w:val="Ttulo1a"/>
        <w:ind w:left="567"/>
        <w:rPr>
          <w:rFonts w:ascii="Cambria" w:hAnsi="Cambria"/>
          <w:sz w:val="24"/>
          <w:szCs w:val="24"/>
        </w:rPr>
      </w:pPr>
      <w:r w:rsidRPr="00F8465B">
        <w:rPr>
          <w:rFonts w:ascii="Cambria" w:hAnsi="Cambria"/>
          <w:sz w:val="24"/>
          <w:szCs w:val="24"/>
        </w:rPr>
        <w:t>Durante el ejercicio 20</w:t>
      </w:r>
      <w:r w:rsidR="0053128F">
        <w:rPr>
          <w:rFonts w:ascii="Cambria" w:hAnsi="Cambria"/>
          <w:sz w:val="24"/>
          <w:szCs w:val="24"/>
        </w:rPr>
        <w:t>20</w:t>
      </w:r>
      <w:r w:rsidR="00464F86" w:rsidRPr="00F8465B">
        <w:rPr>
          <w:rFonts w:ascii="Cambria" w:hAnsi="Cambria"/>
          <w:sz w:val="24"/>
          <w:szCs w:val="24"/>
        </w:rPr>
        <w:t>,</w:t>
      </w:r>
      <w:r w:rsidRPr="00F8465B">
        <w:rPr>
          <w:rFonts w:ascii="Cambria" w:hAnsi="Cambria"/>
          <w:sz w:val="24"/>
          <w:szCs w:val="24"/>
        </w:rPr>
        <w:t xml:space="preserve"> no se han producido cambios de criterios contables significativos respecto a los criterios aplicados en el ejercicio 20</w:t>
      </w:r>
      <w:r w:rsidR="001B7753" w:rsidRPr="00F8465B">
        <w:rPr>
          <w:rFonts w:ascii="Cambria" w:hAnsi="Cambria"/>
          <w:sz w:val="24"/>
          <w:szCs w:val="24"/>
        </w:rPr>
        <w:t>1</w:t>
      </w:r>
      <w:r w:rsidR="0053128F">
        <w:rPr>
          <w:rFonts w:ascii="Cambria" w:hAnsi="Cambria"/>
          <w:sz w:val="24"/>
          <w:szCs w:val="24"/>
        </w:rPr>
        <w:t>9</w:t>
      </w:r>
      <w:r w:rsidRPr="00F8465B">
        <w:rPr>
          <w:rFonts w:ascii="Cambria" w:hAnsi="Cambria"/>
          <w:sz w:val="24"/>
          <w:szCs w:val="24"/>
        </w:rPr>
        <w:t>.</w:t>
      </w:r>
    </w:p>
    <w:p w14:paraId="32DA21C2" w14:textId="3CEA390B" w:rsidR="006E05CA" w:rsidRDefault="006E05CA">
      <w:pPr>
        <w:keepLines w:val="0"/>
        <w:widowControl/>
        <w:jc w:val="left"/>
        <w:rPr>
          <w:rFonts w:ascii="Cambria" w:hAnsi="Cambria"/>
          <w:sz w:val="24"/>
          <w:szCs w:val="24"/>
        </w:rPr>
      </w:pPr>
      <w:r>
        <w:rPr>
          <w:rFonts w:ascii="Cambria" w:hAnsi="Cambria"/>
          <w:sz w:val="24"/>
          <w:szCs w:val="24"/>
        </w:rPr>
        <w:br w:type="page"/>
      </w:r>
    </w:p>
    <w:p w14:paraId="009B3789" w14:textId="77777777" w:rsidR="006142BF" w:rsidRPr="00F8465B" w:rsidRDefault="006142BF" w:rsidP="00196704">
      <w:pPr>
        <w:pStyle w:val="Ttulo1a"/>
        <w:ind w:left="567"/>
        <w:rPr>
          <w:rFonts w:ascii="Cambria" w:hAnsi="Cambria"/>
          <w:sz w:val="24"/>
          <w:szCs w:val="24"/>
        </w:rPr>
      </w:pPr>
    </w:p>
    <w:p w14:paraId="754DDED3" w14:textId="77777777" w:rsidR="006142BF" w:rsidRPr="00F8465B" w:rsidRDefault="006142BF" w:rsidP="00196704">
      <w:pPr>
        <w:pStyle w:val="Ttulo2"/>
        <w:keepNext/>
        <w:ind w:left="567"/>
        <w:rPr>
          <w:rFonts w:ascii="Cambria" w:hAnsi="Cambria"/>
          <w:sz w:val="24"/>
          <w:szCs w:val="24"/>
        </w:rPr>
      </w:pPr>
      <w:r w:rsidRPr="00F8465B">
        <w:rPr>
          <w:rFonts w:ascii="Cambria" w:hAnsi="Cambria"/>
          <w:sz w:val="24"/>
          <w:szCs w:val="24"/>
        </w:rPr>
        <w:t>2.8 Corrección de errores</w:t>
      </w:r>
    </w:p>
    <w:p w14:paraId="476A2C34" w14:textId="77777777" w:rsidR="006142BF" w:rsidRPr="00F8465B" w:rsidRDefault="006142BF" w:rsidP="00196704">
      <w:pPr>
        <w:pStyle w:val="Ttulo1a"/>
        <w:ind w:left="567"/>
        <w:rPr>
          <w:rFonts w:ascii="Cambria" w:hAnsi="Cambria"/>
          <w:sz w:val="24"/>
          <w:szCs w:val="24"/>
        </w:rPr>
      </w:pPr>
    </w:p>
    <w:p w14:paraId="4F2EA1EE" w14:textId="5DAE42C2" w:rsidR="003E3AE4" w:rsidRDefault="006142BF" w:rsidP="00196704">
      <w:pPr>
        <w:pStyle w:val="Ttulo1a"/>
        <w:ind w:left="567"/>
        <w:rPr>
          <w:rFonts w:ascii="Cambria" w:hAnsi="Cambria"/>
          <w:sz w:val="24"/>
          <w:szCs w:val="24"/>
        </w:rPr>
      </w:pPr>
      <w:r w:rsidRPr="00F8465B">
        <w:rPr>
          <w:rFonts w:ascii="Cambria" w:hAnsi="Cambria"/>
          <w:sz w:val="24"/>
          <w:szCs w:val="24"/>
        </w:rPr>
        <w:t>En la elaboración de las cuentas anuales adjuntas no se ha detectado ningún error significativo que haya supuesto la re</w:t>
      </w:r>
      <w:r w:rsidR="002D6127" w:rsidRPr="00F8465B">
        <w:rPr>
          <w:rFonts w:ascii="Cambria" w:hAnsi="Cambria"/>
          <w:sz w:val="24"/>
          <w:szCs w:val="24"/>
        </w:rPr>
        <w:t>-</w:t>
      </w:r>
      <w:r w:rsidRPr="00F8465B">
        <w:rPr>
          <w:rFonts w:ascii="Cambria" w:hAnsi="Cambria"/>
          <w:sz w:val="24"/>
          <w:szCs w:val="24"/>
        </w:rPr>
        <w:t>expresión de los importes incluidos en las cuentas anuales del ejercicio 20</w:t>
      </w:r>
      <w:r w:rsidR="001B7753" w:rsidRPr="00F8465B">
        <w:rPr>
          <w:rFonts w:ascii="Cambria" w:hAnsi="Cambria"/>
          <w:sz w:val="24"/>
          <w:szCs w:val="24"/>
        </w:rPr>
        <w:t>1</w:t>
      </w:r>
      <w:r w:rsidR="0053128F">
        <w:rPr>
          <w:rFonts w:ascii="Cambria" w:hAnsi="Cambria"/>
          <w:sz w:val="24"/>
          <w:szCs w:val="24"/>
        </w:rPr>
        <w:t>9</w:t>
      </w:r>
      <w:r w:rsidRPr="00F8465B">
        <w:rPr>
          <w:rFonts w:ascii="Cambria" w:hAnsi="Cambria"/>
          <w:sz w:val="24"/>
          <w:szCs w:val="24"/>
        </w:rPr>
        <w:t>.</w:t>
      </w:r>
    </w:p>
    <w:p w14:paraId="0143EAF7" w14:textId="2599C68C" w:rsidR="006E05CA" w:rsidRDefault="006E05CA" w:rsidP="006E05CA"/>
    <w:p w14:paraId="65066CF2" w14:textId="77777777" w:rsidR="003F0327" w:rsidRPr="00F8465B" w:rsidRDefault="004E0B01" w:rsidP="00AD3D1F">
      <w:pPr>
        <w:pStyle w:val="Ttulo4"/>
        <w:widowControl/>
        <w:numPr>
          <w:ilvl w:val="0"/>
          <w:numId w:val="3"/>
        </w:numPr>
        <w:tabs>
          <w:tab w:val="clear" w:pos="360"/>
          <w:tab w:val="left" w:pos="-448"/>
          <w:tab w:val="num" w:pos="567"/>
        </w:tabs>
        <w:spacing w:before="0" w:after="0"/>
        <w:ind w:left="567" w:right="2268" w:hanging="567"/>
        <w:jc w:val="left"/>
        <w:rPr>
          <w:rFonts w:ascii="Cambria" w:hAnsi="Cambria"/>
          <w:kern w:val="28"/>
          <w:sz w:val="24"/>
          <w:szCs w:val="24"/>
          <w:u w:val="single"/>
          <w:lang w:val="es-ES" w:eastAsia="en-US"/>
        </w:rPr>
      </w:pPr>
      <w:r w:rsidRPr="00F8465B">
        <w:rPr>
          <w:rFonts w:ascii="Cambria" w:hAnsi="Cambria"/>
          <w:kern w:val="28"/>
          <w:sz w:val="24"/>
          <w:szCs w:val="24"/>
          <w:u w:val="single"/>
          <w:lang w:val="es-ES" w:eastAsia="en-US"/>
        </w:rPr>
        <w:t>Distribución</w:t>
      </w:r>
      <w:r w:rsidR="003F0327" w:rsidRPr="00F8465B">
        <w:rPr>
          <w:rFonts w:ascii="Cambria" w:hAnsi="Cambria"/>
          <w:kern w:val="28"/>
          <w:sz w:val="24"/>
          <w:szCs w:val="24"/>
          <w:u w:val="single"/>
          <w:lang w:val="es-ES" w:eastAsia="en-US"/>
        </w:rPr>
        <w:t xml:space="preserve"> del resultado</w:t>
      </w:r>
    </w:p>
    <w:p w14:paraId="428E7A7F" w14:textId="77777777" w:rsidR="00771DB7" w:rsidRPr="00F8465B" w:rsidRDefault="00771DB7" w:rsidP="0024783F">
      <w:pPr>
        <w:rPr>
          <w:rFonts w:ascii="Cambria" w:hAnsi="Cambria"/>
          <w:sz w:val="24"/>
          <w:szCs w:val="24"/>
          <w:lang w:val="es-ES" w:eastAsia="en-US"/>
        </w:rPr>
      </w:pPr>
    </w:p>
    <w:p w14:paraId="6EFE3A44" w14:textId="77777777" w:rsidR="003F0327" w:rsidRPr="00F8465B" w:rsidRDefault="003F0327" w:rsidP="00196704">
      <w:pPr>
        <w:pStyle w:val="Ttulo1a"/>
        <w:ind w:left="567"/>
        <w:rPr>
          <w:rFonts w:ascii="Cambria" w:hAnsi="Cambria"/>
          <w:sz w:val="24"/>
          <w:szCs w:val="24"/>
        </w:rPr>
      </w:pPr>
      <w:r w:rsidRPr="00F8465B">
        <w:rPr>
          <w:rFonts w:ascii="Cambria" w:hAnsi="Cambria"/>
          <w:sz w:val="24"/>
          <w:szCs w:val="24"/>
        </w:rPr>
        <w:t xml:space="preserve">La propuesta de </w:t>
      </w:r>
      <w:r w:rsidR="004E0B01" w:rsidRPr="00F8465B">
        <w:rPr>
          <w:rFonts w:ascii="Cambria" w:hAnsi="Cambria"/>
          <w:sz w:val="24"/>
          <w:szCs w:val="24"/>
        </w:rPr>
        <w:t>distribución</w:t>
      </w:r>
      <w:r w:rsidRPr="00F8465B">
        <w:rPr>
          <w:rFonts w:ascii="Cambria" w:hAnsi="Cambria"/>
          <w:sz w:val="24"/>
          <w:szCs w:val="24"/>
        </w:rPr>
        <w:t xml:space="preserve"> del resultado del ejercicio formulada por </w:t>
      </w:r>
      <w:r w:rsidR="00F379C8">
        <w:rPr>
          <w:rFonts w:ascii="Cambria" w:hAnsi="Cambria"/>
          <w:sz w:val="24"/>
          <w:szCs w:val="24"/>
        </w:rPr>
        <w:t>el</w:t>
      </w:r>
      <w:r w:rsidRPr="00F8465B">
        <w:rPr>
          <w:rFonts w:ascii="Cambria" w:hAnsi="Cambria"/>
          <w:sz w:val="24"/>
          <w:szCs w:val="24"/>
        </w:rPr>
        <w:t xml:space="preserve"> </w:t>
      </w:r>
      <w:r w:rsidR="00E940E5" w:rsidRPr="00F8465B">
        <w:rPr>
          <w:rFonts w:ascii="Cambria" w:hAnsi="Cambria"/>
          <w:sz w:val="24"/>
          <w:szCs w:val="24"/>
        </w:rPr>
        <w:t>Administrador</w:t>
      </w:r>
      <w:r w:rsidRPr="00F8465B">
        <w:rPr>
          <w:rFonts w:ascii="Cambria" w:hAnsi="Cambria"/>
          <w:sz w:val="24"/>
          <w:szCs w:val="24"/>
        </w:rPr>
        <w:t xml:space="preserve"> </w:t>
      </w:r>
      <w:r w:rsidR="00E940E5" w:rsidRPr="00F8465B">
        <w:rPr>
          <w:rFonts w:ascii="Cambria" w:hAnsi="Cambria"/>
          <w:sz w:val="24"/>
          <w:szCs w:val="24"/>
        </w:rPr>
        <w:t>Únic</w:t>
      </w:r>
      <w:r w:rsidR="00F379C8">
        <w:rPr>
          <w:rFonts w:ascii="Cambria" w:hAnsi="Cambria"/>
          <w:sz w:val="24"/>
          <w:szCs w:val="24"/>
        </w:rPr>
        <w:t>o</w:t>
      </w:r>
      <w:r w:rsidRPr="00F8465B">
        <w:rPr>
          <w:rFonts w:ascii="Cambria" w:hAnsi="Cambria"/>
          <w:sz w:val="24"/>
          <w:szCs w:val="24"/>
        </w:rPr>
        <w:t xml:space="preserve"> de la Sociedad y que se someterá a la aprobación de</w:t>
      </w:r>
      <w:r w:rsidR="00E64F16" w:rsidRPr="00F8465B">
        <w:rPr>
          <w:rFonts w:ascii="Cambria" w:hAnsi="Cambria"/>
          <w:sz w:val="24"/>
          <w:szCs w:val="24"/>
        </w:rPr>
        <w:t xml:space="preserve">l Accionista </w:t>
      </w:r>
      <w:r w:rsidR="00E940E5" w:rsidRPr="00F8465B">
        <w:rPr>
          <w:rFonts w:ascii="Cambria" w:hAnsi="Cambria"/>
          <w:sz w:val="24"/>
          <w:szCs w:val="24"/>
        </w:rPr>
        <w:t>Único</w:t>
      </w:r>
      <w:r w:rsidR="00464F86" w:rsidRPr="00F8465B">
        <w:rPr>
          <w:rFonts w:ascii="Cambria" w:hAnsi="Cambria"/>
          <w:sz w:val="24"/>
          <w:szCs w:val="24"/>
        </w:rPr>
        <w:t>,</w:t>
      </w:r>
      <w:r w:rsidRPr="00F8465B">
        <w:rPr>
          <w:rFonts w:ascii="Cambria" w:hAnsi="Cambria"/>
          <w:sz w:val="24"/>
          <w:szCs w:val="24"/>
        </w:rPr>
        <w:t xml:space="preserve"> es la siguiente:</w:t>
      </w:r>
    </w:p>
    <w:p w14:paraId="2A0E44A1" w14:textId="77777777" w:rsidR="00771DB7" w:rsidRPr="00F8465B" w:rsidRDefault="00771DB7" w:rsidP="00196704">
      <w:pPr>
        <w:pStyle w:val="Ttulo1a"/>
        <w:ind w:left="567"/>
        <w:rPr>
          <w:rFonts w:ascii="Cambria" w:hAnsi="Cambria"/>
          <w:sz w:val="24"/>
          <w:szCs w:val="24"/>
        </w:rPr>
      </w:pPr>
    </w:p>
    <w:tbl>
      <w:tblPr>
        <w:tblW w:w="6274" w:type="dxa"/>
        <w:jc w:val="center"/>
        <w:tblCellMar>
          <w:left w:w="70" w:type="dxa"/>
          <w:right w:w="70" w:type="dxa"/>
        </w:tblCellMar>
        <w:tblLook w:val="04A0" w:firstRow="1" w:lastRow="0" w:firstColumn="1" w:lastColumn="0" w:noHBand="0" w:noVBand="1"/>
      </w:tblPr>
      <w:tblGrid>
        <w:gridCol w:w="4942"/>
        <w:gridCol w:w="1332"/>
      </w:tblGrid>
      <w:tr w:rsidR="003F0327" w:rsidRPr="00757C8B" w14:paraId="7A59D293" w14:textId="77777777" w:rsidTr="00511EA1">
        <w:trPr>
          <w:trHeight w:val="420"/>
          <w:jc w:val="center"/>
        </w:trPr>
        <w:tc>
          <w:tcPr>
            <w:tcW w:w="4942" w:type="dxa"/>
            <w:tcBorders>
              <w:top w:val="single" w:sz="4" w:space="0" w:color="auto"/>
              <w:left w:val="single" w:sz="4" w:space="0" w:color="auto"/>
              <w:bottom w:val="single" w:sz="4" w:space="0" w:color="auto"/>
              <w:right w:val="nil"/>
            </w:tcBorders>
            <w:shd w:val="clear" w:color="000000" w:fill="FFFFFF"/>
            <w:noWrap/>
            <w:vAlign w:val="bottom"/>
          </w:tcPr>
          <w:p w14:paraId="006BAD22" w14:textId="77777777" w:rsidR="003F0327" w:rsidRPr="00F379C8" w:rsidRDefault="003F0327" w:rsidP="0024783F">
            <w:pPr>
              <w:jc w:val="left"/>
              <w:rPr>
                <w:rFonts w:ascii="Cambria" w:hAnsi="Cambria"/>
                <w:sz w:val="24"/>
                <w:szCs w:val="24"/>
              </w:rPr>
            </w:pPr>
            <w:r w:rsidRPr="00F379C8">
              <w:rPr>
                <w:rFonts w:ascii="Cambria" w:hAnsi="Cambria"/>
                <w:sz w:val="24"/>
                <w:szCs w:val="24"/>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DDDA042" w14:textId="77777777" w:rsidR="003F0327" w:rsidRPr="00A03C21" w:rsidRDefault="00CC0F3F" w:rsidP="0024783F">
            <w:pPr>
              <w:jc w:val="center"/>
              <w:rPr>
                <w:rFonts w:ascii="Cambria" w:hAnsi="Cambria"/>
                <w:b/>
                <w:sz w:val="24"/>
                <w:szCs w:val="24"/>
              </w:rPr>
            </w:pPr>
            <w:r w:rsidRPr="00A03C21">
              <w:rPr>
                <w:rFonts w:ascii="Cambria" w:hAnsi="Cambria"/>
                <w:b/>
                <w:sz w:val="24"/>
                <w:szCs w:val="24"/>
              </w:rPr>
              <w:t>Miles</w:t>
            </w:r>
            <w:r w:rsidR="004A495E" w:rsidRPr="00A03C21">
              <w:rPr>
                <w:rFonts w:ascii="Cambria" w:hAnsi="Cambria"/>
                <w:b/>
                <w:sz w:val="24"/>
                <w:szCs w:val="24"/>
              </w:rPr>
              <w:t xml:space="preserve"> de e</w:t>
            </w:r>
            <w:r w:rsidR="003F0327" w:rsidRPr="00A03C21">
              <w:rPr>
                <w:rFonts w:ascii="Cambria" w:hAnsi="Cambria"/>
                <w:b/>
                <w:sz w:val="24"/>
                <w:szCs w:val="24"/>
              </w:rPr>
              <w:t>uros</w:t>
            </w:r>
          </w:p>
        </w:tc>
      </w:tr>
      <w:tr w:rsidR="003F0327" w:rsidRPr="00757C8B" w14:paraId="07DE036A" w14:textId="77777777" w:rsidTr="00511EA1">
        <w:trPr>
          <w:trHeight w:val="255"/>
          <w:jc w:val="center"/>
        </w:trPr>
        <w:tc>
          <w:tcPr>
            <w:tcW w:w="4942" w:type="dxa"/>
            <w:tcBorders>
              <w:top w:val="single" w:sz="4" w:space="0" w:color="auto"/>
              <w:left w:val="single" w:sz="4" w:space="0" w:color="auto"/>
              <w:right w:val="nil"/>
            </w:tcBorders>
            <w:shd w:val="clear" w:color="000000" w:fill="FFFFFF"/>
            <w:noWrap/>
            <w:vAlign w:val="bottom"/>
          </w:tcPr>
          <w:p w14:paraId="62F04B75" w14:textId="77777777" w:rsidR="003F0327" w:rsidRPr="00F379C8" w:rsidRDefault="003F0327" w:rsidP="0024783F">
            <w:pPr>
              <w:jc w:val="left"/>
              <w:rPr>
                <w:rFonts w:ascii="Cambria" w:hAnsi="Cambria"/>
                <w:b/>
                <w:sz w:val="24"/>
                <w:szCs w:val="24"/>
              </w:rPr>
            </w:pPr>
          </w:p>
        </w:tc>
        <w:tc>
          <w:tcPr>
            <w:tcW w:w="1332" w:type="dxa"/>
            <w:tcBorders>
              <w:top w:val="single" w:sz="4" w:space="0" w:color="auto"/>
              <w:left w:val="single" w:sz="4" w:space="0" w:color="auto"/>
              <w:right w:val="single" w:sz="4" w:space="0" w:color="auto"/>
            </w:tcBorders>
            <w:shd w:val="clear" w:color="000000" w:fill="FFFFFF"/>
            <w:noWrap/>
            <w:vAlign w:val="bottom"/>
          </w:tcPr>
          <w:p w14:paraId="378BC3A9" w14:textId="77777777" w:rsidR="003F0327" w:rsidRPr="00A03C21" w:rsidRDefault="003F0327" w:rsidP="0024783F">
            <w:pPr>
              <w:jc w:val="right"/>
              <w:rPr>
                <w:rFonts w:ascii="Cambria" w:hAnsi="Cambria"/>
                <w:sz w:val="24"/>
                <w:szCs w:val="24"/>
              </w:rPr>
            </w:pPr>
          </w:p>
        </w:tc>
      </w:tr>
      <w:tr w:rsidR="00511EA1" w:rsidRPr="00757C8B" w14:paraId="19FEBEB2" w14:textId="77777777" w:rsidTr="00511EA1">
        <w:trPr>
          <w:trHeight w:val="255"/>
          <w:jc w:val="center"/>
        </w:trPr>
        <w:tc>
          <w:tcPr>
            <w:tcW w:w="4942" w:type="dxa"/>
            <w:tcBorders>
              <w:left w:val="single" w:sz="4" w:space="0" w:color="auto"/>
              <w:right w:val="nil"/>
            </w:tcBorders>
            <w:shd w:val="clear" w:color="000000" w:fill="FFFFFF"/>
            <w:noWrap/>
            <w:vAlign w:val="bottom"/>
          </w:tcPr>
          <w:p w14:paraId="6B35A4E4" w14:textId="77777777" w:rsidR="00511EA1" w:rsidRPr="00F379C8" w:rsidRDefault="00511EA1" w:rsidP="00154CA6">
            <w:pPr>
              <w:jc w:val="left"/>
              <w:rPr>
                <w:rFonts w:ascii="Cambria" w:hAnsi="Cambria"/>
                <w:b/>
                <w:sz w:val="24"/>
                <w:szCs w:val="24"/>
              </w:rPr>
            </w:pPr>
            <w:r w:rsidRPr="00F379C8">
              <w:rPr>
                <w:rFonts w:ascii="Cambria" w:hAnsi="Cambria"/>
                <w:b/>
                <w:sz w:val="24"/>
                <w:szCs w:val="24"/>
              </w:rPr>
              <w:t>Base de reparto:</w:t>
            </w:r>
          </w:p>
        </w:tc>
        <w:tc>
          <w:tcPr>
            <w:tcW w:w="1332" w:type="dxa"/>
            <w:tcBorders>
              <w:left w:val="single" w:sz="4" w:space="0" w:color="auto"/>
              <w:right w:val="single" w:sz="4" w:space="0" w:color="auto"/>
            </w:tcBorders>
            <w:shd w:val="clear" w:color="000000" w:fill="FFFFFF"/>
            <w:noWrap/>
            <w:vAlign w:val="bottom"/>
          </w:tcPr>
          <w:p w14:paraId="04039F31" w14:textId="77777777" w:rsidR="00511EA1" w:rsidRPr="006D3486" w:rsidRDefault="00511EA1" w:rsidP="0024783F">
            <w:pPr>
              <w:jc w:val="right"/>
              <w:rPr>
                <w:rFonts w:ascii="Cambria" w:hAnsi="Cambria"/>
                <w:sz w:val="24"/>
                <w:szCs w:val="24"/>
              </w:rPr>
            </w:pPr>
          </w:p>
        </w:tc>
      </w:tr>
      <w:tr w:rsidR="00511EA1" w:rsidRPr="00EF0663" w14:paraId="13D290D1" w14:textId="77777777" w:rsidTr="0095695C">
        <w:trPr>
          <w:trHeight w:val="255"/>
          <w:jc w:val="center"/>
        </w:trPr>
        <w:tc>
          <w:tcPr>
            <w:tcW w:w="4942" w:type="dxa"/>
            <w:tcBorders>
              <w:left w:val="single" w:sz="4" w:space="0" w:color="auto"/>
              <w:right w:val="nil"/>
            </w:tcBorders>
            <w:shd w:val="clear" w:color="000000" w:fill="FFFFFF"/>
            <w:noWrap/>
            <w:vAlign w:val="bottom"/>
          </w:tcPr>
          <w:p w14:paraId="5CE6665D" w14:textId="77777777" w:rsidR="00511EA1" w:rsidRPr="00F379C8" w:rsidRDefault="00511EA1" w:rsidP="00154CA6">
            <w:pPr>
              <w:jc w:val="left"/>
              <w:rPr>
                <w:rFonts w:ascii="Cambria" w:hAnsi="Cambria"/>
                <w:sz w:val="24"/>
                <w:szCs w:val="24"/>
              </w:rPr>
            </w:pPr>
            <w:r w:rsidRPr="00F379C8">
              <w:rPr>
                <w:rFonts w:ascii="Cambria" w:hAnsi="Cambria"/>
                <w:sz w:val="24"/>
                <w:szCs w:val="24"/>
              </w:rPr>
              <w:t>Pérdidas y Ganancias</w:t>
            </w:r>
          </w:p>
        </w:tc>
        <w:tc>
          <w:tcPr>
            <w:tcW w:w="1332" w:type="dxa"/>
            <w:tcBorders>
              <w:left w:val="single" w:sz="4" w:space="0" w:color="auto"/>
              <w:right w:val="single" w:sz="4" w:space="0" w:color="auto"/>
            </w:tcBorders>
            <w:shd w:val="clear" w:color="auto" w:fill="auto"/>
            <w:noWrap/>
            <w:vAlign w:val="bottom"/>
          </w:tcPr>
          <w:p w14:paraId="0DF1E45E" w14:textId="6453AAC5" w:rsidR="00511EA1" w:rsidRPr="00EF0663" w:rsidRDefault="00A03C21" w:rsidP="00555AD0">
            <w:pPr>
              <w:jc w:val="right"/>
              <w:rPr>
                <w:rFonts w:ascii="Cambria" w:hAnsi="Cambria"/>
                <w:sz w:val="24"/>
                <w:szCs w:val="24"/>
              </w:rPr>
            </w:pPr>
            <w:r w:rsidRPr="006D3486">
              <w:rPr>
                <w:rFonts w:ascii="Cambria" w:hAnsi="Cambria"/>
                <w:sz w:val="24"/>
                <w:szCs w:val="24"/>
              </w:rPr>
              <w:t>(3.</w:t>
            </w:r>
            <w:r w:rsidR="009C01F5">
              <w:rPr>
                <w:rFonts w:ascii="Cambria" w:hAnsi="Cambria"/>
                <w:sz w:val="24"/>
                <w:szCs w:val="24"/>
              </w:rPr>
              <w:t>403</w:t>
            </w:r>
            <w:r w:rsidRPr="00EF0663">
              <w:rPr>
                <w:rFonts w:ascii="Cambria" w:hAnsi="Cambria"/>
                <w:sz w:val="24"/>
                <w:szCs w:val="24"/>
              </w:rPr>
              <w:t>)</w:t>
            </w:r>
          </w:p>
        </w:tc>
      </w:tr>
      <w:tr w:rsidR="00511EA1" w:rsidRPr="00EF0663" w14:paraId="7B55BD0C" w14:textId="77777777" w:rsidTr="0095695C">
        <w:trPr>
          <w:trHeight w:val="255"/>
          <w:jc w:val="center"/>
        </w:trPr>
        <w:tc>
          <w:tcPr>
            <w:tcW w:w="4942" w:type="dxa"/>
            <w:tcBorders>
              <w:left w:val="single" w:sz="4" w:space="0" w:color="auto"/>
              <w:right w:val="nil"/>
            </w:tcBorders>
            <w:shd w:val="clear" w:color="000000" w:fill="FFFFFF"/>
            <w:noWrap/>
            <w:vAlign w:val="bottom"/>
          </w:tcPr>
          <w:p w14:paraId="100A4AEA" w14:textId="77777777" w:rsidR="00511EA1" w:rsidRPr="00F379C8" w:rsidRDefault="00511EA1" w:rsidP="0024783F">
            <w:pPr>
              <w:jc w:val="left"/>
              <w:rPr>
                <w:rFonts w:ascii="Cambria" w:hAnsi="Cambria"/>
                <w:sz w:val="24"/>
                <w:szCs w:val="24"/>
              </w:rPr>
            </w:pPr>
          </w:p>
        </w:tc>
        <w:tc>
          <w:tcPr>
            <w:tcW w:w="1332" w:type="dxa"/>
            <w:tcBorders>
              <w:left w:val="single" w:sz="4" w:space="0" w:color="auto"/>
              <w:right w:val="single" w:sz="4" w:space="0" w:color="auto"/>
            </w:tcBorders>
            <w:shd w:val="clear" w:color="auto" w:fill="auto"/>
            <w:noWrap/>
            <w:vAlign w:val="bottom"/>
          </w:tcPr>
          <w:p w14:paraId="75E8B431" w14:textId="77777777" w:rsidR="00511EA1" w:rsidRPr="00EF0663" w:rsidRDefault="00511EA1" w:rsidP="0024783F">
            <w:pPr>
              <w:jc w:val="right"/>
              <w:rPr>
                <w:rFonts w:ascii="Cambria" w:hAnsi="Cambria"/>
                <w:sz w:val="24"/>
                <w:szCs w:val="24"/>
              </w:rPr>
            </w:pPr>
          </w:p>
        </w:tc>
      </w:tr>
      <w:tr w:rsidR="00511EA1" w:rsidRPr="00EF0663" w14:paraId="57035C38" w14:textId="77777777" w:rsidTr="0095695C">
        <w:trPr>
          <w:trHeight w:val="255"/>
          <w:jc w:val="center"/>
        </w:trPr>
        <w:tc>
          <w:tcPr>
            <w:tcW w:w="4942" w:type="dxa"/>
            <w:tcBorders>
              <w:left w:val="single" w:sz="4" w:space="0" w:color="auto"/>
              <w:right w:val="nil"/>
            </w:tcBorders>
            <w:shd w:val="clear" w:color="000000" w:fill="FFFFFF"/>
            <w:noWrap/>
            <w:vAlign w:val="bottom"/>
          </w:tcPr>
          <w:p w14:paraId="2342824D" w14:textId="77777777" w:rsidR="00511EA1" w:rsidRPr="00F379C8" w:rsidRDefault="00511EA1" w:rsidP="0024783F">
            <w:pPr>
              <w:jc w:val="left"/>
              <w:rPr>
                <w:rFonts w:ascii="Cambria" w:hAnsi="Cambria"/>
                <w:b/>
                <w:sz w:val="24"/>
                <w:szCs w:val="24"/>
              </w:rPr>
            </w:pPr>
            <w:r w:rsidRPr="00F379C8">
              <w:rPr>
                <w:rFonts w:ascii="Cambria" w:hAnsi="Cambria"/>
                <w:b/>
                <w:sz w:val="24"/>
                <w:szCs w:val="24"/>
              </w:rPr>
              <w:t>Aplicación:</w:t>
            </w:r>
          </w:p>
        </w:tc>
        <w:tc>
          <w:tcPr>
            <w:tcW w:w="1332" w:type="dxa"/>
            <w:tcBorders>
              <w:left w:val="single" w:sz="4" w:space="0" w:color="auto"/>
              <w:right w:val="single" w:sz="4" w:space="0" w:color="auto"/>
            </w:tcBorders>
            <w:shd w:val="clear" w:color="auto" w:fill="auto"/>
            <w:noWrap/>
            <w:vAlign w:val="bottom"/>
          </w:tcPr>
          <w:p w14:paraId="498D9113" w14:textId="77777777" w:rsidR="00511EA1" w:rsidRPr="00EF0663" w:rsidRDefault="00511EA1" w:rsidP="0024783F">
            <w:pPr>
              <w:jc w:val="right"/>
              <w:rPr>
                <w:rFonts w:ascii="Cambria" w:hAnsi="Cambria"/>
                <w:sz w:val="24"/>
                <w:szCs w:val="24"/>
              </w:rPr>
            </w:pPr>
          </w:p>
        </w:tc>
      </w:tr>
      <w:tr w:rsidR="00757C8B" w:rsidRPr="00EF0663" w14:paraId="62A1D0C7" w14:textId="77777777" w:rsidTr="0095695C">
        <w:trPr>
          <w:trHeight w:val="255"/>
          <w:jc w:val="center"/>
        </w:trPr>
        <w:tc>
          <w:tcPr>
            <w:tcW w:w="4942" w:type="dxa"/>
            <w:tcBorders>
              <w:left w:val="single" w:sz="4" w:space="0" w:color="auto"/>
              <w:right w:val="nil"/>
            </w:tcBorders>
            <w:shd w:val="clear" w:color="000000" w:fill="FFFFFF"/>
            <w:noWrap/>
            <w:vAlign w:val="bottom"/>
          </w:tcPr>
          <w:p w14:paraId="36F5B3C6" w14:textId="437BF809" w:rsidR="00757C8B" w:rsidRPr="00F379C8" w:rsidRDefault="00757C8B" w:rsidP="00757C8B">
            <w:pPr>
              <w:jc w:val="left"/>
              <w:rPr>
                <w:rFonts w:ascii="Cambria" w:hAnsi="Cambria"/>
                <w:sz w:val="24"/>
                <w:szCs w:val="24"/>
              </w:rPr>
            </w:pPr>
            <w:r w:rsidRPr="00F379C8">
              <w:rPr>
                <w:rFonts w:ascii="Cambria" w:hAnsi="Cambria"/>
                <w:sz w:val="24"/>
                <w:szCs w:val="24"/>
              </w:rPr>
              <w:t>Resultados negativos de ejercicios anteriores</w:t>
            </w:r>
          </w:p>
        </w:tc>
        <w:tc>
          <w:tcPr>
            <w:tcW w:w="1332" w:type="dxa"/>
            <w:tcBorders>
              <w:left w:val="single" w:sz="4" w:space="0" w:color="auto"/>
              <w:right w:val="single" w:sz="4" w:space="0" w:color="auto"/>
            </w:tcBorders>
            <w:shd w:val="clear" w:color="auto" w:fill="auto"/>
            <w:noWrap/>
            <w:vAlign w:val="bottom"/>
          </w:tcPr>
          <w:p w14:paraId="0AFE8E32" w14:textId="78CB3AE1" w:rsidR="00757C8B" w:rsidRPr="00EF0663" w:rsidRDefault="00A03C21" w:rsidP="00757C8B">
            <w:pPr>
              <w:jc w:val="right"/>
              <w:rPr>
                <w:rFonts w:ascii="Cambria" w:hAnsi="Cambria"/>
                <w:sz w:val="24"/>
                <w:szCs w:val="24"/>
              </w:rPr>
            </w:pPr>
            <w:r w:rsidRPr="00EF0663">
              <w:rPr>
                <w:rFonts w:ascii="Cambria" w:hAnsi="Cambria"/>
                <w:sz w:val="24"/>
                <w:szCs w:val="24"/>
              </w:rPr>
              <w:t>3.</w:t>
            </w:r>
            <w:r w:rsidR="009C01F5">
              <w:rPr>
                <w:rFonts w:ascii="Cambria" w:hAnsi="Cambria"/>
                <w:sz w:val="24"/>
                <w:szCs w:val="24"/>
              </w:rPr>
              <w:t>403</w:t>
            </w:r>
          </w:p>
        </w:tc>
      </w:tr>
      <w:tr w:rsidR="00757C8B" w:rsidRPr="00F8465B" w14:paraId="75D87A9D" w14:textId="77777777" w:rsidTr="00511EA1">
        <w:trPr>
          <w:trHeight w:val="255"/>
          <w:jc w:val="center"/>
        </w:trPr>
        <w:tc>
          <w:tcPr>
            <w:tcW w:w="4942" w:type="dxa"/>
            <w:tcBorders>
              <w:left w:val="single" w:sz="4" w:space="0" w:color="auto"/>
              <w:bottom w:val="single" w:sz="4" w:space="0" w:color="auto"/>
              <w:right w:val="nil"/>
            </w:tcBorders>
            <w:shd w:val="clear" w:color="000000" w:fill="FFFFFF"/>
            <w:noWrap/>
            <w:vAlign w:val="bottom"/>
          </w:tcPr>
          <w:p w14:paraId="74D36078" w14:textId="00C9FE6D" w:rsidR="00757C8B" w:rsidRPr="00502E0B" w:rsidRDefault="00757C8B" w:rsidP="00757C8B">
            <w:pPr>
              <w:jc w:val="left"/>
              <w:rPr>
                <w:rFonts w:ascii="Cambria" w:hAnsi="Cambria"/>
                <w:sz w:val="24"/>
                <w:szCs w:val="24"/>
              </w:rPr>
            </w:pPr>
          </w:p>
        </w:tc>
        <w:tc>
          <w:tcPr>
            <w:tcW w:w="1332" w:type="dxa"/>
            <w:tcBorders>
              <w:left w:val="single" w:sz="4" w:space="0" w:color="auto"/>
              <w:bottom w:val="single" w:sz="4" w:space="0" w:color="auto"/>
              <w:right w:val="single" w:sz="4" w:space="0" w:color="auto"/>
            </w:tcBorders>
            <w:shd w:val="clear" w:color="000000" w:fill="FFFFFF"/>
            <w:noWrap/>
            <w:vAlign w:val="bottom"/>
          </w:tcPr>
          <w:p w14:paraId="6C28D74C" w14:textId="277CFB86" w:rsidR="00757C8B" w:rsidRPr="00D3457D" w:rsidRDefault="00757C8B" w:rsidP="00757C8B">
            <w:pPr>
              <w:jc w:val="right"/>
              <w:rPr>
                <w:rFonts w:ascii="Cambria" w:hAnsi="Cambria"/>
                <w:sz w:val="24"/>
                <w:szCs w:val="24"/>
                <w:highlight w:val="yellow"/>
              </w:rPr>
            </w:pPr>
          </w:p>
        </w:tc>
      </w:tr>
    </w:tbl>
    <w:p w14:paraId="0CE4CA8E" w14:textId="77777777" w:rsidR="00BA5D6C" w:rsidRPr="00F8465B" w:rsidRDefault="00BA5D6C" w:rsidP="00BA5D6C">
      <w:pPr>
        <w:pStyle w:val="Ttulo4"/>
        <w:widowControl/>
        <w:tabs>
          <w:tab w:val="left" w:pos="-448"/>
        </w:tabs>
        <w:spacing w:before="0" w:after="0"/>
        <w:ind w:left="567" w:right="2268"/>
        <w:jc w:val="left"/>
        <w:rPr>
          <w:rFonts w:ascii="Cambria" w:hAnsi="Cambria"/>
          <w:kern w:val="28"/>
          <w:sz w:val="24"/>
          <w:szCs w:val="24"/>
          <w:u w:val="single"/>
          <w:lang w:val="es-ES" w:eastAsia="en-US"/>
        </w:rPr>
      </w:pPr>
    </w:p>
    <w:p w14:paraId="7758F0AA" w14:textId="69B898FA" w:rsidR="00033FA0" w:rsidRDefault="00033FA0" w:rsidP="00033FA0">
      <w:pPr>
        <w:pStyle w:val="Ttulo1a"/>
        <w:ind w:left="567"/>
        <w:rPr>
          <w:rFonts w:ascii="Cambria" w:hAnsi="Cambria"/>
          <w:sz w:val="24"/>
          <w:szCs w:val="24"/>
        </w:rPr>
      </w:pPr>
      <w:r w:rsidRPr="0053128F">
        <w:rPr>
          <w:rFonts w:ascii="Cambria" w:hAnsi="Cambria"/>
          <w:sz w:val="24"/>
          <w:szCs w:val="24"/>
        </w:rPr>
        <w:t xml:space="preserve">El </w:t>
      </w:r>
      <w:r w:rsidR="0053128F" w:rsidRPr="0053128F">
        <w:rPr>
          <w:rFonts w:ascii="Cambria" w:hAnsi="Cambria"/>
          <w:sz w:val="24"/>
          <w:szCs w:val="24"/>
        </w:rPr>
        <w:t>14</w:t>
      </w:r>
      <w:r w:rsidRPr="0053128F">
        <w:rPr>
          <w:rFonts w:ascii="Cambria" w:hAnsi="Cambria"/>
          <w:sz w:val="24"/>
          <w:szCs w:val="24"/>
        </w:rPr>
        <w:t xml:space="preserve"> de mayo de 20</w:t>
      </w:r>
      <w:r w:rsidR="0053128F" w:rsidRPr="0053128F">
        <w:rPr>
          <w:rFonts w:ascii="Cambria" w:hAnsi="Cambria"/>
          <w:sz w:val="24"/>
          <w:szCs w:val="24"/>
        </w:rPr>
        <w:t>20</w:t>
      </w:r>
      <w:r w:rsidRPr="0053128F">
        <w:rPr>
          <w:rFonts w:ascii="Cambria" w:hAnsi="Cambria"/>
          <w:sz w:val="24"/>
          <w:szCs w:val="24"/>
        </w:rPr>
        <w:t xml:space="preserve"> el Accionista Único aprobó el traspaso de </w:t>
      </w:r>
      <w:r w:rsidR="0053128F" w:rsidRPr="0053128F">
        <w:rPr>
          <w:rFonts w:ascii="Cambria" w:hAnsi="Cambria"/>
          <w:sz w:val="24"/>
          <w:szCs w:val="24"/>
        </w:rPr>
        <w:t>los beneficios del ejercicio 2019 a reserva</w:t>
      </w:r>
      <w:r w:rsidR="0053128F">
        <w:rPr>
          <w:rFonts w:ascii="Cambria" w:hAnsi="Cambria"/>
          <w:sz w:val="24"/>
          <w:szCs w:val="24"/>
        </w:rPr>
        <w:t xml:space="preserve"> legal por importe de 56 miles de euros, y a reparto de dividendos </w:t>
      </w:r>
      <w:r>
        <w:rPr>
          <w:rFonts w:ascii="Cambria" w:hAnsi="Cambria"/>
          <w:sz w:val="24"/>
          <w:szCs w:val="24"/>
        </w:rPr>
        <w:t xml:space="preserve">por importe de </w:t>
      </w:r>
      <w:r w:rsidR="0053128F">
        <w:rPr>
          <w:rFonts w:ascii="Cambria" w:hAnsi="Cambria"/>
          <w:sz w:val="24"/>
          <w:szCs w:val="24"/>
        </w:rPr>
        <w:t>499</w:t>
      </w:r>
      <w:r>
        <w:rPr>
          <w:rFonts w:ascii="Cambria" w:hAnsi="Cambria"/>
          <w:sz w:val="24"/>
          <w:szCs w:val="24"/>
        </w:rPr>
        <w:t xml:space="preserve"> miles de euros</w:t>
      </w:r>
      <w:r w:rsidR="0053128F">
        <w:rPr>
          <w:rFonts w:ascii="Cambria" w:hAnsi="Cambria"/>
          <w:sz w:val="24"/>
          <w:szCs w:val="24"/>
        </w:rPr>
        <w:t>.</w:t>
      </w:r>
    </w:p>
    <w:p w14:paraId="03A9AC2E" w14:textId="77777777" w:rsidR="00502E0B" w:rsidRDefault="00502E0B" w:rsidP="00502E0B">
      <w:pPr>
        <w:pStyle w:val="Ttulo4"/>
        <w:widowControl/>
        <w:tabs>
          <w:tab w:val="left" w:pos="-448"/>
        </w:tabs>
        <w:spacing w:before="0" w:after="0"/>
        <w:ind w:left="567" w:right="2268"/>
        <w:jc w:val="left"/>
        <w:rPr>
          <w:rFonts w:ascii="Cambria" w:hAnsi="Cambria"/>
          <w:kern w:val="28"/>
          <w:sz w:val="24"/>
          <w:szCs w:val="24"/>
          <w:u w:val="single"/>
          <w:lang w:val="es-ES" w:eastAsia="en-US"/>
        </w:rPr>
      </w:pPr>
    </w:p>
    <w:p w14:paraId="403B6441" w14:textId="1FCC1E1D" w:rsidR="003F0327" w:rsidRPr="00F8465B" w:rsidRDefault="003F0327" w:rsidP="00BA5D6C">
      <w:pPr>
        <w:pStyle w:val="Ttulo4"/>
        <w:widowControl/>
        <w:numPr>
          <w:ilvl w:val="0"/>
          <w:numId w:val="3"/>
        </w:numPr>
        <w:tabs>
          <w:tab w:val="clear" w:pos="360"/>
          <w:tab w:val="left" w:pos="-448"/>
          <w:tab w:val="num" w:pos="567"/>
        </w:tabs>
        <w:spacing w:before="0" w:after="0"/>
        <w:ind w:left="567" w:right="2268" w:hanging="567"/>
        <w:jc w:val="left"/>
        <w:rPr>
          <w:rFonts w:ascii="Cambria" w:hAnsi="Cambria"/>
          <w:kern w:val="28"/>
          <w:sz w:val="24"/>
          <w:szCs w:val="24"/>
          <w:u w:val="single"/>
          <w:lang w:val="es-ES" w:eastAsia="en-US"/>
        </w:rPr>
      </w:pPr>
      <w:r w:rsidRPr="00F8465B">
        <w:rPr>
          <w:rFonts w:ascii="Cambria" w:hAnsi="Cambria"/>
          <w:kern w:val="28"/>
          <w:sz w:val="24"/>
          <w:szCs w:val="24"/>
          <w:u w:val="single"/>
          <w:lang w:val="es-ES" w:eastAsia="en-US"/>
        </w:rPr>
        <w:t>Normas de registro y valoración</w:t>
      </w:r>
    </w:p>
    <w:p w14:paraId="4181F412" w14:textId="77777777" w:rsidR="00771DB7" w:rsidRPr="00F8465B" w:rsidRDefault="00771DB7" w:rsidP="0024783F">
      <w:pPr>
        <w:rPr>
          <w:rFonts w:ascii="Cambria" w:hAnsi="Cambria"/>
          <w:sz w:val="24"/>
          <w:szCs w:val="24"/>
          <w:lang w:val="es-ES" w:eastAsia="en-US"/>
        </w:rPr>
      </w:pPr>
    </w:p>
    <w:p w14:paraId="317D23F1" w14:textId="77777777" w:rsidR="003F0327" w:rsidRPr="00F8465B" w:rsidRDefault="003F0327" w:rsidP="00AD3D1F">
      <w:pPr>
        <w:pStyle w:val="Ttulo1a"/>
        <w:ind w:left="567"/>
        <w:rPr>
          <w:rFonts w:ascii="Cambria" w:hAnsi="Cambria"/>
          <w:sz w:val="24"/>
          <w:szCs w:val="24"/>
        </w:rPr>
      </w:pPr>
      <w:r w:rsidRPr="00F8465B">
        <w:rPr>
          <w:rFonts w:ascii="Cambria" w:hAnsi="Cambria"/>
          <w:sz w:val="24"/>
          <w:szCs w:val="24"/>
        </w:rPr>
        <w:t xml:space="preserve">Las principales normas de registro y valoración utilizadas por </w:t>
      </w:r>
      <w:smartTag w:uri="urn:schemas-microsoft-com:office:smarttags" w:element="PersonName">
        <w:smartTagPr>
          <w:attr w:name="ProductID" w:val="la Sociedad"/>
        </w:smartTagPr>
        <w:r w:rsidRPr="00F8465B">
          <w:rPr>
            <w:rFonts w:ascii="Cambria" w:hAnsi="Cambria"/>
            <w:sz w:val="24"/>
            <w:szCs w:val="24"/>
          </w:rPr>
          <w:t>la Sociedad</w:t>
        </w:r>
      </w:smartTag>
      <w:r w:rsidRPr="00F8465B">
        <w:rPr>
          <w:rFonts w:ascii="Cambria" w:hAnsi="Cambria"/>
          <w:sz w:val="24"/>
          <w:szCs w:val="24"/>
        </w:rPr>
        <w:t xml:space="preserve"> en la </w:t>
      </w:r>
      <w:r w:rsidR="00CD7C30" w:rsidRPr="00F8465B">
        <w:rPr>
          <w:rFonts w:ascii="Cambria" w:hAnsi="Cambria"/>
          <w:sz w:val="24"/>
          <w:szCs w:val="24"/>
        </w:rPr>
        <w:t>e</w:t>
      </w:r>
      <w:r w:rsidRPr="00F8465B">
        <w:rPr>
          <w:rFonts w:ascii="Cambria" w:hAnsi="Cambria"/>
          <w:sz w:val="24"/>
          <w:szCs w:val="24"/>
        </w:rPr>
        <w:t>laboración de sus c</w:t>
      </w:r>
      <w:r w:rsidR="00A565D7" w:rsidRPr="00F8465B">
        <w:rPr>
          <w:rFonts w:ascii="Cambria" w:hAnsi="Cambria"/>
          <w:sz w:val="24"/>
          <w:szCs w:val="24"/>
        </w:rPr>
        <w:t>uentas anuales</w:t>
      </w:r>
      <w:r w:rsidRPr="00F8465B">
        <w:rPr>
          <w:rFonts w:ascii="Cambria" w:hAnsi="Cambria"/>
          <w:sz w:val="24"/>
          <w:szCs w:val="24"/>
        </w:rPr>
        <w:t>, de acuerdo con las establecidas por el Plan General de Contabilidad, han sido las siguientes</w:t>
      </w:r>
      <w:r w:rsidR="009F18C4" w:rsidRPr="00F8465B">
        <w:rPr>
          <w:rFonts w:ascii="Cambria" w:hAnsi="Cambria"/>
          <w:sz w:val="24"/>
          <w:szCs w:val="24"/>
        </w:rPr>
        <w:t>:</w:t>
      </w:r>
    </w:p>
    <w:p w14:paraId="28D8A061" w14:textId="77777777" w:rsidR="007B1120" w:rsidRPr="00F8465B" w:rsidRDefault="007B1120" w:rsidP="00AD3D1F">
      <w:pPr>
        <w:pStyle w:val="Ttulo1a"/>
        <w:ind w:left="567"/>
        <w:rPr>
          <w:rFonts w:ascii="Cambria" w:hAnsi="Cambria"/>
          <w:sz w:val="24"/>
          <w:szCs w:val="24"/>
        </w:rPr>
      </w:pPr>
    </w:p>
    <w:p w14:paraId="198D7C30" w14:textId="77777777" w:rsidR="00464F86" w:rsidRPr="00F8465B" w:rsidRDefault="00464F86" w:rsidP="00284D60">
      <w:pPr>
        <w:pStyle w:val="Ttulo2"/>
        <w:keepNext/>
        <w:numPr>
          <w:ilvl w:val="1"/>
          <w:numId w:val="14"/>
        </w:numPr>
        <w:ind w:left="993" w:hanging="426"/>
        <w:rPr>
          <w:rFonts w:ascii="Cambria" w:hAnsi="Cambria"/>
          <w:sz w:val="24"/>
          <w:szCs w:val="24"/>
        </w:rPr>
      </w:pPr>
      <w:r w:rsidRPr="00F8465B">
        <w:rPr>
          <w:rFonts w:ascii="Cambria" w:hAnsi="Cambria"/>
          <w:sz w:val="24"/>
          <w:szCs w:val="24"/>
        </w:rPr>
        <w:t>Inmovilizado material</w:t>
      </w:r>
    </w:p>
    <w:p w14:paraId="63E1F3D5" w14:textId="77777777" w:rsidR="002B2D51" w:rsidRPr="00F8465B" w:rsidRDefault="002B2D51" w:rsidP="00AD3D1F">
      <w:pPr>
        <w:pStyle w:val="Ttulo1a"/>
        <w:ind w:left="567"/>
        <w:rPr>
          <w:rFonts w:ascii="Cambria" w:hAnsi="Cambria"/>
          <w:sz w:val="24"/>
          <w:szCs w:val="24"/>
        </w:rPr>
      </w:pPr>
    </w:p>
    <w:p w14:paraId="22E0B803" w14:textId="78B84C25" w:rsidR="002B2D51" w:rsidRDefault="002B2D51" w:rsidP="00815CFF">
      <w:pPr>
        <w:pStyle w:val="Ttulo1a"/>
        <w:ind w:left="567"/>
        <w:rPr>
          <w:rFonts w:ascii="Cambria" w:hAnsi="Cambria"/>
          <w:sz w:val="24"/>
          <w:szCs w:val="24"/>
        </w:rPr>
      </w:pPr>
      <w:bookmarkStart w:id="2" w:name="_MON_1315819482"/>
      <w:bookmarkEnd w:id="2"/>
      <w:r w:rsidRPr="00F8465B">
        <w:rPr>
          <w:rFonts w:ascii="Cambria" w:hAnsi="Cambria"/>
          <w:sz w:val="24"/>
          <w:szCs w:val="24"/>
        </w:rPr>
        <w:t>El inmovilizado material se valora, inicialmente, por su precio de adquisición o coste de producción y, posteriormente, se minora por la correspondiente amortización acumulada y las pérdidas por deterioro, si las hubiera.</w:t>
      </w:r>
    </w:p>
    <w:p w14:paraId="220011E7" w14:textId="77777777" w:rsidR="00204987" w:rsidRPr="00BF25D4" w:rsidRDefault="00204987" w:rsidP="00204987">
      <w:pPr>
        <w:rPr>
          <w:rFonts w:ascii="Cambria" w:hAnsi="Cambria"/>
          <w:sz w:val="24"/>
        </w:rPr>
      </w:pPr>
    </w:p>
    <w:p w14:paraId="77BB87FB" w14:textId="77777777" w:rsidR="002B2D51" w:rsidRPr="00F8465B" w:rsidRDefault="00D4197C" w:rsidP="00AD3D1F">
      <w:pPr>
        <w:pStyle w:val="Ttulo1a"/>
        <w:ind w:left="567"/>
        <w:rPr>
          <w:rFonts w:ascii="Cambria" w:hAnsi="Cambria"/>
          <w:sz w:val="24"/>
          <w:szCs w:val="24"/>
        </w:rPr>
      </w:pPr>
      <w:r w:rsidRPr="00F8465B">
        <w:rPr>
          <w:rFonts w:ascii="Cambria" w:hAnsi="Cambria"/>
          <w:sz w:val="24"/>
          <w:szCs w:val="24"/>
        </w:rPr>
        <w:t>A</w:t>
      </w:r>
      <w:r w:rsidR="002B2D51" w:rsidRPr="00F8465B">
        <w:rPr>
          <w:rFonts w:ascii="Cambria" w:hAnsi="Cambria"/>
          <w:sz w:val="24"/>
          <w:szCs w:val="24"/>
        </w:rPr>
        <w:t>l cierre de cada ejercicio o siempre que existan indicios de pérdida de valor, la Sociedad procede a estimar mediante el denominado “Test de deterioro” la posible existencia de pérdidas de valor que reduzcan el valor recuperable de dichos activos a un importe inferior al de su valor en libros.</w:t>
      </w:r>
    </w:p>
    <w:p w14:paraId="705CA9CF" w14:textId="77777777" w:rsidR="002B2D51" w:rsidRPr="00F8465B" w:rsidRDefault="002B2D51" w:rsidP="00AD3D1F">
      <w:pPr>
        <w:pStyle w:val="Ttulo1a"/>
        <w:ind w:left="567"/>
        <w:rPr>
          <w:rFonts w:ascii="Cambria" w:hAnsi="Cambria"/>
          <w:sz w:val="24"/>
          <w:szCs w:val="24"/>
        </w:rPr>
      </w:pPr>
    </w:p>
    <w:p w14:paraId="2DEB4D55" w14:textId="1D36D0C1" w:rsidR="00431340" w:rsidRPr="00BF25D4" w:rsidRDefault="002B2D51" w:rsidP="00AD3D1F">
      <w:pPr>
        <w:pStyle w:val="Ttulo1a"/>
        <w:ind w:left="567"/>
        <w:rPr>
          <w:rFonts w:ascii="Cambria" w:hAnsi="Cambria"/>
          <w:sz w:val="24"/>
          <w:szCs w:val="24"/>
        </w:rPr>
      </w:pPr>
      <w:r w:rsidRPr="00F8465B">
        <w:rPr>
          <w:rFonts w:ascii="Cambria" w:hAnsi="Cambria"/>
          <w:sz w:val="24"/>
          <w:szCs w:val="24"/>
        </w:rPr>
        <w:t xml:space="preserve">El importe recuperable se determina como el mayor importe entre el valor </w:t>
      </w:r>
      <w:r w:rsidRPr="00BF25D4">
        <w:rPr>
          <w:rFonts w:ascii="Cambria" w:hAnsi="Cambria"/>
          <w:sz w:val="24"/>
          <w:szCs w:val="24"/>
        </w:rPr>
        <w:t>razonable menos los costes de venta y el valor en uso.</w:t>
      </w:r>
    </w:p>
    <w:p w14:paraId="5AF3458B" w14:textId="2DBB06F6" w:rsidR="008C0D8E" w:rsidRDefault="008C0D8E">
      <w:pPr>
        <w:keepLines w:val="0"/>
        <w:widowControl/>
        <w:jc w:val="left"/>
        <w:rPr>
          <w:rFonts w:ascii="Cambria" w:hAnsi="Cambria"/>
          <w:sz w:val="24"/>
          <w:szCs w:val="24"/>
        </w:rPr>
      </w:pPr>
      <w:r>
        <w:rPr>
          <w:rFonts w:ascii="Cambria" w:hAnsi="Cambria"/>
          <w:sz w:val="24"/>
          <w:szCs w:val="24"/>
        </w:rPr>
        <w:br w:type="page"/>
      </w:r>
    </w:p>
    <w:p w14:paraId="7B06E175" w14:textId="77777777" w:rsidR="00BF25D4" w:rsidRPr="00BF25D4" w:rsidRDefault="00BF25D4" w:rsidP="00BF25D4">
      <w:pPr>
        <w:rPr>
          <w:rFonts w:ascii="Cambria" w:hAnsi="Cambria"/>
          <w:sz w:val="24"/>
          <w:szCs w:val="24"/>
        </w:rPr>
      </w:pPr>
    </w:p>
    <w:p w14:paraId="08042E1D" w14:textId="77777777" w:rsidR="0052791C" w:rsidRPr="00F8465B" w:rsidRDefault="0052791C" w:rsidP="00284D60">
      <w:pPr>
        <w:pStyle w:val="Ttulo2"/>
        <w:keepNext/>
        <w:numPr>
          <w:ilvl w:val="1"/>
          <w:numId w:val="14"/>
        </w:numPr>
        <w:ind w:left="993" w:hanging="426"/>
        <w:rPr>
          <w:rFonts w:ascii="Cambria" w:hAnsi="Cambria"/>
          <w:sz w:val="24"/>
          <w:szCs w:val="24"/>
        </w:rPr>
      </w:pPr>
      <w:r w:rsidRPr="00F8465B">
        <w:rPr>
          <w:rFonts w:ascii="Cambria" w:hAnsi="Cambria"/>
          <w:sz w:val="24"/>
          <w:szCs w:val="24"/>
        </w:rPr>
        <w:t>Inversiones Inmobiliarias</w:t>
      </w:r>
    </w:p>
    <w:p w14:paraId="2369D079" w14:textId="77777777" w:rsidR="0052791C" w:rsidRPr="00F8465B" w:rsidRDefault="0052791C" w:rsidP="0024783F">
      <w:pPr>
        <w:rPr>
          <w:rFonts w:ascii="Cambria" w:hAnsi="Cambria"/>
          <w:sz w:val="24"/>
          <w:szCs w:val="24"/>
        </w:rPr>
      </w:pPr>
    </w:p>
    <w:p w14:paraId="2D6F85CE" w14:textId="785DC33C" w:rsidR="0052791C" w:rsidRPr="00F8465B" w:rsidRDefault="0052791C" w:rsidP="00AD3D1F">
      <w:pPr>
        <w:pStyle w:val="Ttulo1a"/>
        <w:ind w:left="567"/>
        <w:rPr>
          <w:rFonts w:ascii="Cambria" w:hAnsi="Cambria"/>
          <w:sz w:val="24"/>
          <w:szCs w:val="24"/>
        </w:rPr>
      </w:pPr>
      <w:r w:rsidRPr="00F8465B">
        <w:rPr>
          <w:rFonts w:ascii="Cambria" w:hAnsi="Cambria"/>
          <w:sz w:val="24"/>
          <w:szCs w:val="24"/>
        </w:rPr>
        <w:t>El epígrafe inversiones inmobiliarias del balance recoge los valores de terrenos, edificios y otras construcciones que se mantienen</w:t>
      </w:r>
      <w:r w:rsidR="002C02A0">
        <w:rPr>
          <w:rFonts w:ascii="Cambria" w:hAnsi="Cambria"/>
          <w:sz w:val="24"/>
          <w:szCs w:val="24"/>
        </w:rPr>
        <w:t>,</w:t>
      </w:r>
      <w:r w:rsidRPr="00F8465B">
        <w:rPr>
          <w:rFonts w:ascii="Cambria" w:hAnsi="Cambria"/>
          <w:sz w:val="24"/>
          <w:szCs w:val="24"/>
        </w:rPr>
        <w:t xml:space="preserve"> bien para explotarlos en régimen de alquiler, bien para obtener una plusvalía en su venta como consecuencia de los incrementos que se produzcan en el futuro en sus respectivos precios de mercado.</w:t>
      </w:r>
    </w:p>
    <w:p w14:paraId="2A6CED21" w14:textId="77777777" w:rsidR="00BA5D6C" w:rsidRPr="00F8465B" w:rsidRDefault="00BA5D6C" w:rsidP="00AD3D1F">
      <w:pPr>
        <w:pStyle w:val="Ttulo1a"/>
        <w:ind w:left="567"/>
        <w:rPr>
          <w:rFonts w:ascii="Cambria" w:hAnsi="Cambria"/>
          <w:sz w:val="24"/>
          <w:szCs w:val="24"/>
        </w:rPr>
      </w:pPr>
    </w:p>
    <w:p w14:paraId="2FD1D4CB" w14:textId="77777777" w:rsidR="00CD1989" w:rsidRPr="00F8465B" w:rsidRDefault="0052791C" w:rsidP="00AD3D1F">
      <w:pPr>
        <w:pStyle w:val="Ttulo1a"/>
        <w:ind w:left="567"/>
        <w:rPr>
          <w:rFonts w:ascii="Cambria" w:hAnsi="Cambria"/>
          <w:sz w:val="24"/>
          <w:szCs w:val="24"/>
        </w:rPr>
      </w:pPr>
      <w:r w:rsidRPr="00F8465B">
        <w:rPr>
          <w:rFonts w:ascii="Cambria" w:hAnsi="Cambria"/>
          <w:sz w:val="24"/>
          <w:szCs w:val="24"/>
        </w:rPr>
        <w:t>Estos activos se valoran inicialmente por su precio de adquisición o coste de producción, y posteriormente se minora por la correspondiente amortización acumulada y las pérdidas por deterioro, si las hubiera.</w:t>
      </w:r>
    </w:p>
    <w:p w14:paraId="1FDD465E" w14:textId="77777777" w:rsidR="007B1120" w:rsidRDefault="007B1120" w:rsidP="00AD3D1F">
      <w:pPr>
        <w:pStyle w:val="Ttulo1a"/>
        <w:ind w:left="567"/>
        <w:rPr>
          <w:rFonts w:ascii="Cambria" w:hAnsi="Cambria"/>
          <w:sz w:val="24"/>
          <w:szCs w:val="24"/>
        </w:rPr>
      </w:pPr>
    </w:p>
    <w:p w14:paraId="06E136BB" w14:textId="77777777" w:rsidR="00BA456F" w:rsidRPr="00BA456F" w:rsidRDefault="00BA456F" w:rsidP="004D54C8">
      <w:pPr>
        <w:pStyle w:val="Prrafodelista"/>
        <w:numPr>
          <w:ilvl w:val="1"/>
          <w:numId w:val="14"/>
        </w:numPr>
        <w:ind w:hanging="219"/>
        <w:rPr>
          <w:rFonts w:ascii="Cambria" w:hAnsi="Cambria"/>
          <w:b/>
          <w:sz w:val="24"/>
          <w:szCs w:val="24"/>
        </w:rPr>
      </w:pPr>
      <w:r w:rsidRPr="00BA456F">
        <w:rPr>
          <w:rFonts w:ascii="Cambria" w:hAnsi="Cambria"/>
          <w:b/>
          <w:sz w:val="24"/>
          <w:szCs w:val="24"/>
        </w:rPr>
        <w:t>Arrendamientos y otras operaciones de naturaleza similar</w:t>
      </w:r>
    </w:p>
    <w:p w14:paraId="08FD485A" w14:textId="77777777" w:rsidR="00BA456F" w:rsidRPr="00F8465B" w:rsidRDefault="00BA456F" w:rsidP="004D54C8">
      <w:pPr>
        <w:pStyle w:val="Ttulo2"/>
        <w:keepNext/>
        <w:rPr>
          <w:rFonts w:ascii="Cambria" w:hAnsi="Cambria"/>
          <w:sz w:val="24"/>
          <w:szCs w:val="24"/>
        </w:rPr>
      </w:pPr>
    </w:p>
    <w:p w14:paraId="77CD62CF" w14:textId="77777777" w:rsidR="00BA456F" w:rsidRPr="004D54C8" w:rsidRDefault="00BA456F" w:rsidP="004D54C8">
      <w:pPr>
        <w:ind w:left="567"/>
        <w:rPr>
          <w:rFonts w:ascii="Cambria" w:hAnsi="Cambria"/>
          <w:sz w:val="24"/>
          <w:szCs w:val="24"/>
        </w:rPr>
      </w:pPr>
      <w:r w:rsidRPr="004D54C8">
        <w:rPr>
          <w:rFonts w:ascii="Cambria" w:hAnsi="Cambria"/>
          <w:sz w:val="24"/>
          <w:szCs w:val="24"/>
        </w:rPr>
        <w:t>Arrendamiento operativo</w:t>
      </w:r>
    </w:p>
    <w:p w14:paraId="1D548F4B" w14:textId="77777777" w:rsidR="00BA456F" w:rsidRPr="004D54C8" w:rsidRDefault="00BA456F" w:rsidP="004D54C8">
      <w:pPr>
        <w:ind w:left="567"/>
        <w:rPr>
          <w:rFonts w:ascii="Cambria" w:hAnsi="Cambria"/>
          <w:sz w:val="24"/>
          <w:szCs w:val="24"/>
        </w:rPr>
      </w:pPr>
    </w:p>
    <w:p w14:paraId="5009FFE5" w14:textId="77777777" w:rsidR="00BA456F" w:rsidRPr="004D54C8" w:rsidRDefault="00BA456F" w:rsidP="004D54C8">
      <w:pPr>
        <w:ind w:left="567"/>
        <w:rPr>
          <w:rFonts w:ascii="Cambria" w:hAnsi="Cambria"/>
          <w:sz w:val="24"/>
          <w:szCs w:val="24"/>
        </w:rPr>
      </w:pPr>
      <w:r w:rsidRPr="004D54C8">
        <w:rPr>
          <w:rFonts w:ascii="Cambria" w:hAnsi="Cambria"/>
          <w:sz w:val="24"/>
          <w:szCs w:val="24"/>
        </w:rPr>
        <w:t>Los gastos derivados de los acuerdos de arrendamiento operativo se contabilizan en la cuenta de pérdidas y ganancias en el ejercicio en que se devengan.</w:t>
      </w:r>
    </w:p>
    <w:p w14:paraId="2AAAD141" w14:textId="77777777" w:rsidR="00BA456F" w:rsidRPr="004D54C8" w:rsidRDefault="00BA456F" w:rsidP="004D54C8">
      <w:pPr>
        <w:ind w:left="567"/>
        <w:rPr>
          <w:rFonts w:ascii="Cambria" w:hAnsi="Cambria"/>
          <w:sz w:val="24"/>
          <w:szCs w:val="24"/>
        </w:rPr>
      </w:pPr>
    </w:p>
    <w:p w14:paraId="762A7504" w14:textId="77777777" w:rsidR="00BA456F" w:rsidRPr="004D54C8" w:rsidRDefault="00BA456F" w:rsidP="004D54C8">
      <w:pPr>
        <w:ind w:left="567"/>
        <w:rPr>
          <w:rFonts w:ascii="Cambria" w:hAnsi="Cambria"/>
          <w:sz w:val="24"/>
          <w:szCs w:val="24"/>
        </w:rPr>
      </w:pPr>
      <w:r w:rsidRPr="004D54C8">
        <w:rPr>
          <w:rFonts w:ascii="Cambria" w:hAnsi="Cambria"/>
          <w:sz w:val="24"/>
          <w:szCs w:val="24"/>
        </w:rPr>
        <w:t>Cualquier cobro o pago que se realiza al contratar un arrendamiento operativo se trata como un cobro o pago anticipado, que se imputa a resultados a lo largo del periodo del arrendamiento, a medida que se ceden o reciben los beneficios del activo arrendado.</w:t>
      </w:r>
    </w:p>
    <w:p w14:paraId="3FD6F494" w14:textId="77777777" w:rsidR="001015E4" w:rsidRDefault="001015E4" w:rsidP="00D86D55">
      <w:pPr>
        <w:keepLines w:val="0"/>
        <w:widowControl/>
        <w:jc w:val="left"/>
        <w:rPr>
          <w:rFonts w:ascii="Cambria" w:hAnsi="Cambria"/>
          <w:sz w:val="24"/>
          <w:szCs w:val="24"/>
        </w:rPr>
      </w:pPr>
    </w:p>
    <w:p w14:paraId="5AE2FA79" w14:textId="0FAFCC5E" w:rsidR="00B47B25" w:rsidRPr="00F8465B" w:rsidRDefault="00B47B25" w:rsidP="00284D60">
      <w:pPr>
        <w:pStyle w:val="Ttulo2"/>
        <w:keepNext/>
        <w:numPr>
          <w:ilvl w:val="1"/>
          <w:numId w:val="14"/>
        </w:numPr>
        <w:ind w:left="993" w:hanging="426"/>
        <w:rPr>
          <w:rFonts w:ascii="Cambria" w:hAnsi="Cambria"/>
          <w:sz w:val="24"/>
          <w:szCs w:val="24"/>
        </w:rPr>
      </w:pPr>
      <w:r w:rsidRPr="00F8465B">
        <w:rPr>
          <w:rFonts w:ascii="Cambria" w:hAnsi="Cambria"/>
          <w:sz w:val="24"/>
          <w:szCs w:val="24"/>
        </w:rPr>
        <w:t>Instrumentos financieros</w:t>
      </w:r>
    </w:p>
    <w:p w14:paraId="50AFE818" w14:textId="77777777" w:rsidR="007B1120" w:rsidRPr="00F8465B" w:rsidRDefault="007B1120" w:rsidP="0024783F">
      <w:pPr>
        <w:pStyle w:val="Ttulo6"/>
        <w:numPr>
          <w:ilvl w:val="0"/>
          <w:numId w:val="0"/>
        </w:numPr>
        <w:ind w:left="851"/>
        <w:rPr>
          <w:rFonts w:ascii="Cambria" w:hAnsi="Cambria"/>
          <w:b/>
          <w:i/>
          <w:kern w:val="28"/>
          <w:szCs w:val="24"/>
          <w:u w:val="single"/>
          <w:lang w:val="es-ES" w:eastAsia="en-US"/>
        </w:rPr>
      </w:pPr>
    </w:p>
    <w:p w14:paraId="0767CF64" w14:textId="4017C929" w:rsidR="00373DF8" w:rsidRPr="00F8465B" w:rsidRDefault="00373DF8" w:rsidP="00AD3D1F">
      <w:pPr>
        <w:pStyle w:val="Ttulo2"/>
        <w:keepNext/>
        <w:ind w:left="567"/>
        <w:rPr>
          <w:rFonts w:ascii="Cambria" w:hAnsi="Cambria"/>
          <w:b w:val="0"/>
          <w:i/>
          <w:sz w:val="24"/>
          <w:szCs w:val="24"/>
        </w:rPr>
      </w:pPr>
      <w:r w:rsidRPr="00F8465B">
        <w:rPr>
          <w:rFonts w:ascii="Cambria" w:hAnsi="Cambria"/>
          <w:b w:val="0"/>
          <w:i/>
          <w:sz w:val="24"/>
          <w:szCs w:val="24"/>
        </w:rPr>
        <w:t>4.</w:t>
      </w:r>
      <w:r w:rsidR="00BA456F">
        <w:rPr>
          <w:rFonts w:ascii="Cambria" w:hAnsi="Cambria"/>
          <w:b w:val="0"/>
          <w:i/>
          <w:sz w:val="24"/>
          <w:szCs w:val="24"/>
        </w:rPr>
        <w:t>4</w:t>
      </w:r>
      <w:r w:rsidRPr="00F8465B">
        <w:rPr>
          <w:rFonts w:ascii="Cambria" w:hAnsi="Cambria"/>
          <w:b w:val="0"/>
          <w:i/>
          <w:sz w:val="24"/>
          <w:szCs w:val="24"/>
        </w:rPr>
        <w:t>.1 Activos financieros</w:t>
      </w:r>
    </w:p>
    <w:p w14:paraId="348BEDAB" w14:textId="77777777" w:rsidR="007B1120" w:rsidRPr="00F8465B" w:rsidRDefault="007B1120" w:rsidP="0024783F">
      <w:pPr>
        <w:pStyle w:val="Ttulo6"/>
        <w:numPr>
          <w:ilvl w:val="0"/>
          <w:numId w:val="0"/>
        </w:numPr>
        <w:ind w:left="851"/>
        <w:rPr>
          <w:rFonts w:ascii="Cambria" w:hAnsi="Cambria"/>
          <w:kern w:val="28"/>
          <w:szCs w:val="24"/>
          <w:lang w:val="es-ES" w:eastAsia="en-US"/>
        </w:rPr>
      </w:pPr>
    </w:p>
    <w:p w14:paraId="772997C1" w14:textId="6B8D072E" w:rsidR="00B47B25" w:rsidRPr="00F8465B" w:rsidRDefault="00B47B25" w:rsidP="00AD3D1F">
      <w:pPr>
        <w:pStyle w:val="Ttulo6"/>
        <w:numPr>
          <w:ilvl w:val="0"/>
          <w:numId w:val="0"/>
        </w:numPr>
        <w:ind w:left="1134"/>
        <w:rPr>
          <w:rFonts w:ascii="Cambria" w:hAnsi="Cambria"/>
          <w:kern w:val="28"/>
          <w:szCs w:val="24"/>
          <w:lang w:val="es-ES" w:eastAsia="en-US"/>
        </w:rPr>
      </w:pPr>
      <w:r w:rsidRPr="00F8465B">
        <w:rPr>
          <w:rFonts w:ascii="Cambria" w:hAnsi="Cambria"/>
          <w:kern w:val="28"/>
          <w:szCs w:val="24"/>
          <w:lang w:val="es-ES" w:eastAsia="en-US"/>
        </w:rPr>
        <w:t>Clasificación</w:t>
      </w:r>
    </w:p>
    <w:p w14:paraId="11AFB0C4" w14:textId="77777777" w:rsidR="00743ACD" w:rsidRPr="00F8465B" w:rsidRDefault="00743ACD" w:rsidP="0024783F">
      <w:pPr>
        <w:pStyle w:val="Listaconnmeros"/>
        <w:ind w:left="851" w:firstLine="0"/>
        <w:rPr>
          <w:rFonts w:ascii="Cambria" w:hAnsi="Cambria"/>
          <w:kern w:val="28"/>
          <w:sz w:val="24"/>
          <w:szCs w:val="24"/>
          <w:lang w:val="es-ES" w:eastAsia="en-US"/>
        </w:rPr>
      </w:pPr>
    </w:p>
    <w:p w14:paraId="1C1D072D" w14:textId="77777777" w:rsidR="00B47B25" w:rsidRPr="00F8465B" w:rsidRDefault="00B47B25" w:rsidP="00AD3D1F">
      <w:pPr>
        <w:pStyle w:val="Ttulo6"/>
        <w:numPr>
          <w:ilvl w:val="0"/>
          <w:numId w:val="0"/>
        </w:numPr>
        <w:ind w:left="1134"/>
        <w:rPr>
          <w:rFonts w:ascii="Cambria" w:hAnsi="Cambria"/>
          <w:kern w:val="28"/>
          <w:szCs w:val="24"/>
          <w:lang w:val="es-ES" w:eastAsia="en-US"/>
        </w:rPr>
      </w:pPr>
      <w:r w:rsidRPr="00F8465B">
        <w:rPr>
          <w:rFonts w:ascii="Cambria" w:hAnsi="Cambria"/>
          <w:kern w:val="28"/>
          <w:szCs w:val="24"/>
          <w:lang w:val="es-ES" w:eastAsia="en-US"/>
        </w:rPr>
        <w:t xml:space="preserve">Los activos financieros que posee </w:t>
      </w:r>
      <w:smartTag w:uri="urn:schemas-microsoft-com:office:smarttags" w:element="PersonName">
        <w:smartTagPr>
          <w:attr w:name="ProductID" w:val="la Sociedad"/>
        </w:smartTagPr>
        <w:r w:rsidRPr="00F8465B">
          <w:rPr>
            <w:rFonts w:ascii="Cambria" w:hAnsi="Cambria"/>
            <w:kern w:val="28"/>
            <w:szCs w:val="24"/>
            <w:lang w:val="es-ES" w:eastAsia="en-US"/>
          </w:rPr>
          <w:t>la Sociedad</w:t>
        </w:r>
      </w:smartTag>
      <w:r w:rsidRPr="00F8465B">
        <w:rPr>
          <w:rFonts w:ascii="Cambria" w:hAnsi="Cambria"/>
          <w:kern w:val="28"/>
          <w:szCs w:val="24"/>
          <w:lang w:val="es-ES" w:eastAsia="en-US"/>
        </w:rPr>
        <w:t xml:space="preserve"> se clasifican en las siguientes categorías:</w:t>
      </w:r>
    </w:p>
    <w:p w14:paraId="20A91720" w14:textId="77777777" w:rsidR="005B7832" w:rsidRPr="00F8465B" w:rsidRDefault="005B7832" w:rsidP="0024783F">
      <w:pPr>
        <w:pStyle w:val="Lista"/>
        <w:ind w:left="851"/>
        <w:rPr>
          <w:rFonts w:ascii="Cambria" w:hAnsi="Cambria"/>
          <w:sz w:val="24"/>
          <w:szCs w:val="24"/>
          <w:lang w:val="es-ES" w:eastAsia="en-US"/>
        </w:rPr>
      </w:pPr>
    </w:p>
    <w:p w14:paraId="11E8EEEF" w14:textId="35E4246B" w:rsidR="00B47B25" w:rsidRDefault="00B47B25" w:rsidP="00AD3D1F">
      <w:pPr>
        <w:keepLines w:val="0"/>
        <w:widowControl/>
        <w:numPr>
          <w:ilvl w:val="0"/>
          <w:numId w:val="5"/>
        </w:numPr>
        <w:tabs>
          <w:tab w:val="clear" w:pos="720"/>
          <w:tab w:val="num" w:pos="1418"/>
        </w:tabs>
        <w:ind w:left="1418" w:hanging="284"/>
        <w:rPr>
          <w:rFonts w:ascii="Cambria" w:hAnsi="Cambria"/>
          <w:kern w:val="28"/>
          <w:sz w:val="24"/>
          <w:szCs w:val="24"/>
          <w:lang w:val="es-ES" w:eastAsia="en-US"/>
        </w:rPr>
      </w:pPr>
      <w:r w:rsidRPr="00F8465B">
        <w:rPr>
          <w:rFonts w:ascii="Cambria" w:hAnsi="Cambria"/>
          <w:kern w:val="28"/>
          <w:sz w:val="24"/>
          <w:szCs w:val="24"/>
          <w:lang w:val="es-ES" w:eastAsia="en-US"/>
        </w:rPr>
        <w:t>Préstamos y partidas a cobrar: activos financieros originados en la prestación de servicios por refacturación de</w:t>
      </w:r>
      <w:r w:rsidR="001E666F" w:rsidRPr="00F8465B">
        <w:rPr>
          <w:rFonts w:ascii="Cambria" w:hAnsi="Cambria"/>
          <w:kern w:val="28"/>
          <w:sz w:val="24"/>
          <w:szCs w:val="24"/>
          <w:lang w:val="es-ES" w:eastAsia="en-US"/>
        </w:rPr>
        <w:t xml:space="preserve"> gastos a otras </w:t>
      </w:r>
      <w:r w:rsidR="00E940E5" w:rsidRPr="00F8465B">
        <w:rPr>
          <w:rFonts w:ascii="Cambria" w:hAnsi="Cambria"/>
          <w:kern w:val="28"/>
          <w:sz w:val="24"/>
          <w:szCs w:val="24"/>
          <w:lang w:val="es-ES" w:eastAsia="en-US"/>
        </w:rPr>
        <w:t>S</w:t>
      </w:r>
      <w:r w:rsidR="001E666F" w:rsidRPr="00F8465B">
        <w:rPr>
          <w:rFonts w:ascii="Cambria" w:hAnsi="Cambria"/>
          <w:kern w:val="28"/>
          <w:sz w:val="24"/>
          <w:szCs w:val="24"/>
          <w:lang w:val="es-ES" w:eastAsia="en-US"/>
        </w:rPr>
        <w:t>ociedades del G</w:t>
      </w:r>
      <w:r w:rsidRPr="00F8465B">
        <w:rPr>
          <w:rFonts w:ascii="Cambria" w:hAnsi="Cambria"/>
          <w:kern w:val="28"/>
          <w:sz w:val="24"/>
          <w:szCs w:val="24"/>
          <w:lang w:val="es-ES" w:eastAsia="en-US"/>
        </w:rPr>
        <w:t xml:space="preserve">rupo (servicios administrativos), o los </w:t>
      </w:r>
      <w:r w:rsidR="005B1D74" w:rsidRPr="00F8465B">
        <w:rPr>
          <w:rFonts w:ascii="Cambria" w:hAnsi="Cambria"/>
          <w:kern w:val="28"/>
          <w:sz w:val="24"/>
          <w:szCs w:val="24"/>
          <w:lang w:val="es-ES" w:eastAsia="en-US"/>
        </w:rPr>
        <w:t>que,</w:t>
      </w:r>
      <w:r w:rsidRPr="00F8465B">
        <w:rPr>
          <w:rFonts w:ascii="Cambria" w:hAnsi="Cambria"/>
          <w:kern w:val="28"/>
          <w:sz w:val="24"/>
          <w:szCs w:val="24"/>
          <w:lang w:val="es-ES" w:eastAsia="en-US"/>
        </w:rPr>
        <w:t xml:space="preserve"> no teniendo un origen comercial, no son instrumentos de patrimonio ni derivados y cuyos cobros son de cuantía fija o determinable y no se negocian en un mercado activo.</w:t>
      </w:r>
    </w:p>
    <w:p w14:paraId="3023052A" w14:textId="77777777" w:rsidR="00BA5D6C" w:rsidRPr="00F8465B" w:rsidRDefault="00BA5D6C" w:rsidP="00BA5D6C">
      <w:pPr>
        <w:keepLines w:val="0"/>
        <w:widowControl/>
        <w:jc w:val="left"/>
        <w:rPr>
          <w:rFonts w:ascii="Cambria" w:hAnsi="Cambria"/>
          <w:kern w:val="28"/>
          <w:sz w:val="24"/>
          <w:szCs w:val="24"/>
          <w:lang w:val="es-ES" w:eastAsia="en-US"/>
        </w:rPr>
      </w:pPr>
    </w:p>
    <w:p w14:paraId="4A89FAE4" w14:textId="77777777" w:rsidR="00AD3D1F" w:rsidRPr="00F8465B" w:rsidRDefault="00235A54" w:rsidP="00BA5D6C">
      <w:pPr>
        <w:keepLines w:val="0"/>
        <w:widowControl/>
        <w:numPr>
          <w:ilvl w:val="0"/>
          <w:numId w:val="5"/>
        </w:numPr>
        <w:tabs>
          <w:tab w:val="clear" w:pos="720"/>
          <w:tab w:val="num" w:pos="1418"/>
        </w:tabs>
        <w:ind w:left="1418" w:hanging="284"/>
        <w:rPr>
          <w:rFonts w:ascii="Cambria" w:hAnsi="Cambria"/>
          <w:kern w:val="28"/>
          <w:sz w:val="24"/>
          <w:szCs w:val="24"/>
          <w:lang w:val="es-ES" w:eastAsia="en-US"/>
        </w:rPr>
      </w:pPr>
      <w:r w:rsidRPr="00F8465B">
        <w:rPr>
          <w:rFonts w:ascii="Cambria" w:hAnsi="Cambria"/>
          <w:kern w:val="28"/>
          <w:sz w:val="24"/>
          <w:szCs w:val="24"/>
          <w:lang w:val="es-ES" w:eastAsia="en-US"/>
        </w:rPr>
        <w:t>Inversiones en</w:t>
      </w:r>
      <w:r w:rsidR="001E666F" w:rsidRPr="00F8465B">
        <w:rPr>
          <w:rFonts w:ascii="Cambria" w:hAnsi="Cambria"/>
          <w:kern w:val="28"/>
          <w:sz w:val="24"/>
          <w:szCs w:val="24"/>
          <w:lang w:val="es-ES" w:eastAsia="en-US"/>
        </w:rPr>
        <w:t xml:space="preserve"> el patrimonio de empresas del G</w:t>
      </w:r>
      <w:r w:rsidRPr="00F8465B">
        <w:rPr>
          <w:rFonts w:ascii="Cambria" w:hAnsi="Cambria"/>
          <w:kern w:val="28"/>
          <w:sz w:val="24"/>
          <w:szCs w:val="24"/>
          <w:lang w:val="es-ES" w:eastAsia="en-US"/>
        </w:rPr>
        <w:t>rupo, asociadas y multigru</w:t>
      </w:r>
      <w:r w:rsidR="001E666F" w:rsidRPr="00F8465B">
        <w:rPr>
          <w:rFonts w:ascii="Cambria" w:hAnsi="Cambria"/>
          <w:kern w:val="28"/>
          <w:sz w:val="24"/>
          <w:szCs w:val="24"/>
          <w:lang w:val="es-ES" w:eastAsia="en-US"/>
        </w:rPr>
        <w:t>po: se consideran empresas del G</w:t>
      </w:r>
      <w:r w:rsidRPr="00F8465B">
        <w:rPr>
          <w:rFonts w:ascii="Cambria" w:hAnsi="Cambria"/>
          <w:kern w:val="28"/>
          <w:sz w:val="24"/>
          <w:szCs w:val="24"/>
          <w:lang w:val="es-ES" w:eastAsia="en-US"/>
        </w:rPr>
        <w:t>rupo aqu</w:t>
      </w:r>
      <w:r w:rsidR="00B930F5" w:rsidRPr="00F8465B">
        <w:rPr>
          <w:rFonts w:ascii="Cambria" w:hAnsi="Cambria"/>
          <w:kern w:val="28"/>
          <w:sz w:val="24"/>
          <w:szCs w:val="24"/>
          <w:lang w:val="es-ES" w:eastAsia="en-US"/>
        </w:rPr>
        <w:t>é</w:t>
      </w:r>
      <w:r w:rsidRPr="00F8465B">
        <w:rPr>
          <w:rFonts w:ascii="Cambria" w:hAnsi="Cambria"/>
          <w:kern w:val="28"/>
          <w:sz w:val="24"/>
          <w:szCs w:val="24"/>
          <w:lang w:val="es-ES" w:eastAsia="en-US"/>
        </w:rPr>
        <w:t xml:space="preserve">llas vinculadas con la Sociedad por una relación de control, y empresas asociadas </w:t>
      </w:r>
      <w:r w:rsidR="006B4210" w:rsidRPr="00F8465B">
        <w:rPr>
          <w:rFonts w:ascii="Cambria" w:hAnsi="Cambria"/>
          <w:kern w:val="28"/>
          <w:sz w:val="24"/>
          <w:szCs w:val="24"/>
          <w:lang w:val="es-ES" w:eastAsia="en-US"/>
        </w:rPr>
        <w:t>aquéllas</w:t>
      </w:r>
      <w:r w:rsidRPr="00F8465B">
        <w:rPr>
          <w:rFonts w:ascii="Cambria" w:hAnsi="Cambria"/>
          <w:kern w:val="28"/>
          <w:sz w:val="24"/>
          <w:szCs w:val="24"/>
          <w:lang w:val="es-ES" w:eastAsia="en-US"/>
        </w:rPr>
        <w:t xml:space="preserve"> sobre las </w:t>
      </w:r>
      <w:r w:rsidR="00F53DE4" w:rsidRPr="00F8465B">
        <w:rPr>
          <w:rFonts w:ascii="Cambria" w:hAnsi="Cambria"/>
          <w:kern w:val="28"/>
          <w:sz w:val="24"/>
          <w:szCs w:val="24"/>
          <w:lang w:val="es-ES" w:eastAsia="en-US"/>
        </w:rPr>
        <w:t xml:space="preserve">que </w:t>
      </w:r>
      <w:r w:rsidRPr="00F8465B">
        <w:rPr>
          <w:rFonts w:ascii="Cambria" w:hAnsi="Cambria"/>
          <w:kern w:val="28"/>
          <w:sz w:val="24"/>
          <w:szCs w:val="24"/>
          <w:lang w:val="es-ES" w:eastAsia="en-US"/>
        </w:rPr>
        <w:t>la Sociedad ejerce una influencia significativa. Adicionalmente, dentro de la categoría de multigrupo se incluye a aquellas sociedades sobre las</w:t>
      </w:r>
      <w:r w:rsidR="00F53DE4" w:rsidRPr="00F8465B">
        <w:rPr>
          <w:rFonts w:ascii="Cambria" w:hAnsi="Cambria"/>
          <w:kern w:val="28"/>
          <w:sz w:val="24"/>
          <w:szCs w:val="24"/>
          <w:lang w:val="es-ES" w:eastAsia="en-US"/>
        </w:rPr>
        <w:t xml:space="preserve"> que</w:t>
      </w:r>
      <w:r w:rsidRPr="00F8465B">
        <w:rPr>
          <w:rFonts w:ascii="Cambria" w:hAnsi="Cambria"/>
          <w:kern w:val="28"/>
          <w:sz w:val="24"/>
          <w:szCs w:val="24"/>
          <w:lang w:val="es-ES" w:eastAsia="en-US"/>
        </w:rPr>
        <w:t xml:space="preserve">, en virtud de un acuerdo, se ejerce un control conjunto con uno o más socios. </w:t>
      </w:r>
    </w:p>
    <w:p w14:paraId="2A6AE67B" w14:textId="50A28ACB" w:rsidR="006E05CA" w:rsidRDefault="006E05CA">
      <w:pPr>
        <w:keepLines w:val="0"/>
        <w:widowControl/>
        <w:jc w:val="left"/>
        <w:rPr>
          <w:rFonts w:ascii="Cambria" w:hAnsi="Cambria"/>
          <w:kern w:val="28"/>
          <w:sz w:val="24"/>
          <w:szCs w:val="24"/>
          <w:lang w:val="es-ES" w:eastAsia="en-US"/>
        </w:rPr>
      </w:pPr>
      <w:r>
        <w:rPr>
          <w:rFonts w:ascii="Cambria" w:hAnsi="Cambria"/>
          <w:kern w:val="28"/>
          <w:sz w:val="24"/>
          <w:szCs w:val="24"/>
          <w:lang w:val="es-ES" w:eastAsia="en-US"/>
        </w:rPr>
        <w:br w:type="page"/>
      </w:r>
    </w:p>
    <w:p w14:paraId="06B3766D" w14:textId="77777777" w:rsidR="00771DB7" w:rsidRPr="00F8465B" w:rsidRDefault="00771DB7" w:rsidP="00BA5D6C">
      <w:pPr>
        <w:keepLines w:val="0"/>
        <w:widowControl/>
        <w:ind w:left="1418"/>
        <w:rPr>
          <w:rFonts w:ascii="Cambria" w:hAnsi="Cambria"/>
          <w:kern w:val="28"/>
          <w:sz w:val="24"/>
          <w:szCs w:val="24"/>
          <w:lang w:val="es-ES" w:eastAsia="en-US"/>
        </w:rPr>
      </w:pPr>
    </w:p>
    <w:p w14:paraId="6218B481" w14:textId="1C594F06" w:rsidR="00235A54" w:rsidRPr="00F8465B" w:rsidRDefault="00235A54" w:rsidP="00AD3D1F">
      <w:pPr>
        <w:pStyle w:val="Ttulo6"/>
        <w:numPr>
          <w:ilvl w:val="0"/>
          <w:numId w:val="0"/>
        </w:numPr>
        <w:ind w:left="1134"/>
        <w:rPr>
          <w:rFonts w:ascii="Cambria" w:hAnsi="Cambria"/>
          <w:kern w:val="28"/>
          <w:szCs w:val="24"/>
          <w:lang w:val="es-ES" w:eastAsia="en-US"/>
        </w:rPr>
      </w:pPr>
      <w:r w:rsidRPr="00F8465B">
        <w:rPr>
          <w:rFonts w:ascii="Cambria" w:hAnsi="Cambria"/>
          <w:kern w:val="28"/>
          <w:szCs w:val="24"/>
          <w:lang w:val="es-ES" w:eastAsia="en-US"/>
        </w:rPr>
        <w:t>Valoración inicial</w:t>
      </w:r>
    </w:p>
    <w:p w14:paraId="68D19F10" w14:textId="77777777" w:rsidR="00235A54" w:rsidRPr="00F8465B" w:rsidRDefault="00235A54" w:rsidP="0024783F">
      <w:pPr>
        <w:ind w:left="851"/>
        <w:rPr>
          <w:rFonts w:ascii="Cambria" w:hAnsi="Cambria"/>
          <w:sz w:val="24"/>
          <w:szCs w:val="24"/>
          <w:lang w:val="es-ES" w:eastAsia="en-US"/>
        </w:rPr>
      </w:pPr>
    </w:p>
    <w:p w14:paraId="4CD01FB9" w14:textId="77777777" w:rsidR="00235A54" w:rsidRPr="00F8465B" w:rsidRDefault="00235A54" w:rsidP="00AD3D1F">
      <w:pPr>
        <w:pStyle w:val="Ttulo6"/>
        <w:numPr>
          <w:ilvl w:val="0"/>
          <w:numId w:val="0"/>
        </w:numPr>
        <w:ind w:left="1134"/>
        <w:rPr>
          <w:rFonts w:ascii="Cambria" w:hAnsi="Cambria"/>
          <w:kern w:val="28"/>
          <w:szCs w:val="24"/>
          <w:lang w:val="es-ES" w:eastAsia="en-US"/>
        </w:rPr>
      </w:pPr>
      <w:r w:rsidRPr="00F8465B">
        <w:rPr>
          <w:rFonts w:ascii="Cambria" w:hAnsi="Cambria"/>
          <w:kern w:val="28"/>
          <w:szCs w:val="24"/>
          <w:lang w:val="es-ES" w:eastAsia="en-US"/>
        </w:rPr>
        <w:t>Los activos financieros se registran inicialmente al valor razonable de la contraprestación entregada más los costes de la transacción que sean directamente atribuibles.</w:t>
      </w:r>
    </w:p>
    <w:p w14:paraId="675DE029" w14:textId="77777777" w:rsidR="009A2739" w:rsidRPr="00F8465B" w:rsidRDefault="009A2739" w:rsidP="00AD3D1F">
      <w:pPr>
        <w:pStyle w:val="Ttulo6"/>
        <w:numPr>
          <w:ilvl w:val="0"/>
          <w:numId w:val="0"/>
        </w:numPr>
        <w:ind w:left="1134"/>
        <w:rPr>
          <w:rFonts w:ascii="Cambria" w:hAnsi="Cambria"/>
          <w:kern w:val="28"/>
          <w:szCs w:val="24"/>
          <w:lang w:val="es-ES" w:eastAsia="en-US"/>
        </w:rPr>
      </w:pPr>
    </w:p>
    <w:p w14:paraId="176D6A93" w14:textId="29394E75" w:rsidR="00833483" w:rsidRPr="00F8465B" w:rsidRDefault="00833483" w:rsidP="00AD3D1F">
      <w:pPr>
        <w:pStyle w:val="Ttulo6"/>
        <w:numPr>
          <w:ilvl w:val="0"/>
          <w:numId w:val="0"/>
        </w:numPr>
        <w:ind w:left="1134"/>
        <w:rPr>
          <w:rFonts w:ascii="Cambria" w:hAnsi="Cambria"/>
          <w:kern w:val="28"/>
          <w:szCs w:val="24"/>
          <w:lang w:val="es-ES" w:eastAsia="en-US"/>
        </w:rPr>
      </w:pPr>
      <w:r w:rsidRPr="00F8465B">
        <w:rPr>
          <w:rFonts w:ascii="Cambria" w:hAnsi="Cambria"/>
          <w:kern w:val="28"/>
          <w:szCs w:val="24"/>
          <w:lang w:val="es-ES" w:eastAsia="en-US"/>
        </w:rPr>
        <w:t>Valoración posterior</w:t>
      </w:r>
    </w:p>
    <w:p w14:paraId="5B9E4F89" w14:textId="77777777" w:rsidR="00833483" w:rsidRPr="00F8465B" w:rsidRDefault="00833483" w:rsidP="00AD3D1F">
      <w:pPr>
        <w:pStyle w:val="Ttulo6"/>
        <w:numPr>
          <w:ilvl w:val="0"/>
          <w:numId w:val="0"/>
        </w:numPr>
        <w:ind w:left="1134"/>
        <w:rPr>
          <w:rFonts w:ascii="Cambria" w:hAnsi="Cambria"/>
          <w:kern w:val="28"/>
          <w:szCs w:val="24"/>
          <w:lang w:val="es-ES" w:eastAsia="en-US"/>
        </w:rPr>
      </w:pPr>
    </w:p>
    <w:p w14:paraId="635E1535" w14:textId="77777777" w:rsidR="00041C13" w:rsidRDefault="00041C13" w:rsidP="00AD3D1F">
      <w:pPr>
        <w:pStyle w:val="Ttulo6"/>
        <w:numPr>
          <w:ilvl w:val="0"/>
          <w:numId w:val="0"/>
        </w:numPr>
        <w:ind w:left="1134"/>
        <w:rPr>
          <w:rFonts w:ascii="Cambria" w:hAnsi="Cambria"/>
          <w:kern w:val="28"/>
          <w:szCs w:val="24"/>
          <w:lang w:val="es-ES" w:eastAsia="en-US"/>
        </w:rPr>
      </w:pPr>
      <w:r w:rsidRPr="00F8465B">
        <w:rPr>
          <w:rFonts w:ascii="Cambria" w:hAnsi="Cambria"/>
          <w:kern w:val="28"/>
          <w:szCs w:val="24"/>
          <w:lang w:val="es-ES" w:eastAsia="en-US"/>
        </w:rPr>
        <w:t>Los préstamos, partidas a cobrar e inversiones mantenidas hasta el vencimiento se valoran por su coste amortizado.</w:t>
      </w:r>
    </w:p>
    <w:p w14:paraId="056726CA" w14:textId="77777777" w:rsidR="001015E4" w:rsidRDefault="001015E4" w:rsidP="001015E4">
      <w:pPr>
        <w:rPr>
          <w:lang w:val="es-ES" w:eastAsia="en-US"/>
        </w:rPr>
      </w:pPr>
    </w:p>
    <w:p w14:paraId="2E81367C" w14:textId="54D6C10E" w:rsidR="00833483" w:rsidRDefault="00833483" w:rsidP="00AD3D1F">
      <w:pPr>
        <w:pStyle w:val="Ttulo6"/>
        <w:numPr>
          <w:ilvl w:val="0"/>
          <w:numId w:val="0"/>
        </w:numPr>
        <w:ind w:left="1134"/>
        <w:rPr>
          <w:rFonts w:ascii="Cambria" w:hAnsi="Cambria"/>
          <w:kern w:val="28"/>
          <w:szCs w:val="24"/>
          <w:lang w:val="es-ES" w:eastAsia="en-US"/>
        </w:rPr>
      </w:pPr>
      <w:r w:rsidRPr="00F8465B">
        <w:rPr>
          <w:rFonts w:ascii="Cambria" w:hAnsi="Cambria"/>
          <w:kern w:val="28"/>
          <w:szCs w:val="24"/>
          <w:lang w:val="es-ES" w:eastAsia="en-US"/>
        </w:rPr>
        <w:t xml:space="preserve">Las inversiones en empresas del </w:t>
      </w:r>
      <w:r w:rsidR="001E666F" w:rsidRPr="00F8465B">
        <w:rPr>
          <w:rFonts w:ascii="Cambria" w:hAnsi="Cambria"/>
          <w:kern w:val="28"/>
          <w:szCs w:val="24"/>
          <w:lang w:val="es-ES" w:eastAsia="en-US"/>
        </w:rPr>
        <w:t>G</w:t>
      </w:r>
      <w:r w:rsidRPr="00F8465B">
        <w:rPr>
          <w:rFonts w:ascii="Cambria" w:hAnsi="Cambria"/>
          <w:kern w:val="28"/>
          <w:szCs w:val="24"/>
          <w:lang w:val="es-ES" w:eastAsia="en-US"/>
        </w:rPr>
        <w:t>rupo, asociadas y multigrupo se valoran por su coste, minorado, en su caso, por el importe acumulado de las correcciones valorativas por deterioro. Dichas correcciones se calculan como la diferencia entre su valor en libros y el importe recuperable, entendido éste como el mayor importe entre su valor razonable menos los costes de venta y el valor actual de los flujos de efectivo futuros derivados de la inversión. Salvo mejor evidencia del importe recuperable, se toma en consideración el patrimonio neto de la entidad participada, corregido por las plusvalías tácitas existentes en la fecha de la valoración (incluyendo el fondo de comercio, si lo hubiera).</w:t>
      </w:r>
    </w:p>
    <w:p w14:paraId="4DB91F36" w14:textId="51EF2E63" w:rsidR="006E05CA" w:rsidRDefault="006E05CA" w:rsidP="006E05CA">
      <w:pPr>
        <w:rPr>
          <w:lang w:val="es-ES" w:eastAsia="en-US"/>
        </w:rPr>
      </w:pPr>
    </w:p>
    <w:p w14:paraId="4C629C98" w14:textId="77777777" w:rsidR="006E05CA" w:rsidRPr="00F11ECB" w:rsidRDefault="006E05CA" w:rsidP="006E05CA">
      <w:pPr>
        <w:pStyle w:val="Ttulo6"/>
        <w:numPr>
          <w:ilvl w:val="0"/>
          <w:numId w:val="0"/>
        </w:numPr>
        <w:ind w:left="1134"/>
        <w:rPr>
          <w:rFonts w:ascii="Cambria" w:hAnsi="Cambria"/>
          <w:kern w:val="28"/>
          <w:szCs w:val="24"/>
          <w:lang w:val="es-ES" w:eastAsia="en-US"/>
        </w:rPr>
      </w:pPr>
      <w:r w:rsidRPr="00F11ECB">
        <w:rPr>
          <w:rFonts w:ascii="Cambria" w:hAnsi="Cambria"/>
          <w:kern w:val="28"/>
          <w:szCs w:val="24"/>
          <w:lang w:val="es-ES" w:eastAsia="en-US"/>
        </w:rPr>
        <w:t>Los activos financieros se dan de baja del balance cuando han expirado los derechos contractuales sobre los flujos de efectivo del activo financiero o cuando se transfieren, siempre que en dicha transferencia se transmitan sustancialmente los riesgos y beneficios inherentes a su propiedad.</w:t>
      </w:r>
    </w:p>
    <w:p w14:paraId="5FD368A6" w14:textId="77777777" w:rsidR="006E05CA" w:rsidRPr="006E05CA" w:rsidRDefault="006E05CA" w:rsidP="006E05CA">
      <w:pPr>
        <w:rPr>
          <w:lang w:val="es-ES" w:eastAsia="en-US"/>
        </w:rPr>
      </w:pPr>
    </w:p>
    <w:p w14:paraId="111EA3A2" w14:textId="553D65C8" w:rsidR="008C0D8E" w:rsidRPr="00F8465B" w:rsidRDefault="008C0D8E" w:rsidP="008C0D8E">
      <w:pPr>
        <w:pStyle w:val="Ttulo2"/>
        <w:keepNext/>
        <w:ind w:left="567"/>
        <w:rPr>
          <w:rFonts w:ascii="Cambria" w:hAnsi="Cambria"/>
          <w:b w:val="0"/>
          <w:i/>
          <w:sz w:val="24"/>
          <w:szCs w:val="24"/>
        </w:rPr>
      </w:pPr>
      <w:r w:rsidRPr="00F8465B">
        <w:rPr>
          <w:rFonts w:ascii="Cambria" w:hAnsi="Cambria"/>
          <w:b w:val="0"/>
          <w:i/>
          <w:sz w:val="24"/>
          <w:szCs w:val="24"/>
        </w:rPr>
        <w:t>4.</w:t>
      </w:r>
      <w:r>
        <w:rPr>
          <w:rFonts w:ascii="Cambria" w:hAnsi="Cambria"/>
          <w:b w:val="0"/>
          <w:i/>
          <w:sz w:val="24"/>
          <w:szCs w:val="24"/>
        </w:rPr>
        <w:t>4</w:t>
      </w:r>
      <w:r w:rsidRPr="00F8465B">
        <w:rPr>
          <w:rFonts w:ascii="Cambria" w:hAnsi="Cambria"/>
          <w:b w:val="0"/>
          <w:i/>
          <w:sz w:val="24"/>
          <w:szCs w:val="24"/>
        </w:rPr>
        <w:t>.2 Pasivos financieros</w:t>
      </w:r>
    </w:p>
    <w:p w14:paraId="5F783320" w14:textId="77777777" w:rsidR="008C0D8E" w:rsidRPr="00F8465B" w:rsidRDefault="008C0D8E" w:rsidP="008C0D8E">
      <w:pPr>
        <w:pStyle w:val="Ttulo6"/>
        <w:numPr>
          <w:ilvl w:val="0"/>
          <w:numId w:val="0"/>
        </w:numPr>
        <w:ind w:left="1134"/>
        <w:rPr>
          <w:rFonts w:ascii="Cambria" w:hAnsi="Cambria"/>
          <w:kern w:val="28"/>
          <w:szCs w:val="24"/>
          <w:lang w:val="es-ES" w:eastAsia="en-US"/>
        </w:rPr>
      </w:pPr>
    </w:p>
    <w:p w14:paraId="214E3216" w14:textId="77777777" w:rsidR="008C0D8E" w:rsidRPr="00F8465B" w:rsidRDefault="008C0D8E" w:rsidP="008C0D8E">
      <w:pPr>
        <w:pStyle w:val="Ttulo6"/>
        <w:numPr>
          <w:ilvl w:val="0"/>
          <w:numId w:val="0"/>
        </w:numPr>
        <w:ind w:left="1134"/>
        <w:rPr>
          <w:rFonts w:ascii="Cambria" w:hAnsi="Cambria"/>
          <w:kern w:val="28"/>
          <w:szCs w:val="24"/>
          <w:lang w:val="es-ES" w:eastAsia="en-US"/>
        </w:rPr>
      </w:pPr>
      <w:r w:rsidRPr="00F8465B">
        <w:rPr>
          <w:rFonts w:ascii="Cambria" w:hAnsi="Cambria"/>
          <w:kern w:val="28"/>
          <w:szCs w:val="24"/>
          <w:lang w:val="es-ES" w:eastAsia="en-US"/>
        </w:rPr>
        <w:t xml:space="preserve">Son pasivos financieros aquellos débitos y partidas a pagar que tiene </w:t>
      </w:r>
      <w:smartTag w:uri="urn:schemas-microsoft-com:office:smarttags" w:element="PersonName">
        <w:smartTagPr>
          <w:attr w:name="ProductID" w:val="la Sociedad"/>
        </w:smartTagPr>
        <w:r w:rsidRPr="00F8465B">
          <w:rPr>
            <w:rFonts w:ascii="Cambria" w:hAnsi="Cambria"/>
            <w:kern w:val="28"/>
            <w:szCs w:val="24"/>
            <w:lang w:val="es-ES" w:eastAsia="en-US"/>
          </w:rPr>
          <w:t>la Sociedad</w:t>
        </w:r>
      </w:smartTag>
      <w:r w:rsidRPr="00F8465B">
        <w:rPr>
          <w:rFonts w:ascii="Cambria" w:hAnsi="Cambria"/>
          <w:kern w:val="28"/>
          <w:szCs w:val="24"/>
          <w:lang w:val="es-ES" w:eastAsia="en-US"/>
        </w:rPr>
        <w:t xml:space="preserve"> y que se han originado en la compra de bienes y servicios por operaciones de tráfico de la empresa, o en operaciones de toma de efectivo a préstamo. </w:t>
      </w:r>
    </w:p>
    <w:p w14:paraId="4FE43934" w14:textId="77777777" w:rsidR="008C0D8E" w:rsidRPr="00F8465B" w:rsidRDefault="008C0D8E" w:rsidP="008C0D8E">
      <w:pPr>
        <w:pStyle w:val="Ttulo6"/>
        <w:numPr>
          <w:ilvl w:val="0"/>
          <w:numId w:val="0"/>
        </w:numPr>
        <w:ind w:left="1134"/>
        <w:rPr>
          <w:rFonts w:ascii="Cambria" w:hAnsi="Cambria"/>
          <w:kern w:val="28"/>
          <w:szCs w:val="24"/>
          <w:lang w:val="es-ES" w:eastAsia="en-US"/>
        </w:rPr>
      </w:pPr>
    </w:p>
    <w:p w14:paraId="0173571C" w14:textId="77777777" w:rsidR="008C0D8E" w:rsidRPr="00F8465B" w:rsidRDefault="008C0D8E" w:rsidP="008C0D8E">
      <w:pPr>
        <w:pStyle w:val="Ttulo6"/>
        <w:numPr>
          <w:ilvl w:val="0"/>
          <w:numId w:val="0"/>
        </w:numPr>
        <w:ind w:left="1134"/>
        <w:rPr>
          <w:rFonts w:ascii="Cambria" w:hAnsi="Cambria"/>
          <w:kern w:val="28"/>
          <w:szCs w:val="24"/>
          <w:lang w:val="es-ES" w:eastAsia="en-US"/>
        </w:rPr>
      </w:pPr>
      <w:r w:rsidRPr="00F8465B">
        <w:rPr>
          <w:rFonts w:ascii="Cambria" w:hAnsi="Cambria"/>
          <w:kern w:val="28"/>
          <w:szCs w:val="24"/>
          <w:lang w:val="es-ES" w:eastAsia="en-US"/>
        </w:rPr>
        <w:t xml:space="preserve">Los débitos y partidas a pagar se valoran inicialmente al valor razonable de la contraprestación recibida, minorado por los costes de la transacción directamente atribuibles. Con posterioridad, dichos pasivos se valoran de acuerdo con su coste amortizado. </w:t>
      </w:r>
    </w:p>
    <w:p w14:paraId="40E19122" w14:textId="77777777" w:rsidR="008C0D8E" w:rsidRPr="00F8465B" w:rsidRDefault="008C0D8E" w:rsidP="008C0D8E">
      <w:pPr>
        <w:pStyle w:val="Ttulo6"/>
        <w:numPr>
          <w:ilvl w:val="0"/>
          <w:numId w:val="0"/>
        </w:numPr>
        <w:ind w:left="1134"/>
        <w:rPr>
          <w:rFonts w:ascii="Cambria" w:hAnsi="Cambria"/>
          <w:kern w:val="28"/>
          <w:szCs w:val="24"/>
          <w:lang w:val="es-ES" w:eastAsia="en-US"/>
        </w:rPr>
      </w:pPr>
    </w:p>
    <w:p w14:paraId="28899587" w14:textId="77777777" w:rsidR="008C0D8E" w:rsidRDefault="008C0D8E" w:rsidP="008C0D8E">
      <w:pPr>
        <w:pStyle w:val="Ttulo6"/>
        <w:numPr>
          <w:ilvl w:val="0"/>
          <w:numId w:val="0"/>
        </w:numPr>
        <w:ind w:left="1134"/>
        <w:rPr>
          <w:rFonts w:ascii="Cambria" w:hAnsi="Cambria"/>
          <w:kern w:val="28"/>
          <w:szCs w:val="24"/>
          <w:lang w:val="es-ES" w:eastAsia="en-US"/>
        </w:rPr>
      </w:pPr>
      <w:smartTag w:uri="urn:schemas-microsoft-com:office:smarttags" w:element="PersonName">
        <w:smartTagPr>
          <w:attr w:name="ProductID" w:val="la Sociedad"/>
        </w:smartTagPr>
        <w:r w:rsidRPr="00F8465B">
          <w:rPr>
            <w:rFonts w:ascii="Cambria" w:hAnsi="Cambria"/>
            <w:kern w:val="28"/>
            <w:szCs w:val="24"/>
            <w:lang w:val="es-ES" w:eastAsia="en-US"/>
          </w:rPr>
          <w:t>La Sociedad</w:t>
        </w:r>
      </w:smartTag>
      <w:r w:rsidRPr="00F8465B">
        <w:rPr>
          <w:rFonts w:ascii="Cambria" w:hAnsi="Cambria"/>
          <w:kern w:val="28"/>
          <w:szCs w:val="24"/>
          <w:lang w:val="es-ES" w:eastAsia="en-US"/>
        </w:rPr>
        <w:t xml:space="preserve"> da de baja los pasivos financieros cuando se extinguen las obligaciones que los han generado. </w:t>
      </w:r>
    </w:p>
    <w:p w14:paraId="413A289F" w14:textId="77777777" w:rsidR="008C0D8E" w:rsidRPr="00F8465B" w:rsidRDefault="008C0D8E" w:rsidP="008C0D8E">
      <w:pPr>
        <w:keepLines w:val="0"/>
        <w:widowControl/>
        <w:jc w:val="left"/>
        <w:rPr>
          <w:rFonts w:ascii="Cambria" w:hAnsi="Cambria"/>
          <w:kern w:val="28"/>
          <w:szCs w:val="24"/>
          <w:lang w:val="es-ES" w:eastAsia="en-US"/>
        </w:rPr>
      </w:pPr>
    </w:p>
    <w:p w14:paraId="518DDBA7" w14:textId="7C6D5273" w:rsidR="008C0D8E" w:rsidRDefault="008C0D8E">
      <w:pPr>
        <w:keepLines w:val="0"/>
        <w:widowControl/>
        <w:jc w:val="left"/>
        <w:rPr>
          <w:rFonts w:ascii="Cambria" w:hAnsi="Cambria"/>
          <w:i/>
          <w:sz w:val="24"/>
          <w:szCs w:val="24"/>
        </w:rPr>
      </w:pPr>
      <w:r>
        <w:rPr>
          <w:rFonts w:ascii="Cambria" w:hAnsi="Cambria"/>
          <w:b/>
          <w:i/>
          <w:sz w:val="24"/>
          <w:szCs w:val="24"/>
        </w:rPr>
        <w:br w:type="page"/>
      </w:r>
    </w:p>
    <w:p w14:paraId="0901139F" w14:textId="77777777" w:rsidR="001015E4" w:rsidRDefault="001015E4" w:rsidP="00AD3D1F">
      <w:pPr>
        <w:pStyle w:val="Ttulo2"/>
        <w:keepNext/>
        <w:ind w:left="567"/>
        <w:rPr>
          <w:rFonts w:ascii="Cambria" w:hAnsi="Cambria"/>
          <w:b w:val="0"/>
          <w:i/>
          <w:sz w:val="24"/>
          <w:szCs w:val="24"/>
        </w:rPr>
      </w:pPr>
    </w:p>
    <w:p w14:paraId="3CD38CD8" w14:textId="1C0DAE70" w:rsidR="00373DF8" w:rsidRPr="00F8465B" w:rsidRDefault="00373DF8" w:rsidP="00284D60">
      <w:pPr>
        <w:pStyle w:val="Ttulo2"/>
        <w:keepNext/>
        <w:numPr>
          <w:ilvl w:val="1"/>
          <w:numId w:val="14"/>
        </w:numPr>
        <w:ind w:left="993" w:hanging="426"/>
        <w:rPr>
          <w:rFonts w:ascii="Cambria" w:hAnsi="Cambria"/>
          <w:sz w:val="24"/>
          <w:szCs w:val="24"/>
        </w:rPr>
      </w:pPr>
      <w:r w:rsidRPr="00F8465B">
        <w:rPr>
          <w:rFonts w:ascii="Cambria" w:hAnsi="Cambria"/>
          <w:sz w:val="24"/>
          <w:szCs w:val="24"/>
        </w:rPr>
        <w:t>Transacciones en moneda extranjera</w:t>
      </w:r>
    </w:p>
    <w:p w14:paraId="1ACF113D" w14:textId="77777777" w:rsidR="00373DF8" w:rsidRPr="00F8465B" w:rsidRDefault="00373DF8" w:rsidP="00284D60">
      <w:pPr>
        <w:pStyle w:val="Ttulo1a"/>
        <w:ind w:left="567"/>
        <w:rPr>
          <w:rFonts w:ascii="Cambria" w:hAnsi="Cambria"/>
          <w:sz w:val="24"/>
          <w:szCs w:val="24"/>
        </w:rPr>
      </w:pPr>
    </w:p>
    <w:p w14:paraId="14D511AD" w14:textId="77777777" w:rsidR="00726687" w:rsidRPr="00F8465B" w:rsidRDefault="00373DF8" w:rsidP="00284D60">
      <w:pPr>
        <w:pStyle w:val="Ttulo1a"/>
        <w:ind w:left="567"/>
        <w:rPr>
          <w:rFonts w:ascii="Cambria" w:hAnsi="Cambria"/>
          <w:sz w:val="24"/>
          <w:szCs w:val="24"/>
        </w:rPr>
      </w:pPr>
      <w:r w:rsidRPr="00F8465B">
        <w:rPr>
          <w:rFonts w:ascii="Cambria" w:hAnsi="Cambria"/>
          <w:sz w:val="24"/>
          <w:szCs w:val="24"/>
        </w:rPr>
        <w:t xml:space="preserve">La moneda funcional utilizada por </w:t>
      </w:r>
      <w:smartTag w:uri="urn:schemas-microsoft-com:office:smarttags" w:element="PersonName">
        <w:smartTagPr>
          <w:attr w:name="ProductID" w:val="la Sociedad"/>
        </w:smartTagPr>
        <w:r w:rsidRPr="00F8465B">
          <w:rPr>
            <w:rFonts w:ascii="Cambria" w:hAnsi="Cambria"/>
            <w:sz w:val="24"/>
            <w:szCs w:val="24"/>
          </w:rPr>
          <w:t>la Sociedad</w:t>
        </w:r>
      </w:smartTag>
      <w:r w:rsidRPr="00F8465B">
        <w:rPr>
          <w:rFonts w:ascii="Cambria" w:hAnsi="Cambria"/>
          <w:sz w:val="24"/>
          <w:szCs w:val="24"/>
        </w:rPr>
        <w:t xml:space="preserve"> es el euro. Consecuentemente, las operaciones en otras divisas distintas del euro se consideran denominadas en moneda extranjera y se registran según los tipos de cambio vigentes en las fechas de las operaciones.</w:t>
      </w:r>
    </w:p>
    <w:p w14:paraId="4D13DC62" w14:textId="77777777" w:rsidR="00373DF8" w:rsidRPr="00F8465B" w:rsidRDefault="00373DF8" w:rsidP="002D6127">
      <w:pPr>
        <w:keepLines w:val="0"/>
        <w:widowControl/>
        <w:jc w:val="left"/>
        <w:rPr>
          <w:rFonts w:ascii="Cambria" w:hAnsi="Cambria"/>
          <w:sz w:val="24"/>
          <w:szCs w:val="24"/>
        </w:rPr>
      </w:pPr>
    </w:p>
    <w:p w14:paraId="0DFA80D5" w14:textId="77777777" w:rsidR="00373DF8" w:rsidRPr="00F8465B" w:rsidRDefault="00373DF8" w:rsidP="00284D60">
      <w:pPr>
        <w:pStyle w:val="Ttulo1a"/>
        <w:ind w:left="567"/>
        <w:rPr>
          <w:rFonts w:ascii="Cambria" w:hAnsi="Cambria"/>
          <w:sz w:val="24"/>
          <w:szCs w:val="24"/>
        </w:rPr>
      </w:pPr>
      <w:r w:rsidRPr="00F8465B">
        <w:rPr>
          <w:rFonts w:ascii="Cambria" w:hAnsi="Cambria"/>
          <w:sz w:val="24"/>
          <w:szCs w:val="24"/>
        </w:rPr>
        <w:t>Al cierre del ejercicio, los activos y pasivos monetarios denominados en moneda extranjera se convierten aplicando el tipo de cambio en la fecha del balance de situación. Los beneficios o pérdidas puestos de manifiesto se imputan directamente a la cuenta de pérdidas y ganancias del ejercicio en que se producen.</w:t>
      </w:r>
    </w:p>
    <w:p w14:paraId="5E2D2E10" w14:textId="77777777" w:rsidR="009A2739" w:rsidRPr="00F8465B" w:rsidRDefault="009A2739" w:rsidP="00284D60">
      <w:pPr>
        <w:pStyle w:val="Ttulo1a"/>
        <w:ind w:left="567"/>
        <w:rPr>
          <w:rFonts w:ascii="Cambria" w:hAnsi="Cambria"/>
          <w:sz w:val="24"/>
          <w:szCs w:val="24"/>
        </w:rPr>
      </w:pPr>
    </w:p>
    <w:p w14:paraId="064D0EFB" w14:textId="77777777" w:rsidR="00B15510" w:rsidRPr="00F8465B" w:rsidRDefault="00B15510" w:rsidP="00284D60">
      <w:pPr>
        <w:pStyle w:val="Ttulo2"/>
        <w:keepNext/>
        <w:numPr>
          <w:ilvl w:val="1"/>
          <w:numId w:val="14"/>
        </w:numPr>
        <w:ind w:left="993" w:hanging="426"/>
        <w:rPr>
          <w:rFonts w:ascii="Cambria" w:hAnsi="Cambria"/>
          <w:sz w:val="24"/>
          <w:szCs w:val="24"/>
        </w:rPr>
      </w:pPr>
      <w:r w:rsidRPr="00F8465B">
        <w:rPr>
          <w:rFonts w:ascii="Cambria" w:hAnsi="Cambria"/>
          <w:sz w:val="24"/>
          <w:szCs w:val="24"/>
        </w:rPr>
        <w:t>Impuestos sobre beneficios</w:t>
      </w:r>
    </w:p>
    <w:p w14:paraId="55446DA0" w14:textId="77777777" w:rsidR="006728A3" w:rsidRPr="00F8465B" w:rsidRDefault="006728A3" w:rsidP="002D6127"/>
    <w:p w14:paraId="389CD6AB" w14:textId="1455D2DB" w:rsidR="008C0D8E" w:rsidRPr="008C0D8E" w:rsidRDefault="004530D6">
      <w:pPr>
        <w:pStyle w:val="Ttulo1a"/>
        <w:ind w:left="567"/>
        <w:rPr>
          <w:rFonts w:ascii="Cambria" w:hAnsi="Cambria"/>
          <w:sz w:val="24"/>
          <w:szCs w:val="24"/>
        </w:rPr>
      </w:pPr>
      <w:r w:rsidRPr="00F8465B">
        <w:rPr>
          <w:rFonts w:ascii="Cambria" w:hAnsi="Cambria"/>
          <w:sz w:val="24"/>
          <w:szCs w:val="24"/>
        </w:rPr>
        <w:t>A efectos de la tributación por el Impuesto sobre Sociedades, la Sociedad forma parte del Grupo Consolidado Fiscal nº 9/86, formado por la Sociedad Estatal de Participaciones Industriales y las sociedades residentes en territorio español en las que posee una participación directa o indirecta  superior al 75% y la mayoría de los derechos de voto, conforme a lo dispuesto en el art. 58 de la Ley 27/2014, del Impuesto sobre Sociedades.</w:t>
      </w:r>
      <w:r w:rsidR="008C0D8E">
        <w:rPr>
          <w:rFonts w:ascii="Cambria" w:hAnsi="Cambria"/>
          <w:sz w:val="24"/>
          <w:szCs w:val="24"/>
        </w:rPr>
        <w:t xml:space="preserve"> </w:t>
      </w:r>
    </w:p>
    <w:p w14:paraId="0A883FDD" w14:textId="77777777" w:rsidR="00BA5D6C" w:rsidRPr="00292023" w:rsidRDefault="00BA5D6C" w:rsidP="00D86D55">
      <w:pPr>
        <w:pStyle w:val="Ttulo1a"/>
        <w:rPr>
          <w:rFonts w:ascii="Cambria" w:hAnsi="Cambria"/>
          <w:sz w:val="24"/>
          <w:szCs w:val="24"/>
        </w:rPr>
      </w:pPr>
    </w:p>
    <w:p w14:paraId="2CBB67C2" w14:textId="77777777" w:rsidR="002113FA" w:rsidRPr="00F8465B" w:rsidRDefault="00B15510" w:rsidP="00284D60">
      <w:pPr>
        <w:pStyle w:val="Ttulo1a"/>
        <w:ind w:left="567"/>
        <w:rPr>
          <w:rFonts w:ascii="Cambria" w:hAnsi="Cambria"/>
          <w:sz w:val="24"/>
          <w:szCs w:val="24"/>
        </w:rPr>
      </w:pPr>
      <w:r w:rsidRPr="00F8465B">
        <w:rPr>
          <w:rFonts w:ascii="Cambria" w:hAnsi="Cambria"/>
          <w:sz w:val="24"/>
          <w:szCs w:val="24"/>
        </w:rPr>
        <w:t>La base imponible del Impuesto sobre Sociedades de cada ejercicio se calcula en función del resultado económico antes de impuestos, aumentado o disminuido, según corresponda, por las diferen</w:t>
      </w:r>
      <w:r w:rsidR="004E0B01" w:rsidRPr="00F8465B">
        <w:rPr>
          <w:rFonts w:ascii="Cambria" w:hAnsi="Cambria"/>
          <w:sz w:val="24"/>
          <w:szCs w:val="24"/>
        </w:rPr>
        <w:t>cias permanentes y temporarias</w:t>
      </w:r>
      <w:r w:rsidRPr="00F8465B">
        <w:rPr>
          <w:rFonts w:ascii="Cambria" w:hAnsi="Cambria"/>
          <w:sz w:val="24"/>
          <w:szCs w:val="24"/>
        </w:rPr>
        <w:t xml:space="preserve"> con el resultado fiscal, entendiendo las primeras como las producidas entre la base imponible y el resultado contable antes de impuestos que no revierten en períodos subsiguientes</w:t>
      </w:r>
      <w:r w:rsidR="002113FA" w:rsidRPr="00F8465B">
        <w:rPr>
          <w:rFonts w:ascii="Cambria" w:hAnsi="Cambria"/>
          <w:sz w:val="24"/>
          <w:szCs w:val="24"/>
        </w:rPr>
        <w:t>, y las segundas, como aquellos importes que se prevén pagaderos o recuperables derivados de las diferencias entre los importes en libros de los activos y pasivos y su valor fiscal, así como las bases imponibles negativas pendientes de compensación y los créditos por deducciones fiscales no aplicadas fiscalmente. Dichos importes se registran aplicando a la diferencia temporaria o crédito que corresponda el tipo de gravamen al que se espera recuperarlos o liquidarlos.</w:t>
      </w:r>
    </w:p>
    <w:p w14:paraId="2C885AFD" w14:textId="77777777" w:rsidR="00206089" w:rsidRPr="00F8465B" w:rsidRDefault="00206089" w:rsidP="00284D60">
      <w:pPr>
        <w:pStyle w:val="Ttulo1a"/>
        <w:ind w:left="567"/>
        <w:rPr>
          <w:rFonts w:ascii="Cambria" w:hAnsi="Cambria"/>
          <w:sz w:val="24"/>
          <w:szCs w:val="24"/>
        </w:rPr>
      </w:pPr>
    </w:p>
    <w:p w14:paraId="061769C4" w14:textId="77777777" w:rsidR="00284D60" w:rsidRPr="00F8465B" w:rsidRDefault="00695E68" w:rsidP="00284D60">
      <w:pPr>
        <w:pStyle w:val="Ttulo1a"/>
        <w:ind w:left="567"/>
        <w:rPr>
          <w:rFonts w:ascii="Cambria" w:hAnsi="Cambria"/>
          <w:sz w:val="24"/>
          <w:szCs w:val="24"/>
        </w:rPr>
      </w:pPr>
      <w:r w:rsidRPr="00F8465B">
        <w:rPr>
          <w:rFonts w:ascii="Cambria" w:hAnsi="Cambria"/>
          <w:sz w:val="24"/>
          <w:szCs w:val="24"/>
        </w:rPr>
        <w:t xml:space="preserve">Asimismo, se reconocen </w:t>
      </w:r>
      <w:r w:rsidR="002113FA" w:rsidRPr="00F8465B">
        <w:rPr>
          <w:rFonts w:ascii="Cambria" w:hAnsi="Cambria"/>
          <w:sz w:val="24"/>
          <w:szCs w:val="24"/>
        </w:rPr>
        <w:t>pasivos por impuestos diferidos para todas las diferencias temporarias imponibles, excepto aquellas derivadas del reconocimiento inicial de fondos de comercio o de otros activos y pasivos en una operación que no afecta ni al resultado fiscal ni al resultado contable y no es una combinación de negocios, así como las asociadas a inversiones en empresas dependientes, asociadas y negocios conjuntos en las que la Sociedad puede controlar el momento de la reversión y es probable que no reviertan en un futuro previsible.</w:t>
      </w:r>
    </w:p>
    <w:p w14:paraId="4B412D1D" w14:textId="77777777" w:rsidR="009A2739" w:rsidRPr="00F8465B" w:rsidRDefault="009A2739" w:rsidP="00284D60">
      <w:pPr>
        <w:pStyle w:val="Ttulo1a"/>
        <w:ind w:left="567"/>
        <w:rPr>
          <w:rFonts w:ascii="Cambria" w:hAnsi="Cambria"/>
          <w:sz w:val="24"/>
          <w:szCs w:val="24"/>
        </w:rPr>
      </w:pPr>
    </w:p>
    <w:p w14:paraId="1E6C921F" w14:textId="77777777" w:rsidR="002113FA" w:rsidRDefault="002113FA" w:rsidP="00284D60">
      <w:pPr>
        <w:pStyle w:val="Ttulo1a"/>
        <w:ind w:left="567"/>
        <w:rPr>
          <w:rFonts w:ascii="Cambria" w:hAnsi="Cambria"/>
          <w:sz w:val="24"/>
          <w:szCs w:val="24"/>
        </w:rPr>
      </w:pPr>
      <w:r w:rsidRPr="00F8465B">
        <w:rPr>
          <w:rFonts w:ascii="Cambria" w:hAnsi="Cambria"/>
          <w:sz w:val="24"/>
          <w:szCs w:val="24"/>
        </w:rPr>
        <w:t xml:space="preserve">Por su parte, los activos por impuestos diferidos sólo se reconocen en la medida en que se considere probable que </w:t>
      </w:r>
      <w:smartTag w:uri="urn:schemas-microsoft-com:office:smarttags" w:element="PersonName">
        <w:smartTagPr>
          <w:attr w:name="ProductID" w:val="la Sociedad"/>
        </w:smartTagPr>
        <w:r w:rsidRPr="00F8465B">
          <w:rPr>
            <w:rFonts w:ascii="Cambria" w:hAnsi="Cambria"/>
            <w:sz w:val="24"/>
            <w:szCs w:val="24"/>
          </w:rPr>
          <w:t>la Sociedad</w:t>
        </w:r>
      </w:smartTag>
      <w:r w:rsidRPr="00F8465B">
        <w:rPr>
          <w:rFonts w:ascii="Cambria" w:hAnsi="Cambria"/>
          <w:sz w:val="24"/>
          <w:szCs w:val="24"/>
        </w:rPr>
        <w:t xml:space="preserve"> vaya a disponer de ganancias fiscales futuras contra las que poder hacerlos efectivos. </w:t>
      </w:r>
    </w:p>
    <w:p w14:paraId="462E67E8" w14:textId="39E556D7" w:rsidR="008C0D8E" w:rsidRDefault="008C0D8E">
      <w:pPr>
        <w:keepLines w:val="0"/>
        <w:widowControl/>
        <w:jc w:val="left"/>
        <w:rPr>
          <w:rFonts w:ascii="Cambria" w:hAnsi="Cambria"/>
          <w:sz w:val="24"/>
          <w:szCs w:val="24"/>
        </w:rPr>
      </w:pPr>
      <w:r>
        <w:rPr>
          <w:rFonts w:ascii="Cambria" w:hAnsi="Cambria"/>
          <w:sz w:val="24"/>
          <w:szCs w:val="24"/>
        </w:rPr>
        <w:br w:type="page"/>
      </w:r>
    </w:p>
    <w:p w14:paraId="2E4140F6" w14:textId="77777777" w:rsidR="00292023" w:rsidRPr="00292023" w:rsidRDefault="00292023" w:rsidP="00292023">
      <w:pPr>
        <w:pStyle w:val="Ttulo1a"/>
        <w:ind w:left="567"/>
        <w:rPr>
          <w:rFonts w:ascii="Cambria" w:hAnsi="Cambria"/>
          <w:sz w:val="24"/>
          <w:szCs w:val="24"/>
        </w:rPr>
      </w:pPr>
    </w:p>
    <w:p w14:paraId="7D551568" w14:textId="77777777" w:rsidR="002113FA" w:rsidRPr="00F8465B" w:rsidRDefault="002113FA" w:rsidP="00284D60">
      <w:pPr>
        <w:pStyle w:val="Ttulo1a"/>
        <w:ind w:left="567"/>
        <w:rPr>
          <w:rFonts w:ascii="Cambria" w:hAnsi="Cambria"/>
          <w:sz w:val="24"/>
          <w:szCs w:val="24"/>
        </w:rPr>
      </w:pPr>
      <w:r w:rsidRPr="00F8465B">
        <w:rPr>
          <w:rFonts w:ascii="Cambria" w:hAnsi="Cambria"/>
          <w:sz w:val="24"/>
          <w:szCs w:val="24"/>
        </w:rPr>
        <w:t>Los activos y pasivos por impuestos diferidos</w:t>
      </w:r>
      <w:r w:rsidR="00373DF8" w:rsidRPr="00F8465B">
        <w:rPr>
          <w:rFonts w:ascii="Cambria" w:hAnsi="Cambria"/>
          <w:sz w:val="24"/>
          <w:szCs w:val="24"/>
        </w:rPr>
        <w:t xml:space="preserve"> debidos a diferencias temporarias</w:t>
      </w:r>
      <w:r w:rsidRPr="00F8465B">
        <w:rPr>
          <w:rFonts w:ascii="Cambria" w:hAnsi="Cambria"/>
          <w:sz w:val="24"/>
          <w:szCs w:val="24"/>
        </w:rPr>
        <w:t>, originados por operaciones con cargos o abonos directos en cuentas de patrimonio, se contabilizan también con contrapartida en patrimonio neto.</w:t>
      </w:r>
    </w:p>
    <w:p w14:paraId="442326B9" w14:textId="77777777" w:rsidR="00D4197C" w:rsidRPr="00292023" w:rsidRDefault="00D4197C" w:rsidP="00292023">
      <w:pPr>
        <w:pStyle w:val="Ttulo1a"/>
        <w:ind w:left="567"/>
        <w:rPr>
          <w:rFonts w:ascii="Cambria" w:hAnsi="Cambria"/>
          <w:sz w:val="24"/>
          <w:szCs w:val="24"/>
        </w:rPr>
      </w:pPr>
    </w:p>
    <w:p w14:paraId="13916F6F" w14:textId="77777777" w:rsidR="00DA52A5" w:rsidRPr="00F8465B" w:rsidRDefault="00E01EDB" w:rsidP="00284D60">
      <w:pPr>
        <w:pStyle w:val="Ttulo1a"/>
        <w:ind w:left="567"/>
        <w:rPr>
          <w:rFonts w:ascii="Cambria" w:hAnsi="Cambria"/>
          <w:sz w:val="24"/>
          <w:szCs w:val="24"/>
        </w:rPr>
      </w:pPr>
      <w:r w:rsidRPr="00F8465B">
        <w:rPr>
          <w:rFonts w:ascii="Cambria" w:hAnsi="Cambria"/>
          <w:sz w:val="24"/>
          <w:szCs w:val="24"/>
        </w:rPr>
        <w:t xml:space="preserve">Conforme a los acuerdos existentes con el Accionista </w:t>
      </w:r>
      <w:r w:rsidR="00E940E5" w:rsidRPr="00F8465B">
        <w:rPr>
          <w:rFonts w:ascii="Cambria" w:hAnsi="Cambria"/>
          <w:sz w:val="24"/>
          <w:szCs w:val="24"/>
        </w:rPr>
        <w:t>Único</w:t>
      </w:r>
      <w:r w:rsidRPr="00F8465B">
        <w:rPr>
          <w:rFonts w:ascii="Cambria" w:hAnsi="Cambria"/>
          <w:sz w:val="24"/>
          <w:szCs w:val="24"/>
        </w:rPr>
        <w:t xml:space="preserve"> de la Sociedad, el </w:t>
      </w:r>
      <w:r w:rsidR="00F6471E" w:rsidRPr="00F8465B">
        <w:rPr>
          <w:rFonts w:ascii="Cambria" w:hAnsi="Cambria"/>
          <w:sz w:val="24"/>
          <w:szCs w:val="24"/>
        </w:rPr>
        <w:t>25</w:t>
      </w:r>
      <w:r w:rsidRPr="00F8465B">
        <w:rPr>
          <w:rFonts w:ascii="Cambria" w:hAnsi="Cambria"/>
          <w:sz w:val="24"/>
          <w:szCs w:val="24"/>
        </w:rPr>
        <w:t xml:space="preserve">% de los </w:t>
      </w:r>
      <w:r w:rsidR="002113FA" w:rsidRPr="00F8465B">
        <w:rPr>
          <w:rFonts w:ascii="Cambria" w:hAnsi="Cambria"/>
          <w:sz w:val="24"/>
          <w:szCs w:val="24"/>
        </w:rPr>
        <w:t xml:space="preserve">activos por impuesto diferido </w:t>
      </w:r>
      <w:r w:rsidRPr="00F8465B">
        <w:rPr>
          <w:rFonts w:ascii="Cambria" w:hAnsi="Cambria"/>
          <w:sz w:val="24"/>
          <w:szCs w:val="24"/>
        </w:rPr>
        <w:t>se reconocen en el balance de situación al entenderse que los mismos serán recuperados en el proceso de consolidación fiscal del ejercicio y de ejercicios futuros.</w:t>
      </w:r>
      <w:r w:rsidR="00B15510" w:rsidRPr="00F8465B">
        <w:rPr>
          <w:rFonts w:ascii="Cambria" w:hAnsi="Cambria"/>
          <w:sz w:val="24"/>
          <w:szCs w:val="24"/>
        </w:rPr>
        <w:t xml:space="preserve"> </w:t>
      </w:r>
    </w:p>
    <w:p w14:paraId="4D6CC233" w14:textId="77777777" w:rsidR="00CD1989" w:rsidRPr="00F8465B" w:rsidRDefault="00CD1989" w:rsidP="00284D60">
      <w:pPr>
        <w:pStyle w:val="Ttulo1a"/>
        <w:ind w:left="567"/>
        <w:rPr>
          <w:rFonts w:ascii="Cambria" w:hAnsi="Cambria"/>
          <w:sz w:val="24"/>
          <w:szCs w:val="24"/>
        </w:rPr>
      </w:pPr>
    </w:p>
    <w:p w14:paraId="6063064D" w14:textId="77777777" w:rsidR="00E01EDB" w:rsidRPr="00F8465B" w:rsidRDefault="00E01EDB" w:rsidP="00284D60">
      <w:pPr>
        <w:pStyle w:val="Ttulo2"/>
        <w:keepNext/>
        <w:numPr>
          <w:ilvl w:val="1"/>
          <w:numId w:val="14"/>
        </w:numPr>
        <w:ind w:left="993" w:hanging="426"/>
        <w:rPr>
          <w:rFonts w:ascii="Cambria" w:hAnsi="Cambria"/>
          <w:sz w:val="24"/>
          <w:szCs w:val="24"/>
        </w:rPr>
      </w:pPr>
      <w:r w:rsidRPr="00F8465B">
        <w:rPr>
          <w:rFonts w:ascii="Cambria" w:hAnsi="Cambria"/>
          <w:sz w:val="24"/>
          <w:szCs w:val="24"/>
        </w:rPr>
        <w:t>Ingresos y gastos</w:t>
      </w:r>
    </w:p>
    <w:p w14:paraId="51F5A7C4" w14:textId="77777777" w:rsidR="00402051" w:rsidRPr="00F8465B" w:rsidRDefault="00402051" w:rsidP="00284D60">
      <w:pPr>
        <w:pStyle w:val="Ttulo1a"/>
        <w:ind w:left="567"/>
        <w:rPr>
          <w:rFonts w:ascii="Cambria" w:hAnsi="Cambria"/>
          <w:sz w:val="24"/>
          <w:szCs w:val="24"/>
        </w:rPr>
      </w:pPr>
    </w:p>
    <w:p w14:paraId="5831E457" w14:textId="77777777" w:rsidR="00E01EDB" w:rsidRPr="00F8465B" w:rsidRDefault="00E01EDB" w:rsidP="00284D60">
      <w:pPr>
        <w:pStyle w:val="Ttulo1a"/>
        <w:ind w:left="567"/>
        <w:rPr>
          <w:rFonts w:ascii="Cambria" w:hAnsi="Cambria"/>
          <w:sz w:val="24"/>
          <w:szCs w:val="24"/>
        </w:rPr>
      </w:pPr>
      <w:r w:rsidRPr="00F8465B">
        <w:rPr>
          <w:rFonts w:ascii="Cambria" w:hAnsi="Cambria"/>
          <w:sz w:val="24"/>
          <w:szCs w:val="24"/>
        </w:rPr>
        <w:t>Los ingresos por prestación de servicios se reconocen considerando prestación del servicio real a la fecha de balance, siempre y cuando el resultado de la transacción pueda ser estimado con fiabilidad.</w:t>
      </w:r>
    </w:p>
    <w:p w14:paraId="0D11CB27" w14:textId="77777777" w:rsidR="00E01EDB" w:rsidRPr="00F8465B" w:rsidRDefault="00E01EDB" w:rsidP="00284D60">
      <w:pPr>
        <w:pStyle w:val="Ttulo1a"/>
        <w:ind w:left="567"/>
        <w:rPr>
          <w:rFonts w:ascii="Cambria" w:hAnsi="Cambria"/>
          <w:sz w:val="24"/>
          <w:szCs w:val="24"/>
        </w:rPr>
      </w:pPr>
    </w:p>
    <w:p w14:paraId="7EAB6012" w14:textId="77777777" w:rsidR="00E01EDB" w:rsidRPr="00F8465B" w:rsidRDefault="00E01EDB" w:rsidP="00284D60">
      <w:pPr>
        <w:pStyle w:val="Ttulo1a"/>
        <w:ind w:left="567"/>
        <w:rPr>
          <w:rFonts w:ascii="Cambria" w:hAnsi="Cambria"/>
          <w:sz w:val="24"/>
          <w:szCs w:val="24"/>
        </w:rPr>
      </w:pPr>
      <w:r w:rsidRPr="00F8465B">
        <w:rPr>
          <w:rFonts w:ascii="Cambria" w:hAnsi="Cambria"/>
          <w:sz w:val="24"/>
          <w:szCs w:val="24"/>
        </w:rPr>
        <w:t>Los intereses recibidos de activos financieros se reconocen utilizando el método del tipo de interés efectivo y los dividendos, si hubiera, cuando se declara el derecho del accionista a recibirlos. En cualquier caso, los intereses y dividendos de activos financieros devengados con posterioridad al momento de la adquisición se reconocen como ingresos en la cuenta de pérdidas y ganancias.</w:t>
      </w:r>
    </w:p>
    <w:p w14:paraId="53E0E867" w14:textId="77777777" w:rsidR="00BA5D6C" w:rsidRPr="00F8465B" w:rsidRDefault="00BA5D6C" w:rsidP="00D86D55">
      <w:pPr>
        <w:keepLines w:val="0"/>
        <w:widowControl/>
        <w:jc w:val="left"/>
      </w:pPr>
    </w:p>
    <w:p w14:paraId="5D334627" w14:textId="77777777" w:rsidR="00B7285B" w:rsidRPr="00F8465B" w:rsidRDefault="00B7285B" w:rsidP="00284D60">
      <w:pPr>
        <w:pStyle w:val="Ttulo2"/>
        <w:keepNext/>
        <w:numPr>
          <w:ilvl w:val="1"/>
          <w:numId w:val="14"/>
        </w:numPr>
        <w:ind w:left="993" w:hanging="426"/>
        <w:rPr>
          <w:rFonts w:ascii="Cambria" w:hAnsi="Cambria"/>
          <w:sz w:val="24"/>
          <w:szCs w:val="24"/>
        </w:rPr>
      </w:pPr>
      <w:bookmarkStart w:id="3" w:name="_Ref256415792"/>
      <w:r w:rsidRPr="00F8465B">
        <w:rPr>
          <w:rFonts w:ascii="Cambria" w:hAnsi="Cambria"/>
          <w:sz w:val="24"/>
          <w:szCs w:val="24"/>
        </w:rPr>
        <w:t>Provisiones y contingencias</w:t>
      </w:r>
      <w:bookmarkEnd w:id="3"/>
    </w:p>
    <w:p w14:paraId="131732D1" w14:textId="77777777" w:rsidR="00B7285B" w:rsidRPr="00F8465B" w:rsidRDefault="00B7285B" w:rsidP="00284D60">
      <w:pPr>
        <w:pStyle w:val="Ttulo1a"/>
        <w:ind w:left="567"/>
        <w:rPr>
          <w:rFonts w:ascii="Cambria" w:hAnsi="Cambria"/>
          <w:sz w:val="24"/>
          <w:szCs w:val="24"/>
        </w:rPr>
      </w:pPr>
    </w:p>
    <w:p w14:paraId="7C053DEF" w14:textId="77777777" w:rsidR="00B7285B" w:rsidRPr="00F8465B" w:rsidRDefault="008C3D71" w:rsidP="00284D60">
      <w:pPr>
        <w:pStyle w:val="Ttulo1a"/>
        <w:ind w:left="567"/>
        <w:rPr>
          <w:rFonts w:ascii="Cambria" w:hAnsi="Cambria"/>
          <w:sz w:val="24"/>
          <w:szCs w:val="24"/>
        </w:rPr>
      </w:pPr>
      <w:r>
        <w:rPr>
          <w:rFonts w:ascii="Cambria" w:hAnsi="Cambria"/>
          <w:sz w:val="24"/>
          <w:szCs w:val="24"/>
        </w:rPr>
        <w:t>El</w:t>
      </w:r>
      <w:r w:rsidR="00B7285B" w:rsidRPr="00F8465B">
        <w:rPr>
          <w:rFonts w:ascii="Cambria" w:hAnsi="Cambria"/>
          <w:sz w:val="24"/>
          <w:szCs w:val="24"/>
        </w:rPr>
        <w:t xml:space="preserve"> </w:t>
      </w:r>
      <w:r w:rsidR="00E940E5" w:rsidRPr="00F8465B">
        <w:rPr>
          <w:rFonts w:ascii="Cambria" w:hAnsi="Cambria"/>
          <w:sz w:val="24"/>
          <w:szCs w:val="24"/>
        </w:rPr>
        <w:t>Administrador</w:t>
      </w:r>
      <w:r w:rsidR="00B7285B" w:rsidRPr="00F8465B">
        <w:rPr>
          <w:rFonts w:ascii="Cambria" w:hAnsi="Cambria"/>
          <w:sz w:val="24"/>
          <w:szCs w:val="24"/>
        </w:rPr>
        <w:t xml:space="preserve"> </w:t>
      </w:r>
      <w:r w:rsidR="00E940E5" w:rsidRPr="00F8465B">
        <w:rPr>
          <w:rFonts w:ascii="Cambria" w:hAnsi="Cambria"/>
          <w:sz w:val="24"/>
          <w:szCs w:val="24"/>
        </w:rPr>
        <w:t>Únic</w:t>
      </w:r>
      <w:r>
        <w:rPr>
          <w:rFonts w:ascii="Cambria" w:hAnsi="Cambria"/>
          <w:sz w:val="24"/>
          <w:szCs w:val="24"/>
        </w:rPr>
        <w:t>o</w:t>
      </w:r>
      <w:r w:rsidR="00B7285B" w:rsidRPr="00F8465B">
        <w:rPr>
          <w:rFonts w:ascii="Cambria" w:hAnsi="Cambria"/>
          <w:sz w:val="24"/>
          <w:szCs w:val="24"/>
        </w:rPr>
        <w:t xml:space="preserve"> de la Sociedad en la formulación de las cuentas anuales diferencia entre:</w:t>
      </w:r>
    </w:p>
    <w:p w14:paraId="7025FAFF" w14:textId="77777777" w:rsidR="00B7285B" w:rsidRPr="00F8465B" w:rsidRDefault="00B7285B" w:rsidP="00284D60">
      <w:pPr>
        <w:pStyle w:val="Ttulo1a"/>
        <w:ind w:left="567"/>
        <w:rPr>
          <w:rFonts w:ascii="Cambria" w:hAnsi="Cambria"/>
          <w:sz w:val="24"/>
          <w:szCs w:val="24"/>
        </w:rPr>
      </w:pPr>
    </w:p>
    <w:p w14:paraId="7C1B0E88" w14:textId="77777777" w:rsidR="00B7285B" w:rsidRPr="00F8465B" w:rsidRDefault="00B7285B" w:rsidP="00403E4A">
      <w:pPr>
        <w:pStyle w:val="Listaconnmeros2"/>
        <w:numPr>
          <w:ilvl w:val="0"/>
          <w:numId w:val="7"/>
        </w:numPr>
        <w:tabs>
          <w:tab w:val="clear" w:pos="1003"/>
          <w:tab w:val="num" w:pos="993"/>
        </w:tabs>
        <w:ind w:left="993" w:hanging="284"/>
        <w:rPr>
          <w:rFonts w:ascii="Cambria" w:hAnsi="Cambria"/>
          <w:sz w:val="24"/>
          <w:szCs w:val="24"/>
        </w:rPr>
      </w:pPr>
      <w:r w:rsidRPr="00F8465B">
        <w:rPr>
          <w:rFonts w:ascii="Cambria" w:hAnsi="Cambria"/>
          <w:sz w:val="24"/>
          <w:szCs w:val="24"/>
        </w:rPr>
        <w:t>Provisiones: saldos acreedores que cubren obligaciones actuales derivadas de sucesos pasados, cuya cancelación es probable que origine una salida de recursos, pero que resultan indetermi</w:t>
      </w:r>
      <w:r w:rsidR="001E666F" w:rsidRPr="00F8465B">
        <w:rPr>
          <w:rFonts w:ascii="Cambria" w:hAnsi="Cambria"/>
          <w:sz w:val="24"/>
          <w:szCs w:val="24"/>
        </w:rPr>
        <w:t>nados en cuanto a su importe y/</w:t>
      </w:r>
      <w:r w:rsidRPr="00F8465B">
        <w:rPr>
          <w:rFonts w:ascii="Cambria" w:hAnsi="Cambria"/>
          <w:sz w:val="24"/>
          <w:szCs w:val="24"/>
        </w:rPr>
        <w:t>o momento de cancelación.</w:t>
      </w:r>
    </w:p>
    <w:p w14:paraId="35096806" w14:textId="77777777" w:rsidR="00506653" w:rsidRPr="00F8465B" w:rsidRDefault="00506653" w:rsidP="00403E4A">
      <w:pPr>
        <w:pStyle w:val="Listaconnmeros2"/>
        <w:numPr>
          <w:ilvl w:val="0"/>
          <w:numId w:val="0"/>
        </w:numPr>
        <w:tabs>
          <w:tab w:val="num" w:pos="993"/>
        </w:tabs>
        <w:ind w:left="993" w:hanging="284"/>
        <w:rPr>
          <w:rFonts w:ascii="Cambria" w:hAnsi="Cambria"/>
          <w:sz w:val="24"/>
          <w:szCs w:val="24"/>
        </w:rPr>
      </w:pPr>
    </w:p>
    <w:p w14:paraId="44E88852" w14:textId="77777777" w:rsidR="00B7285B" w:rsidRPr="00F8465B" w:rsidRDefault="00B7285B" w:rsidP="00403E4A">
      <w:pPr>
        <w:pStyle w:val="Listaconnmeros2"/>
        <w:numPr>
          <w:ilvl w:val="0"/>
          <w:numId w:val="7"/>
        </w:numPr>
        <w:tabs>
          <w:tab w:val="clear" w:pos="1003"/>
          <w:tab w:val="num" w:pos="993"/>
        </w:tabs>
        <w:ind w:left="993" w:hanging="284"/>
        <w:rPr>
          <w:rFonts w:ascii="Cambria" w:eastAsia="PMingLiU" w:hAnsi="Cambria"/>
          <w:sz w:val="24"/>
          <w:szCs w:val="24"/>
        </w:rPr>
      </w:pPr>
      <w:r w:rsidRPr="00F8465B">
        <w:rPr>
          <w:rFonts w:ascii="Cambria" w:eastAsia="PMingLiU" w:hAnsi="Cambria"/>
          <w:sz w:val="24"/>
          <w:szCs w:val="24"/>
        </w:rPr>
        <w:t>Pasivos contingentes: obligaciones posibles surgidas como consecuencia de sucesos pasados, cuya materiali</w:t>
      </w:r>
      <w:r w:rsidR="004F20CA" w:rsidRPr="00F8465B">
        <w:rPr>
          <w:rFonts w:ascii="Cambria" w:eastAsia="PMingLiU" w:hAnsi="Cambria"/>
          <w:sz w:val="24"/>
          <w:szCs w:val="24"/>
        </w:rPr>
        <w:t xml:space="preserve">zación futura está condicionada </w:t>
      </w:r>
      <w:r w:rsidRPr="00F8465B">
        <w:rPr>
          <w:rFonts w:ascii="Cambria" w:eastAsia="PMingLiU" w:hAnsi="Cambria"/>
          <w:sz w:val="24"/>
          <w:szCs w:val="24"/>
        </w:rPr>
        <w:t>a que ocurra, o no, uno o más eventos futuros independientes de la voluntad de la Sociedad.</w:t>
      </w:r>
    </w:p>
    <w:p w14:paraId="27C278F9" w14:textId="77777777" w:rsidR="00431340" w:rsidRPr="00F8465B" w:rsidRDefault="00431340" w:rsidP="00284D60">
      <w:pPr>
        <w:pStyle w:val="Ttulo1a"/>
        <w:ind w:left="567"/>
        <w:rPr>
          <w:rFonts w:ascii="Cambria" w:hAnsi="Cambria"/>
          <w:sz w:val="24"/>
          <w:szCs w:val="24"/>
        </w:rPr>
      </w:pPr>
    </w:p>
    <w:p w14:paraId="6AA7B15C" w14:textId="77777777" w:rsidR="00284D60" w:rsidRPr="00F8465B" w:rsidRDefault="00B7285B" w:rsidP="00284D60">
      <w:pPr>
        <w:pStyle w:val="Ttulo1a"/>
        <w:ind w:left="567"/>
        <w:rPr>
          <w:rFonts w:ascii="Cambria" w:hAnsi="Cambria"/>
          <w:sz w:val="24"/>
          <w:szCs w:val="24"/>
        </w:rPr>
      </w:pPr>
      <w:r w:rsidRPr="00F8465B">
        <w:rPr>
          <w:rFonts w:ascii="Cambria" w:hAnsi="Cambria"/>
          <w:sz w:val="24"/>
          <w:szCs w:val="24"/>
        </w:rPr>
        <w:t>Las cuentas anuales recogen todas las provisiones para las cuales se estima que la probabilidad de que se tenga que atender la obligación es mayor que de lo contrario. Los pasivos contingentes no se reconocen en las cuentas anuales, sino que se informa sobre los mismos en las notas de la memoria, en la medida en que no sean considerados como remotos.</w:t>
      </w:r>
    </w:p>
    <w:p w14:paraId="3E4C0C82" w14:textId="77777777" w:rsidR="009A2739" w:rsidRPr="00F8465B" w:rsidRDefault="009A2739" w:rsidP="00284D60">
      <w:pPr>
        <w:pStyle w:val="Ttulo1a"/>
        <w:ind w:left="567"/>
        <w:rPr>
          <w:rFonts w:ascii="Cambria" w:hAnsi="Cambria"/>
          <w:sz w:val="24"/>
          <w:szCs w:val="24"/>
        </w:rPr>
      </w:pPr>
    </w:p>
    <w:p w14:paraId="0688BB42" w14:textId="77777777" w:rsidR="00B7285B" w:rsidRPr="00F8465B" w:rsidRDefault="00B7285B" w:rsidP="00284D60">
      <w:pPr>
        <w:pStyle w:val="Ttulo1a"/>
        <w:ind w:left="567"/>
        <w:rPr>
          <w:rFonts w:ascii="Cambria" w:hAnsi="Cambria"/>
          <w:sz w:val="24"/>
          <w:szCs w:val="24"/>
        </w:rPr>
      </w:pPr>
      <w:r w:rsidRPr="00F8465B">
        <w:rPr>
          <w:rFonts w:ascii="Cambria" w:hAnsi="Cambria"/>
          <w:sz w:val="24"/>
          <w:szCs w:val="24"/>
        </w:rPr>
        <w:t>Las provisiones se valoran por el valor actual de la mejor estimación posible del importe necesario para cancelar o transferir la obligación, teniendo en cuenta la información disponible sobre el suceso y sus consecuencias, y registrándose los ajustes que surjan por la actualización de dichas prov</w:t>
      </w:r>
      <w:r w:rsidR="00551E44" w:rsidRPr="00F8465B">
        <w:rPr>
          <w:rFonts w:ascii="Cambria" w:hAnsi="Cambria"/>
          <w:sz w:val="24"/>
          <w:szCs w:val="24"/>
        </w:rPr>
        <w:t>isiones como un gasto de acuerdo a su naturaleza</w:t>
      </w:r>
      <w:r w:rsidRPr="00F8465B">
        <w:rPr>
          <w:rFonts w:ascii="Cambria" w:hAnsi="Cambria"/>
          <w:sz w:val="24"/>
          <w:szCs w:val="24"/>
        </w:rPr>
        <w:t xml:space="preserve"> conforme se va devengando.</w:t>
      </w:r>
    </w:p>
    <w:p w14:paraId="46849942" w14:textId="77777777" w:rsidR="00CD1989" w:rsidRPr="00F8465B" w:rsidRDefault="00CD1989" w:rsidP="00284D60">
      <w:pPr>
        <w:pStyle w:val="Ttulo1a"/>
        <w:ind w:left="567"/>
        <w:rPr>
          <w:rFonts w:ascii="Cambria" w:hAnsi="Cambria"/>
          <w:sz w:val="24"/>
          <w:szCs w:val="24"/>
        </w:rPr>
      </w:pPr>
    </w:p>
    <w:p w14:paraId="67F86159" w14:textId="77777777" w:rsidR="00B7285B" w:rsidRPr="00F8465B" w:rsidRDefault="00B7285B" w:rsidP="00284D60">
      <w:pPr>
        <w:pStyle w:val="Ttulo2"/>
        <w:keepNext/>
        <w:numPr>
          <w:ilvl w:val="1"/>
          <w:numId w:val="14"/>
        </w:numPr>
        <w:ind w:left="993" w:hanging="426"/>
        <w:rPr>
          <w:rFonts w:ascii="Cambria" w:hAnsi="Cambria"/>
          <w:sz w:val="24"/>
          <w:szCs w:val="24"/>
        </w:rPr>
      </w:pPr>
      <w:r w:rsidRPr="00F8465B">
        <w:rPr>
          <w:rFonts w:ascii="Cambria" w:hAnsi="Cambria"/>
          <w:sz w:val="24"/>
          <w:szCs w:val="24"/>
        </w:rPr>
        <w:t>Indemnizaciones por despido</w:t>
      </w:r>
    </w:p>
    <w:p w14:paraId="3EBB9482" w14:textId="77777777" w:rsidR="00B7285B" w:rsidRPr="00F8465B" w:rsidRDefault="00B7285B" w:rsidP="00284D60">
      <w:pPr>
        <w:pStyle w:val="Ttulo1a"/>
        <w:ind w:left="567"/>
        <w:rPr>
          <w:rFonts w:ascii="Cambria" w:hAnsi="Cambria"/>
          <w:sz w:val="24"/>
          <w:szCs w:val="24"/>
        </w:rPr>
      </w:pPr>
    </w:p>
    <w:p w14:paraId="3D3D1EC3" w14:textId="77777777" w:rsidR="0053743A" w:rsidRPr="00F8465B" w:rsidRDefault="00B7285B" w:rsidP="00284D60">
      <w:pPr>
        <w:pStyle w:val="Ttulo1a"/>
        <w:ind w:left="567"/>
        <w:rPr>
          <w:rFonts w:ascii="Cambria" w:hAnsi="Cambria"/>
          <w:sz w:val="24"/>
          <w:szCs w:val="24"/>
        </w:rPr>
      </w:pPr>
      <w:r w:rsidRPr="00F8465B">
        <w:rPr>
          <w:rFonts w:ascii="Cambria" w:hAnsi="Cambria"/>
          <w:sz w:val="24"/>
          <w:szCs w:val="24"/>
        </w:rPr>
        <w:t xml:space="preserve">De acuerdo con la legislación vigente, </w:t>
      </w:r>
      <w:smartTag w:uri="urn:schemas-microsoft-com:office:smarttags" w:element="PersonName">
        <w:smartTagPr>
          <w:attr w:name="ProductID" w:val="la Sociedad"/>
        </w:smartTagPr>
        <w:r w:rsidRPr="00F8465B">
          <w:rPr>
            <w:rFonts w:ascii="Cambria" w:hAnsi="Cambria"/>
            <w:sz w:val="24"/>
            <w:szCs w:val="24"/>
          </w:rPr>
          <w:t>la Sociedad</w:t>
        </w:r>
      </w:smartTag>
      <w:r w:rsidRPr="00F8465B">
        <w:rPr>
          <w:rFonts w:ascii="Cambria" w:hAnsi="Cambria"/>
          <w:sz w:val="24"/>
          <w:szCs w:val="24"/>
        </w:rPr>
        <w:t xml:space="preserve"> está obligada al pago de indemnizaciones a aquellos empleados con los que, bajo determinadas condiciones, rescinda sus relaciones laborales. Por tanto, las indemnizaciones por despido susceptibles de cuantificación razonable se registran como gasto en el ejercicio en el que se adopta la decisión del despido</w:t>
      </w:r>
      <w:r w:rsidR="00E221AE" w:rsidRPr="00F8465B">
        <w:rPr>
          <w:rFonts w:ascii="Cambria" w:hAnsi="Cambria"/>
          <w:sz w:val="24"/>
          <w:szCs w:val="24"/>
        </w:rPr>
        <w:t xml:space="preserve"> y se crean expectativas válidas </w:t>
      </w:r>
      <w:r w:rsidR="002217E0" w:rsidRPr="00F8465B">
        <w:rPr>
          <w:rFonts w:ascii="Cambria" w:hAnsi="Cambria"/>
          <w:sz w:val="24"/>
          <w:szCs w:val="24"/>
        </w:rPr>
        <w:t xml:space="preserve">en </w:t>
      </w:r>
      <w:r w:rsidR="00E221AE" w:rsidRPr="00F8465B">
        <w:rPr>
          <w:rFonts w:ascii="Cambria" w:hAnsi="Cambria"/>
          <w:sz w:val="24"/>
          <w:szCs w:val="24"/>
        </w:rPr>
        <w:t>terceros</w:t>
      </w:r>
      <w:r w:rsidRPr="00F8465B">
        <w:rPr>
          <w:rFonts w:ascii="Cambria" w:hAnsi="Cambria"/>
          <w:sz w:val="24"/>
          <w:szCs w:val="24"/>
        </w:rPr>
        <w:t xml:space="preserve">. </w:t>
      </w:r>
      <w:bookmarkStart w:id="4" w:name="_Ref256418640"/>
    </w:p>
    <w:p w14:paraId="6CD1E904" w14:textId="77777777" w:rsidR="00B37CC5" w:rsidRPr="00F8465B" w:rsidRDefault="00B37CC5" w:rsidP="00284D60">
      <w:pPr>
        <w:pStyle w:val="Ttulo1a"/>
        <w:ind w:left="567"/>
        <w:rPr>
          <w:rFonts w:ascii="Cambria" w:hAnsi="Cambria"/>
          <w:sz w:val="24"/>
          <w:szCs w:val="24"/>
        </w:rPr>
      </w:pPr>
    </w:p>
    <w:p w14:paraId="4BE537E9" w14:textId="77777777" w:rsidR="00B37CC5" w:rsidRPr="00F8465B" w:rsidRDefault="00B37CC5" w:rsidP="00284D60">
      <w:pPr>
        <w:pStyle w:val="Ttulo2"/>
        <w:keepNext/>
        <w:numPr>
          <w:ilvl w:val="1"/>
          <w:numId w:val="14"/>
        </w:numPr>
        <w:ind w:left="993" w:hanging="426"/>
        <w:rPr>
          <w:rFonts w:ascii="Cambria" w:hAnsi="Cambria"/>
          <w:sz w:val="24"/>
          <w:szCs w:val="24"/>
        </w:rPr>
      </w:pPr>
      <w:r w:rsidRPr="00F8465B">
        <w:rPr>
          <w:rFonts w:ascii="Cambria" w:hAnsi="Cambria"/>
          <w:sz w:val="24"/>
          <w:szCs w:val="24"/>
        </w:rPr>
        <w:t>Compromisos por pensiones</w:t>
      </w:r>
    </w:p>
    <w:p w14:paraId="339ED06B" w14:textId="77777777" w:rsidR="00B37CC5" w:rsidRPr="00F8465B" w:rsidRDefault="00B37CC5" w:rsidP="00284D60">
      <w:pPr>
        <w:pStyle w:val="Ttulo1a"/>
        <w:ind w:left="567"/>
        <w:rPr>
          <w:rFonts w:ascii="Cambria" w:hAnsi="Cambria"/>
          <w:sz w:val="24"/>
          <w:szCs w:val="24"/>
        </w:rPr>
      </w:pPr>
    </w:p>
    <w:bookmarkEnd w:id="4"/>
    <w:p w14:paraId="6EAE6C7D" w14:textId="77777777" w:rsidR="00C62307" w:rsidRPr="00F8465B" w:rsidRDefault="00A16195" w:rsidP="00284D60">
      <w:pPr>
        <w:pStyle w:val="Ttulo1a"/>
        <w:ind w:left="567"/>
        <w:rPr>
          <w:rFonts w:ascii="Cambria" w:hAnsi="Cambria"/>
          <w:sz w:val="24"/>
          <w:szCs w:val="24"/>
        </w:rPr>
      </w:pPr>
      <w:r w:rsidRPr="00F8465B">
        <w:rPr>
          <w:rFonts w:ascii="Cambria" w:hAnsi="Cambria"/>
          <w:sz w:val="24"/>
          <w:szCs w:val="24"/>
        </w:rPr>
        <w:t xml:space="preserve">Este pasivo tiene la consideración de retribución a largo plazo de prestación definida. Dicho pasivo se minora durante el ejercicio en la cuantía de las prestaciones abonadas a los prejubilados, mientras que el incremento viene de la  actualización al cierre del ejercicio por las prestaciones pendientes de pago comprometidas con el personal. Estas variaciones se llevan a la cuenta de pérdidas y ganancias. </w:t>
      </w:r>
    </w:p>
    <w:p w14:paraId="51FEBB87" w14:textId="77777777" w:rsidR="008C0D8E" w:rsidRDefault="008C0D8E" w:rsidP="00284D60">
      <w:pPr>
        <w:pStyle w:val="Ttulo1a"/>
        <w:ind w:left="567"/>
        <w:rPr>
          <w:rFonts w:ascii="Cambria" w:hAnsi="Cambria"/>
          <w:sz w:val="24"/>
          <w:szCs w:val="24"/>
        </w:rPr>
      </w:pPr>
    </w:p>
    <w:p w14:paraId="6A72A6EB" w14:textId="79AF37DB" w:rsidR="00DA52A5" w:rsidRPr="00F8465B" w:rsidRDefault="00A16195" w:rsidP="00284D60">
      <w:pPr>
        <w:pStyle w:val="Ttulo1a"/>
        <w:ind w:left="567"/>
        <w:rPr>
          <w:rFonts w:ascii="Cambria" w:hAnsi="Cambria"/>
          <w:sz w:val="24"/>
          <w:szCs w:val="24"/>
        </w:rPr>
      </w:pPr>
      <w:r w:rsidRPr="00F8465B">
        <w:rPr>
          <w:rFonts w:ascii="Cambria" w:hAnsi="Cambria"/>
          <w:sz w:val="24"/>
          <w:szCs w:val="24"/>
        </w:rPr>
        <w:t xml:space="preserve">No obstante, cualquier variación significativa en el cálculo del valor actual de las retribuciones post-empleo comprometidas, a la fecha de cierre del ejercicio, debida a pérdidas y ganancias actuariales (como consecuencia de cambios en hipótesis actuariales o similar) se imputaría </w:t>
      </w:r>
      <w:r w:rsidR="007B30EC" w:rsidRPr="00F8465B">
        <w:rPr>
          <w:rFonts w:ascii="Cambria" w:hAnsi="Cambria"/>
          <w:sz w:val="24"/>
          <w:szCs w:val="24"/>
        </w:rPr>
        <w:t xml:space="preserve">a patrimonio neto </w:t>
      </w:r>
      <w:r w:rsidRPr="00F8465B">
        <w:rPr>
          <w:rFonts w:ascii="Cambria" w:hAnsi="Cambria"/>
          <w:sz w:val="24"/>
          <w:szCs w:val="24"/>
        </w:rPr>
        <w:t>en el ejercicio en el que surge</w:t>
      </w:r>
      <w:r w:rsidR="007B30EC" w:rsidRPr="00F8465B">
        <w:rPr>
          <w:rFonts w:ascii="Cambria" w:hAnsi="Cambria"/>
          <w:sz w:val="24"/>
          <w:szCs w:val="24"/>
        </w:rPr>
        <w:t>.</w:t>
      </w:r>
    </w:p>
    <w:p w14:paraId="4B7A8832" w14:textId="77777777" w:rsidR="004F46D1" w:rsidRPr="00F8465B" w:rsidRDefault="004F46D1" w:rsidP="00284D60">
      <w:pPr>
        <w:pStyle w:val="Ttulo1a"/>
        <w:ind w:left="567"/>
        <w:rPr>
          <w:rFonts w:ascii="Cambria" w:hAnsi="Cambria"/>
          <w:sz w:val="24"/>
          <w:szCs w:val="24"/>
        </w:rPr>
      </w:pPr>
    </w:p>
    <w:p w14:paraId="36C7C58C" w14:textId="77777777" w:rsidR="004F46D1" w:rsidRPr="00F8465B" w:rsidRDefault="004F46D1" w:rsidP="00284D60">
      <w:pPr>
        <w:pStyle w:val="Ttulo2"/>
        <w:keepNext/>
        <w:numPr>
          <w:ilvl w:val="1"/>
          <w:numId w:val="14"/>
        </w:numPr>
        <w:ind w:left="993" w:hanging="426"/>
        <w:rPr>
          <w:rFonts w:ascii="Cambria" w:hAnsi="Cambria"/>
          <w:sz w:val="24"/>
          <w:szCs w:val="24"/>
        </w:rPr>
      </w:pPr>
      <w:r w:rsidRPr="00F8465B">
        <w:rPr>
          <w:rFonts w:ascii="Cambria" w:hAnsi="Cambria"/>
          <w:sz w:val="24"/>
          <w:szCs w:val="24"/>
        </w:rPr>
        <w:t>Provisión para actuaciones medioambientales</w:t>
      </w:r>
    </w:p>
    <w:p w14:paraId="28F26E77" w14:textId="77777777" w:rsidR="004F46D1" w:rsidRPr="00F8465B" w:rsidRDefault="004F46D1" w:rsidP="00284D60">
      <w:pPr>
        <w:pStyle w:val="Ttulo1a"/>
        <w:ind w:left="567"/>
        <w:rPr>
          <w:rFonts w:ascii="Cambria" w:hAnsi="Cambria"/>
          <w:sz w:val="24"/>
          <w:szCs w:val="24"/>
        </w:rPr>
      </w:pPr>
    </w:p>
    <w:p w14:paraId="7784A691" w14:textId="4A307A72" w:rsidR="00555AD0" w:rsidRPr="009B58C6" w:rsidRDefault="00302B39" w:rsidP="00555AD0">
      <w:pPr>
        <w:pStyle w:val="Ttulo1a"/>
        <w:ind w:left="567"/>
        <w:rPr>
          <w:rFonts w:ascii="Cambria" w:hAnsi="Cambria"/>
          <w:sz w:val="24"/>
          <w:szCs w:val="24"/>
        </w:rPr>
      </w:pPr>
      <w:r>
        <w:rPr>
          <w:rFonts w:ascii="Cambria" w:hAnsi="Cambria"/>
          <w:sz w:val="24"/>
          <w:szCs w:val="24"/>
        </w:rPr>
        <w:t>En este epígrafe se recogen</w:t>
      </w:r>
      <w:r w:rsidR="004F46D1" w:rsidRPr="009B58C6">
        <w:rPr>
          <w:rFonts w:ascii="Cambria" w:hAnsi="Cambria"/>
          <w:sz w:val="24"/>
          <w:szCs w:val="24"/>
        </w:rPr>
        <w:t xml:space="preserve"> los costes de ejecución previstos en el Plan de Restauración Ambiental de Minas de Cala. </w:t>
      </w:r>
      <w:r w:rsidR="00555AD0" w:rsidRPr="009B58C6">
        <w:rPr>
          <w:rFonts w:ascii="Cambria" w:hAnsi="Cambria"/>
          <w:sz w:val="24"/>
          <w:szCs w:val="24"/>
        </w:rPr>
        <w:t xml:space="preserve">Los derechos sobre las concesiones mineras de Honor de Miengo y su demasía </w:t>
      </w:r>
      <w:r>
        <w:rPr>
          <w:rFonts w:ascii="Cambria" w:hAnsi="Cambria"/>
          <w:sz w:val="24"/>
          <w:szCs w:val="24"/>
        </w:rPr>
        <w:t>fueron</w:t>
      </w:r>
      <w:r w:rsidR="00555AD0" w:rsidRPr="009B58C6">
        <w:rPr>
          <w:rFonts w:ascii="Cambria" w:hAnsi="Cambria"/>
          <w:sz w:val="24"/>
          <w:szCs w:val="24"/>
        </w:rPr>
        <w:t xml:space="preserve"> caducados por parte del Ministerio de Industria. </w:t>
      </w:r>
    </w:p>
    <w:p w14:paraId="36F6F2A0" w14:textId="77777777" w:rsidR="00555AD0" w:rsidRPr="009B58C6" w:rsidRDefault="00555AD0" w:rsidP="00284D60">
      <w:pPr>
        <w:pStyle w:val="Ttulo1a"/>
        <w:ind w:left="567"/>
        <w:rPr>
          <w:rFonts w:ascii="Cambria" w:hAnsi="Cambria"/>
          <w:sz w:val="24"/>
          <w:szCs w:val="24"/>
        </w:rPr>
      </w:pPr>
    </w:p>
    <w:p w14:paraId="3AC6B7F8" w14:textId="77777777" w:rsidR="00431340" w:rsidRPr="00555AD0" w:rsidRDefault="004F46D1" w:rsidP="00284D60">
      <w:pPr>
        <w:pStyle w:val="Ttulo1a"/>
        <w:ind w:left="567"/>
        <w:rPr>
          <w:rFonts w:ascii="Cambria" w:hAnsi="Cambria"/>
          <w:sz w:val="24"/>
          <w:szCs w:val="24"/>
        </w:rPr>
      </w:pPr>
      <w:r w:rsidRPr="009B58C6">
        <w:rPr>
          <w:rFonts w:ascii="Cambria" w:hAnsi="Cambria"/>
          <w:sz w:val="24"/>
          <w:szCs w:val="24"/>
        </w:rPr>
        <w:t xml:space="preserve">Dichos costes han sido estimados por la </w:t>
      </w:r>
      <w:r w:rsidR="0053743A" w:rsidRPr="009B58C6">
        <w:rPr>
          <w:rFonts w:ascii="Cambria" w:hAnsi="Cambria"/>
          <w:sz w:val="24"/>
          <w:szCs w:val="24"/>
        </w:rPr>
        <w:t>Sociedad al cierre del ejercicio de acuerdo a la información disponible en ese momento.</w:t>
      </w:r>
    </w:p>
    <w:p w14:paraId="4BC5AE96" w14:textId="054C8B2E" w:rsidR="00A77583" w:rsidRPr="00555AD0" w:rsidRDefault="00A77583" w:rsidP="004D54C8">
      <w:pPr>
        <w:keepLines w:val="0"/>
        <w:widowControl/>
        <w:jc w:val="left"/>
        <w:rPr>
          <w:rFonts w:ascii="Cambria" w:hAnsi="Cambria"/>
          <w:sz w:val="24"/>
          <w:szCs w:val="24"/>
        </w:rPr>
      </w:pPr>
    </w:p>
    <w:p w14:paraId="4E66F78E" w14:textId="3BF38615" w:rsidR="00770666" w:rsidRPr="00F8465B" w:rsidRDefault="00770666" w:rsidP="00284D60">
      <w:pPr>
        <w:pStyle w:val="Ttulo2"/>
        <w:keepNext/>
        <w:numPr>
          <w:ilvl w:val="1"/>
          <w:numId w:val="14"/>
        </w:numPr>
        <w:ind w:left="993" w:hanging="426"/>
        <w:rPr>
          <w:rFonts w:ascii="Cambria" w:hAnsi="Cambria"/>
          <w:sz w:val="24"/>
          <w:szCs w:val="24"/>
        </w:rPr>
      </w:pPr>
      <w:r w:rsidRPr="00F8465B">
        <w:rPr>
          <w:rFonts w:ascii="Cambria" w:hAnsi="Cambria"/>
          <w:sz w:val="24"/>
          <w:szCs w:val="24"/>
        </w:rPr>
        <w:t xml:space="preserve">Transacciones con </w:t>
      </w:r>
      <w:r w:rsidR="00BF25D4">
        <w:rPr>
          <w:rFonts w:ascii="Cambria" w:hAnsi="Cambria"/>
          <w:sz w:val="24"/>
          <w:szCs w:val="24"/>
        </w:rPr>
        <w:t xml:space="preserve">partes </w:t>
      </w:r>
      <w:r w:rsidRPr="00F8465B">
        <w:rPr>
          <w:rFonts w:ascii="Cambria" w:hAnsi="Cambria"/>
          <w:sz w:val="24"/>
          <w:szCs w:val="24"/>
        </w:rPr>
        <w:t>vinculadas</w:t>
      </w:r>
    </w:p>
    <w:p w14:paraId="5F33D947" w14:textId="77777777" w:rsidR="00770666" w:rsidRPr="00F8465B" w:rsidRDefault="00770666" w:rsidP="00284D60">
      <w:pPr>
        <w:pStyle w:val="Ttulo1a"/>
        <w:ind w:left="567"/>
        <w:rPr>
          <w:rFonts w:ascii="Cambria" w:hAnsi="Cambria"/>
          <w:sz w:val="24"/>
          <w:szCs w:val="24"/>
        </w:rPr>
      </w:pPr>
    </w:p>
    <w:p w14:paraId="632358B3" w14:textId="38FA68F0" w:rsidR="00726687" w:rsidRDefault="00770666" w:rsidP="00284D60">
      <w:pPr>
        <w:pStyle w:val="Ttulo1a"/>
        <w:ind w:left="567"/>
        <w:rPr>
          <w:rFonts w:ascii="Cambria" w:hAnsi="Cambria"/>
          <w:sz w:val="24"/>
          <w:szCs w:val="24"/>
        </w:rPr>
      </w:pPr>
      <w:r w:rsidRPr="00F8465B">
        <w:rPr>
          <w:rFonts w:ascii="Cambria" w:hAnsi="Cambria"/>
          <w:sz w:val="24"/>
          <w:szCs w:val="24"/>
        </w:rPr>
        <w:t xml:space="preserve">La Sociedad realiza todas sus operaciones con </w:t>
      </w:r>
      <w:r w:rsidR="00BF25D4">
        <w:rPr>
          <w:rFonts w:ascii="Cambria" w:hAnsi="Cambria"/>
          <w:sz w:val="24"/>
          <w:szCs w:val="24"/>
        </w:rPr>
        <w:t xml:space="preserve">partes </w:t>
      </w:r>
      <w:r w:rsidRPr="00F8465B">
        <w:rPr>
          <w:rFonts w:ascii="Cambria" w:hAnsi="Cambria"/>
          <w:sz w:val="24"/>
          <w:szCs w:val="24"/>
        </w:rPr>
        <w:t xml:space="preserve">vinculadas a valores de mercado. Adicionalmente, los precios de transferencia se encuentran adecuadamente soportados por lo que </w:t>
      </w:r>
      <w:r w:rsidR="00B30831">
        <w:rPr>
          <w:rFonts w:ascii="Cambria" w:hAnsi="Cambria"/>
          <w:sz w:val="24"/>
          <w:szCs w:val="24"/>
        </w:rPr>
        <w:t>el</w:t>
      </w:r>
      <w:r w:rsidRPr="00F8465B">
        <w:rPr>
          <w:rFonts w:ascii="Cambria" w:hAnsi="Cambria"/>
          <w:sz w:val="24"/>
          <w:szCs w:val="24"/>
        </w:rPr>
        <w:t xml:space="preserve"> </w:t>
      </w:r>
      <w:r w:rsidR="00E940E5" w:rsidRPr="00F8465B">
        <w:rPr>
          <w:rFonts w:ascii="Cambria" w:hAnsi="Cambria"/>
          <w:sz w:val="24"/>
          <w:szCs w:val="24"/>
        </w:rPr>
        <w:t>Administrador</w:t>
      </w:r>
      <w:r w:rsidRPr="00F8465B">
        <w:rPr>
          <w:rFonts w:ascii="Cambria" w:hAnsi="Cambria"/>
          <w:sz w:val="24"/>
          <w:szCs w:val="24"/>
        </w:rPr>
        <w:t xml:space="preserve"> </w:t>
      </w:r>
      <w:r w:rsidR="00E940E5" w:rsidRPr="00F8465B">
        <w:rPr>
          <w:rFonts w:ascii="Cambria" w:hAnsi="Cambria"/>
          <w:sz w:val="24"/>
          <w:szCs w:val="24"/>
        </w:rPr>
        <w:t>Únic</w:t>
      </w:r>
      <w:r w:rsidR="00B30831">
        <w:rPr>
          <w:rFonts w:ascii="Cambria" w:hAnsi="Cambria"/>
          <w:sz w:val="24"/>
          <w:szCs w:val="24"/>
        </w:rPr>
        <w:t>o</w:t>
      </w:r>
      <w:r w:rsidRPr="00F8465B">
        <w:rPr>
          <w:rFonts w:ascii="Cambria" w:hAnsi="Cambria"/>
          <w:sz w:val="24"/>
          <w:szCs w:val="24"/>
        </w:rPr>
        <w:t xml:space="preserve"> de la Sociedad considera que no existen riesgos significativos por este aspecto de los que puedan derivarse pasivos de consideración en el futuro.</w:t>
      </w:r>
    </w:p>
    <w:p w14:paraId="5E0EB80C" w14:textId="346D0455" w:rsidR="008C0D8E" w:rsidRDefault="008C0D8E">
      <w:pPr>
        <w:keepLines w:val="0"/>
        <w:widowControl/>
        <w:jc w:val="left"/>
      </w:pPr>
      <w:r>
        <w:br w:type="page"/>
      </w:r>
    </w:p>
    <w:p w14:paraId="554C05FF" w14:textId="77777777" w:rsidR="00BA456F" w:rsidRDefault="00BA456F" w:rsidP="00BA456F"/>
    <w:p w14:paraId="75B78936" w14:textId="77777777" w:rsidR="00BA456F" w:rsidRPr="00F8465B" w:rsidRDefault="00BA456F" w:rsidP="00BA456F">
      <w:pPr>
        <w:pStyle w:val="Ttulo2"/>
        <w:keepNext/>
        <w:numPr>
          <w:ilvl w:val="1"/>
          <w:numId w:val="14"/>
        </w:numPr>
        <w:ind w:left="993" w:hanging="426"/>
        <w:rPr>
          <w:rFonts w:ascii="Cambria" w:hAnsi="Cambria"/>
          <w:sz w:val="24"/>
          <w:szCs w:val="24"/>
        </w:rPr>
      </w:pPr>
      <w:r>
        <w:rPr>
          <w:rFonts w:ascii="Cambria" w:hAnsi="Cambria"/>
          <w:sz w:val="24"/>
          <w:szCs w:val="24"/>
        </w:rPr>
        <w:t>Estado de flujos de efectivo</w:t>
      </w:r>
    </w:p>
    <w:p w14:paraId="1D17C931" w14:textId="77777777" w:rsidR="00BA456F" w:rsidRPr="004D54C8" w:rsidRDefault="00BA456F" w:rsidP="004D54C8"/>
    <w:p w14:paraId="348E17EC" w14:textId="77777777" w:rsidR="00BA456F" w:rsidRPr="004D54C8" w:rsidRDefault="00BA456F" w:rsidP="00BA456F">
      <w:pPr>
        <w:widowControl/>
        <w:tabs>
          <w:tab w:val="left" w:pos="567"/>
        </w:tabs>
        <w:ind w:left="567"/>
        <w:rPr>
          <w:rFonts w:ascii="Cambria" w:hAnsi="Cambria"/>
          <w:sz w:val="24"/>
          <w:szCs w:val="24"/>
        </w:rPr>
      </w:pPr>
      <w:r w:rsidRPr="004D54C8">
        <w:rPr>
          <w:rFonts w:ascii="Cambria" w:hAnsi="Cambria"/>
          <w:sz w:val="24"/>
          <w:szCs w:val="24"/>
        </w:rPr>
        <w:t>El estado de flujos de efectivo ha sido elaborado utilizando el método indirecto, y en el mismo se utilizan las siguientes expresiones con el significado que se indica a continuación:</w:t>
      </w:r>
    </w:p>
    <w:p w14:paraId="4A387846" w14:textId="77777777" w:rsidR="00BA456F" w:rsidRPr="004D54C8" w:rsidRDefault="00BA456F" w:rsidP="00BA456F">
      <w:pPr>
        <w:widowControl/>
        <w:tabs>
          <w:tab w:val="left" w:pos="567"/>
        </w:tabs>
        <w:ind w:left="567"/>
        <w:rPr>
          <w:rFonts w:ascii="Cambria" w:hAnsi="Cambria"/>
          <w:sz w:val="24"/>
          <w:szCs w:val="24"/>
        </w:rPr>
      </w:pPr>
    </w:p>
    <w:p w14:paraId="736AF077" w14:textId="77777777" w:rsidR="00BA456F" w:rsidRPr="004D54C8" w:rsidRDefault="00BA456F" w:rsidP="0060571A">
      <w:pPr>
        <w:keepLines w:val="0"/>
        <w:widowControl/>
        <w:numPr>
          <w:ilvl w:val="0"/>
          <w:numId w:val="23"/>
        </w:numPr>
        <w:tabs>
          <w:tab w:val="left" w:pos="567"/>
        </w:tabs>
        <w:rPr>
          <w:rFonts w:ascii="Cambria" w:hAnsi="Cambria"/>
          <w:sz w:val="24"/>
          <w:szCs w:val="24"/>
        </w:rPr>
      </w:pPr>
      <w:r w:rsidRPr="004D54C8">
        <w:rPr>
          <w:rFonts w:ascii="Cambria" w:hAnsi="Cambria"/>
          <w:sz w:val="24"/>
          <w:szCs w:val="24"/>
        </w:rPr>
        <w:t>Actividades de explotación: actividades que constituyen los ingresos ordinarios de la sociedad, así como otras actividades que no pueden ser calificadas como de inversión o financiación.</w:t>
      </w:r>
    </w:p>
    <w:p w14:paraId="6897F9AB" w14:textId="77777777" w:rsidR="00BA456F" w:rsidRPr="004D54C8" w:rsidRDefault="00BA456F" w:rsidP="0060571A">
      <w:pPr>
        <w:keepLines w:val="0"/>
        <w:widowControl/>
        <w:numPr>
          <w:ilvl w:val="0"/>
          <w:numId w:val="23"/>
        </w:numPr>
        <w:tabs>
          <w:tab w:val="left" w:pos="567"/>
        </w:tabs>
        <w:rPr>
          <w:rFonts w:ascii="Cambria" w:hAnsi="Cambria"/>
          <w:sz w:val="24"/>
          <w:szCs w:val="24"/>
        </w:rPr>
      </w:pPr>
      <w:r w:rsidRPr="004D54C8">
        <w:rPr>
          <w:rFonts w:ascii="Cambria" w:hAnsi="Cambria"/>
          <w:sz w:val="24"/>
          <w:szCs w:val="24"/>
        </w:rPr>
        <w:t>Actividades de inversión: actividades de adquisición, enajenación o disposición por otros medios de activos a largo plazo y otras inversiones no incluidas en el efectivo y sus equivalentes.</w:t>
      </w:r>
    </w:p>
    <w:p w14:paraId="2951F974" w14:textId="6666C03B" w:rsidR="00BA456F" w:rsidRDefault="00BA456F" w:rsidP="0060571A">
      <w:pPr>
        <w:keepLines w:val="0"/>
        <w:widowControl/>
        <w:numPr>
          <w:ilvl w:val="0"/>
          <w:numId w:val="23"/>
        </w:numPr>
        <w:tabs>
          <w:tab w:val="left" w:pos="567"/>
        </w:tabs>
        <w:rPr>
          <w:rFonts w:ascii="Cambria" w:hAnsi="Cambria"/>
          <w:sz w:val="24"/>
          <w:szCs w:val="24"/>
        </w:rPr>
      </w:pPr>
      <w:r w:rsidRPr="004D54C8">
        <w:rPr>
          <w:rFonts w:ascii="Cambria" w:hAnsi="Cambria"/>
          <w:sz w:val="24"/>
          <w:szCs w:val="24"/>
        </w:rPr>
        <w:t>Actividades de financiación: actividades que producen cambios en el tamaño y composición del patrimonio neto y de los pasivos que no forman parte de las actividades de explotación.</w:t>
      </w:r>
    </w:p>
    <w:p w14:paraId="0EE9746C" w14:textId="2D2416AC" w:rsidR="008C0D8E" w:rsidRDefault="008C0D8E" w:rsidP="008C0D8E">
      <w:pPr>
        <w:keepLines w:val="0"/>
        <w:widowControl/>
        <w:tabs>
          <w:tab w:val="left" w:pos="567"/>
        </w:tabs>
        <w:ind w:left="927"/>
        <w:rPr>
          <w:rFonts w:ascii="Cambria" w:hAnsi="Cambria"/>
          <w:sz w:val="24"/>
          <w:szCs w:val="24"/>
        </w:rPr>
      </w:pPr>
    </w:p>
    <w:p w14:paraId="30C0CE37" w14:textId="20B78193" w:rsidR="00933811" w:rsidRDefault="00933811" w:rsidP="00933811">
      <w:pPr>
        <w:pStyle w:val="Ttulo4"/>
        <w:widowControl/>
        <w:numPr>
          <w:ilvl w:val="0"/>
          <w:numId w:val="3"/>
        </w:numPr>
        <w:tabs>
          <w:tab w:val="clear" w:pos="360"/>
          <w:tab w:val="left" w:pos="-448"/>
          <w:tab w:val="num" w:pos="567"/>
        </w:tabs>
        <w:spacing w:before="0" w:after="0"/>
        <w:ind w:left="567" w:right="2268" w:hanging="567"/>
        <w:jc w:val="left"/>
        <w:rPr>
          <w:rFonts w:ascii="Cambria" w:hAnsi="Cambria"/>
          <w:kern w:val="28"/>
          <w:sz w:val="24"/>
          <w:szCs w:val="24"/>
          <w:u w:val="single"/>
          <w:lang w:val="es-ES" w:eastAsia="en-US"/>
        </w:rPr>
      </w:pPr>
      <w:r w:rsidRPr="00F8465B">
        <w:rPr>
          <w:rFonts w:ascii="Cambria" w:hAnsi="Cambria"/>
          <w:kern w:val="28"/>
          <w:sz w:val="24"/>
          <w:szCs w:val="24"/>
          <w:u w:val="single"/>
          <w:lang w:val="es-ES" w:eastAsia="en-US"/>
        </w:rPr>
        <w:t xml:space="preserve">Inmovilizado </w:t>
      </w:r>
      <w:r>
        <w:rPr>
          <w:rFonts w:ascii="Cambria" w:hAnsi="Cambria"/>
          <w:kern w:val="28"/>
          <w:sz w:val="24"/>
          <w:szCs w:val="24"/>
          <w:u w:val="single"/>
          <w:lang w:val="es-ES" w:eastAsia="en-US"/>
        </w:rPr>
        <w:t>in</w:t>
      </w:r>
      <w:r w:rsidRPr="00F8465B">
        <w:rPr>
          <w:rFonts w:ascii="Cambria" w:hAnsi="Cambria"/>
          <w:kern w:val="28"/>
          <w:sz w:val="24"/>
          <w:szCs w:val="24"/>
          <w:u w:val="single"/>
          <w:lang w:val="es-ES" w:eastAsia="en-US"/>
        </w:rPr>
        <w:t>material</w:t>
      </w:r>
    </w:p>
    <w:p w14:paraId="3AF2A8D0" w14:textId="0A430730" w:rsidR="00933811" w:rsidRDefault="00933811" w:rsidP="00933811">
      <w:pPr>
        <w:rPr>
          <w:lang w:val="es-ES" w:eastAsia="en-US"/>
        </w:rPr>
      </w:pPr>
    </w:p>
    <w:p w14:paraId="2763C8D2" w14:textId="2B212A5A" w:rsidR="00933811" w:rsidRDefault="00933811" w:rsidP="00933811">
      <w:pPr>
        <w:ind w:left="567"/>
        <w:rPr>
          <w:rFonts w:ascii="Cambria" w:hAnsi="Cambria"/>
          <w:b/>
          <w:sz w:val="24"/>
          <w:szCs w:val="24"/>
          <w:u w:val="single"/>
        </w:rPr>
      </w:pPr>
      <w:r w:rsidRPr="00F8465B">
        <w:rPr>
          <w:rFonts w:ascii="Cambria" w:hAnsi="Cambria"/>
          <w:sz w:val="24"/>
          <w:szCs w:val="24"/>
        </w:rPr>
        <w:t xml:space="preserve">El movimiento habido, en </w:t>
      </w:r>
      <w:r>
        <w:rPr>
          <w:rFonts w:ascii="Cambria" w:hAnsi="Cambria"/>
          <w:sz w:val="24"/>
          <w:szCs w:val="24"/>
        </w:rPr>
        <w:t>el</w:t>
      </w:r>
      <w:r w:rsidRPr="00F8465B">
        <w:rPr>
          <w:rFonts w:ascii="Cambria" w:hAnsi="Cambria"/>
          <w:sz w:val="24"/>
          <w:szCs w:val="24"/>
        </w:rPr>
        <w:t xml:space="preserve"> ejercicio</w:t>
      </w:r>
      <w:r>
        <w:rPr>
          <w:rFonts w:ascii="Cambria" w:hAnsi="Cambria"/>
          <w:sz w:val="24"/>
          <w:szCs w:val="24"/>
        </w:rPr>
        <w:t xml:space="preserve"> </w:t>
      </w:r>
      <w:r w:rsidRPr="00F8465B">
        <w:rPr>
          <w:rFonts w:ascii="Cambria" w:hAnsi="Cambria"/>
          <w:sz w:val="24"/>
          <w:szCs w:val="24"/>
        </w:rPr>
        <w:t>20</w:t>
      </w:r>
      <w:r>
        <w:rPr>
          <w:rFonts w:ascii="Cambria" w:hAnsi="Cambria"/>
          <w:sz w:val="24"/>
          <w:szCs w:val="24"/>
        </w:rPr>
        <w:t>20</w:t>
      </w:r>
      <w:r w:rsidRPr="00F8465B">
        <w:rPr>
          <w:rFonts w:ascii="Cambria" w:hAnsi="Cambria"/>
          <w:sz w:val="24"/>
          <w:szCs w:val="24"/>
        </w:rPr>
        <w:t xml:space="preserve"> </w:t>
      </w:r>
      <w:r>
        <w:rPr>
          <w:rFonts w:ascii="Cambria" w:hAnsi="Cambria"/>
          <w:sz w:val="24"/>
          <w:szCs w:val="24"/>
        </w:rPr>
        <w:t>(sin movimiento en el ejercicio 2019)</w:t>
      </w:r>
      <w:r w:rsidRPr="00F8465B">
        <w:rPr>
          <w:rFonts w:ascii="Cambria" w:hAnsi="Cambria"/>
          <w:sz w:val="24"/>
          <w:szCs w:val="24"/>
        </w:rPr>
        <w:t>, ha sido el siguiente (en miles de euros):</w:t>
      </w:r>
      <w:r w:rsidRPr="00B30831">
        <w:rPr>
          <w:rFonts w:ascii="Cambria" w:hAnsi="Cambria"/>
          <w:b/>
          <w:sz w:val="24"/>
          <w:szCs w:val="24"/>
          <w:u w:val="single"/>
        </w:rPr>
        <w:t xml:space="preserve"> </w:t>
      </w:r>
    </w:p>
    <w:p w14:paraId="3A1BF5C8" w14:textId="77777777" w:rsidR="00933811" w:rsidRDefault="00933811" w:rsidP="00933811">
      <w:pPr>
        <w:ind w:left="567"/>
        <w:rPr>
          <w:rFonts w:ascii="Cambria" w:hAnsi="Cambria"/>
          <w:b/>
          <w:sz w:val="24"/>
          <w:szCs w:val="24"/>
          <w:u w:val="single"/>
        </w:rPr>
      </w:pPr>
    </w:p>
    <w:p w14:paraId="5DB0DD29" w14:textId="2159E5A0" w:rsidR="00933811" w:rsidRDefault="00933811" w:rsidP="00933811">
      <w:pPr>
        <w:ind w:left="567"/>
        <w:rPr>
          <w:rFonts w:ascii="Cambria" w:hAnsi="Cambria"/>
          <w:b/>
          <w:sz w:val="24"/>
          <w:szCs w:val="24"/>
          <w:u w:val="single"/>
        </w:rPr>
      </w:pPr>
      <w:r>
        <w:rPr>
          <w:rFonts w:ascii="Cambria" w:hAnsi="Cambria"/>
          <w:b/>
          <w:sz w:val="24"/>
          <w:szCs w:val="24"/>
          <w:u w:val="single"/>
        </w:rPr>
        <w:t>Ejercicio 20</w:t>
      </w:r>
      <w:r w:rsidR="0094281F">
        <w:rPr>
          <w:rFonts w:ascii="Cambria" w:hAnsi="Cambria"/>
          <w:b/>
          <w:sz w:val="24"/>
          <w:szCs w:val="24"/>
          <w:u w:val="single"/>
        </w:rPr>
        <w:t>20</w:t>
      </w:r>
      <w:r w:rsidRPr="00325223">
        <w:rPr>
          <w:rFonts w:ascii="Cambria" w:hAnsi="Cambria"/>
          <w:b/>
          <w:sz w:val="24"/>
          <w:szCs w:val="24"/>
          <w:u w:val="single"/>
        </w:rPr>
        <w:t>:</w:t>
      </w:r>
    </w:p>
    <w:p w14:paraId="65215020" w14:textId="77777777" w:rsidR="00933811" w:rsidRDefault="00933811" w:rsidP="00933811">
      <w:pPr>
        <w:ind w:left="567"/>
        <w:rPr>
          <w:rFonts w:ascii="Cambria" w:hAnsi="Cambria"/>
          <w:b/>
          <w:sz w:val="24"/>
          <w:szCs w:val="24"/>
          <w:u w:val="single"/>
        </w:rPr>
      </w:pPr>
    </w:p>
    <w:tbl>
      <w:tblPr>
        <w:tblW w:w="7371" w:type="dxa"/>
        <w:tblInd w:w="557" w:type="dxa"/>
        <w:tblCellMar>
          <w:left w:w="70" w:type="dxa"/>
          <w:right w:w="70" w:type="dxa"/>
        </w:tblCellMar>
        <w:tblLook w:val="04A0" w:firstRow="1" w:lastRow="0" w:firstColumn="1" w:lastColumn="0" w:noHBand="0" w:noVBand="1"/>
      </w:tblPr>
      <w:tblGrid>
        <w:gridCol w:w="3969"/>
        <w:gridCol w:w="1134"/>
        <w:gridCol w:w="1134"/>
        <w:gridCol w:w="1134"/>
      </w:tblGrid>
      <w:tr w:rsidR="00933811" w:rsidRPr="00F8465B" w14:paraId="185EB393" w14:textId="77777777" w:rsidTr="009F4E90">
        <w:trPr>
          <w:trHeight w:val="525"/>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0BBA7C" w14:textId="77777777" w:rsidR="00933811" w:rsidRPr="00F8465B" w:rsidRDefault="00933811" w:rsidP="00750BCD">
            <w:pPr>
              <w:keepLines w:val="0"/>
              <w:widowControl/>
              <w:rPr>
                <w:rFonts w:ascii="Cambria" w:hAnsi="Cambria" w:cs="Calibri"/>
                <w:color w:val="000000"/>
                <w:sz w:val="20"/>
                <w:lang w:val="es-ES"/>
              </w:rPr>
            </w:pPr>
            <w:r w:rsidRPr="00F8465B">
              <w:rPr>
                <w:rFonts w:ascii="Cambria" w:hAnsi="Cambria" w:cs="Calibri"/>
                <w:color w:val="000000"/>
                <w:sz w:val="20"/>
                <w:lang w:val="es-ES"/>
              </w:rPr>
              <w:t> </w:t>
            </w:r>
          </w:p>
        </w:tc>
        <w:tc>
          <w:tcPr>
            <w:tcW w:w="1134" w:type="dxa"/>
            <w:tcBorders>
              <w:top w:val="single" w:sz="8" w:space="0" w:color="auto"/>
              <w:left w:val="nil"/>
              <w:bottom w:val="single" w:sz="8" w:space="0" w:color="auto"/>
              <w:right w:val="nil"/>
            </w:tcBorders>
            <w:shd w:val="clear" w:color="auto" w:fill="FFFFFF" w:themeFill="background1"/>
            <w:vAlign w:val="center"/>
          </w:tcPr>
          <w:p w14:paraId="3EFDFF3D" w14:textId="77777777" w:rsidR="00933811" w:rsidRPr="00750BCD" w:rsidRDefault="00933811" w:rsidP="00750BCD">
            <w:pPr>
              <w:keepLines w:val="0"/>
              <w:widowControl/>
              <w:jc w:val="center"/>
              <w:rPr>
                <w:rFonts w:ascii="Cambria" w:hAnsi="Cambria" w:cs="Calibri"/>
                <w:b/>
                <w:bCs/>
                <w:color w:val="000000"/>
                <w:sz w:val="20"/>
                <w:lang w:val="es-ES"/>
              </w:rPr>
            </w:pPr>
            <w:r w:rsidRPr="00750BCD">
              <w:rPr>
                <w:rFonts w:ascii="Cambria" w:hAnsi="Cambria" w:cs="Calibri"/>
                <w:b/>
                <w:bCs/>
                <w:color w:val="000000"/>
                <w:sz w:val="20"/>
                <w:lang w:val="es-ES"/>
              </w:rPr>
              <w:t>Saldo al 31.12.19</w:t>
            </w:r>
          </w:p>
        </w:tc>
        <w:tc>
          <w:tcPr>
            <w:tcW w:w="1134" w:type="dxa"/>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14:paraId="313598FC" w14:textId="77777777" w:rsidR="00933811" w:rsidRPr="00750BCD" w:rsidRDefault="00933811" w:rsidP="00750BCD">
            <w:pPr>
              <w:keepLines w:val="0"/>
              <w:widowControl/>
              <w:jc w:val="center"/>
              <w:rPr>
                <w:rFonts w:ascii="Cambria" w:hAnsi="Cambria" w:cs="Calibri"/>
                <w:b/>
                <w:bCs/>
                <w:color w:val="000000"/>
                <w:sz w:val="20"/>
                <w:lang w:val="es-ES"/>
              </w:rPr>
            </w:pPr>
            <w:r w:rsidRPr="00750BCD">
              <w:rPr>
                <w:rFonts w:ascii="Cambria" w:hAnsi="Cambria" w:cs="Calibri"/>
                <w:b/>
                <w:bCs/>
                <w:color w:val="000000"/>
                <w:sz w:val="20"/>
                <w:lang w:val="es-ES"/>
              </w:rPr>
              <w:t>Entradas</w:t>
            </w:r>
          </w:p>
        </w:tc>
        <w:tc>
          <w:tcPr>
            <w:tcW w:w="1134" w:type="dxa"/>
            <w:tcBorders>
              <w:top w:val="single" w:sz="8" w:space="0" w:color="auto"/>
              <w:left w:val="nil"/>
              <w:bottom w:val="single" w:sz="8" w:space="0" w:color="auto"/>
              <w:right w:val="single" w:sz="8" w:space="0" w:color="auto"/>
            </w:tcBorders>
            <w:shd w:val="clear" w:color="auto" w:fill="FFFFFF" w:themeFill="background1"/>
            <w:vAlign w:val="center"/>
            <w:hideMark/>
          </w:tcPr>
          <w:p w14:paraId="703ABC82" w14:textId="77777777" w:rsidR="00933811" w:rsidRPr="00750BCD" w:rsidRDefault="00933811" w:rsidP="00750BCD">
            <w:pPr>
              <w:keepLines w:val="0"/>
              <w:widowControl/>
              <w:jc w:val="center"/>
              <w:rPr>
                <w:rFonts w:ascii="Cambria" w:hAnsi="Cambria" w:cs="Calibri"/>
                <w:b/>
                <w:bCs/>
                <w:color w:val="000000"/>
                <w:sz w:val="20"/>
                <w:lang w:val="es-ES"/>
              </w:rPr>
            </w:pPr>
            <w:r w:rsidRPr="00750BCD">
              <w:rPr>
                <w:rFonts w:ascii="Cambria" w:hAnsi="Cambria" w:cs="Calibri"/>
                <w:b/>
                <w:bCs/>
                <w:color w:val="000000"/>
                <w:sz w:val="20"/>
                <w:lang w:val="es-ES"/>
              </w:rPr>
              <w:t>Saldo al 31.12.20</w:t>
            </w:r>
          </w:p>
        </w:tc>
      </w:tr>
      <w:tr w:rsidR="00933811" w:rsidRPr="00F8465B" w14:paraId="1DB9CA60" w14:textId="77777777" w:rsidTr="009F4E90">
        <w:trPr>
          <w:trHeight w:hRule="exact" w:val="312"/>
        </w:trPr>
        <w:tc>
          <w:tcPr>
            <w:tcW w:w="3969" w:type="dxa"/>
            <w:tcBorders>
              <w:top w:val="single" w:sz="8" w:space="0" w:color="auto"/>
              <w:left w:val="single" w:sz="8" w:space="0" w:color="auto"/>
              <w:right w:val="single" w:sz="8" w:space="0" w:color="auto"/>
            </w:tcBorders>
            <w:shd w:val="clear" w:color="auto" w:fill="auto"/>
            <w:vAlign w:val="center"/>
            <w:hideMark/>
          </w:tcPr>
          <w:p w14:paraId="041BDB0F" w14:textId="62CFAD42" w:rsidR="00933811" w:rsidRPr="00F8465B" w:rsidRDefault="00933811" w:rsidP="00750BCD">
            <w:pPr>
              <w:keepLines w:val="0"/>
              <w:widowControl/>
              <w:jc w:val="left"/>
              <w:rPr>
                <w:rFonts w:ascii="Cambria" w:hAnsi="Cambria" w:cs="Calibri"/>
                <w:color w:val="000000"/>
                <w:sz w:val="20"/>
                <w:lang w:val="es-ES"/>
              </w:rPr>
            </w:pPr>
            <w:r>
              <w:rPr>
                <w:rFonts w:ascii="Cambria" w:hAnsi="Cambria" w:cs="Calibri"/>
                <w:color w:val="000000"/>
                <w:sz w:val="20"/>
                <w:lang w:val="es-ES"/>
              </w:rPr>
              <w:t>Aplicaciones informáticas</w:t>
            </w:r>
          </w:p>
        </w:tc>
        <w:tc>
          <w:tcPr>
            <w:tcW w:w="1134" w:type="dxa"/>
            <w:tcBorders>
              <w:top w:val="single" w:sz="8" w:space="0" w:color="auto"/>
              <w:left w:val="nil"/>
              <w:right w:val="nil"/>
            </w:tcBorders>
            <w:shd w:val="clear" w:color="auto" w:fill="FFFFFF" w:themeFill="background1"/>
            <w:vAlign w:val="center"/>
          </w:tcPr>
          <w:p w14:paraId="3BAF7AF5" w14:textId="3B9756EE" w:rsidR="00933811" w:rsidRPr="00750BCD" w:rsidRDefault="009F4E90" w:rsidP="009F4E90">
            <w:pPr>
              <w:keepLines w:val="0"/>
              <w:widowControl/>
              <w:jc w:val="right"/>
              <w:rPr>
                <w:rFonts w:ascii="Cambria" w:hAnsi="Cambria" w:cs="Calibri"/>
                <w:color w:val="000000"/>
                <w:sz w:val="20"/>
                <w:lang w:val="es-ES"/>
              </w:rPr>
            </w:pPr>
            <w:r>
              <w:rPr>
                <w:rFonts w:ascii="Cambria" w:hAnsi="Cambria" w:cs="Calibri"/>
                <w:color w:val="000000"/>
                <w:sz w:val="20"/>
                <w:lang w:val="es-ES"/>
              </w:rPr>
              <w:t>47</w:t>
            </w:r>
          </w:p>
        </w:tc>
        <w:tc>
          <w:tcPr>
            <w:tcW w:w="1134" w:type="dxa"/>
            <w:tcBorders>
              <w:top w:val="single" w:sz="8" w:space="0" w:color="auto"/>
              <w:left w:val="single" w:sz="4" w:space="0" w:color="auto"/>
              <w:right w:val="single" w:sz="8" w:space="0" w:color="auto"/>
            </w:tcBorders>
            <w:shd w:val="clear" w:color="auto" w:fill="FFFFFF" w:themeFill="background1"/>
            <w:vAlign w:val="center"/>
            <w:hideMark/>
          </w:tcPr>
          <w:p w14:paraId="560CDECC" w14:textId="07CFE242" w:rsidR="00933811" w:rsidRPr="00750BCD" w:rsidRDefault="00933811" w:rsidP="00750BCD">
            <w:pPr>
              <w:keepLines w:val="0"/>
              <w:widowControl/>
              <w:jc w:val="right"/>
              <w:rPr>
                <w:rFonts w:ascii="Cambria" w:hAnsi="Cambria" w:cs="Calibri"/>
                <w:color w:val="000000"/>
                <w:sz w:val="20"/>
                <w:lang w:val="es-ES"/>
              </w:rPr>
            </w:pPr>
            <w:r w:rsidRPr="00750BCD">
              <w:rPr>
                <w:rFonts w:ascii="Cambria" w:hAnsi="Cambria" w:cs="Calibri"/>
                <w:color w:val="000000"/>
                <w:sz w:val="20"/>
                <w:lang w:val="es-ES"/>
              </w:rPr>
              <w:t>8</w:t>
            </w:r>
          </w:p>
        </w:tc>
        <w:tc>
          <w:tcPr>
            <w:tcW w:w="1134" w:type="dxa"/>
            <w:tcBorders>
              <w:top w:val="single" w:sz="8" w:space="0" w:color="auto"/>
              <w:left w:val="nil"/>
              <w:right w:val="single" w:sz="8" w:space="0" w:color="auto"/>
            </w:tcBorders>
            <w:shd w:val="clear" w:color="auto" w:fill="FFFFFF" w:themeFill="background1"/>
            <w:vAlign w:val="center"/>
            <w:hideMark/>
          </w:tcPr>
          <w:p w14:paraId="46CC1120" w14:textId="37EEBB08" w:rsidR="00933811" w:rsidRPr="00750BCD" w:rsidRDefault="009F4E90" w:rsidP="00750BCD">
            <w:pPr>
              <w:keepLines w:val="0"/>
              <w:widowControl/>
              <w:jc w:val="right"/>
              <w:rPr>
                <w:rFonts w:ascii="Cambria" w:hAnsi="Cambria" w:cs="Calibri"/>
                <w:color w:val="000000"/>
                <w:sz w:val="20"/>
                <w:lang w:val="es-ES"/>
              </w:rPr>
            </w:pPr>
            <w:r>
              <w:rPr>
                <w:rFonts w:ascii="Cambria" w:hAnsi="Cambria" w:cs="Calibri"/>
                <w:color w:val="000000"/>
                <w:sz w:val="20"/>
                <w:lang w:val="es-ES"/>
              </w:rPr>
              <w:t>55</w:t>
            </w:r>
          </w:p>
        </w:tc>
      </w:tr>
      <w:tr w:rsidR="00750BCD" w:rsidRPr="00F8465B" w14:paraId="36C2AACA" w14:textId="77777777" w:rsidTr="009F4E90">
        <w:trPr>
          <w:trHeight w:val="315"/>
        </w:trPr>
        <w:tc>
          <w:tcPr>
            <w:tcW w:w="3969" w:type="dxa"/>
            <w:tcBorders>
              <w:left w:val="single" w:sz="8" w:space="0" w:color="auto"/>
              <w:bottom w:val="single" w:sz="4" w:space="0" w:color="auto"/>
              <w:right w:val="single" w:sz="8" w:space="0" w:color="auto"/>
            </w:tcBorders>
            <w:shd w:val="clear" w:color="auto" w:fill="auto"/>
            <w:vAlign w:val="center"/>
          </w:tcPr>
          <w:p w14:paraId="3883FDC1" w14:textId="772FCB6F" w:rsidR="00750BCD" w:rsidRPr="009F4E90" w:rsidRDefault="009F4E90" w:rsidP="00750BCD">
            <w:pPr>
              <w:keepLines w:val="0"/>
              <w:widowControl/>
              <w:jc w:val="left"/>
              <w:rPr>
                <w:rFonts w:ascii="Cambria" w:hAnsi="Cambria" w:cs="Calibri"/>
                <w:color w:val="000000"/>
                <w:sz w:val="20"/>
                <w:lang w:val="es-ES"/>
              </w:rPr>
            </w:pPr>
            <w:r w:rsidRPr="009F4E90">
              <w:rPr>
                <w:rFonts w:ascii="Cambria" w:hAnsi="Cambria" w:cs="Calibri"/>
                <w:color w:val="000000"/>
                <w:sz w:val="20"/>
                <w:lang w:val="es-ES"/>
              </w:rPr>
              <w:t>Amortizaciones</w:t>
            </w:r>
          </w:p>
        </w:tc>
        <w:tc>
          <w:tcPr>
            <w:tcW w:w="1134" w:type="dxa"/>
            <w:tcBorders>
              <w:left w:val="nil"/>
              <w:bottom w:val="single" w:sz="4" w:space="0" w:color="auto"/>
              <w:right w:val="nil"/>
            </w:tcBorders>
            <w:shd w:val="clear" w:color="auto" w:fill="FFFFFF" w:themeFill="background1"/>
            <w:vAlign w:val="center"/>
          </w:tcPr>
          <w:p w14:paraId="3AAAA4C3" w14:textId="7F9C4FC4" w:rsidR="00750BCD" w:rsidRPr="009F4E90" w:rsidRDefault="009F4E90" w:rsidP="009F4E90">
            <w:pPr>
              <w:keepLines w:val="0"/>
              <w:widowControl/>
              <w:jc w:val="right"/>
              <w:rPr>
                <w:rFonts w:ascii="Cambria" w:hAnsi="Cambria" w:cs="Calibri"/>
                <w:color w:val="000000"/>
                <w:sz w:val="20"/>
                <w:lang w:val="es-ES"/>
              </w:rPr>
            </w:pPr>
            <w:r w:rsidRPr="009F4E90">
              <w:rPr>
                <w:rFonts w:ascii="Cambria" w:hAnsi="Cambria" w:cs="Calibri"/>
                <w:color w:val="000000"/>
                <w:sz w:val="20"/>
                <w:lang w:val="es-ES"/>
              </w:rPr>
              <w:t>(47)</w:t>
            </w:r>
          </w:p>
        </w:tc>
        <w:tc>
          <w:tcPr>
            <w:tcW w:w="1134" w:type="dxa"/>
            <w:tcBorders>
              <w:left w:val="single" w:sz="4" w:space="0" w:color="auto"/>
              <w:bottom w:val="single" w:sz="4" w:space="0" w:color="auto"/>
              <w:right w:val="single" w:sz="8" w:space="0" w:color="auto"/>
            </w:tcBorders>
            <w:shd w:val="clear" w:color="auto" w:fill="FFFFFF" w:themeFill="background1"/>
            <w:vAlign w:val="center"/>
          </w:tcPr>
          <w:p w14:paraId="3F7FA9E7" w14:textId="2AAD0884" w:rsidR="00750BCD" w:rsidRPr="009F4E90" w:rsidRDefault="009F4E90" w:rsidP="009F4E90">
            <w:pPr>
              <w:keepLines w:val="0"/>
              <w:widowControl/>
              <w:jc w:val="center"/>
              <w:rPr>
                <w:rFonts w:ascii="Cambria" w:hAnsi="Cambria" w:cs="Calibri"/>
                <w:color w:val="000000"/>
                <w:sz w:val="20"/>
                <w:lang w:val="es-ES"/>
              </w:rPr>
            </w:pPr>
            <w:r w:rsidRPr="009F4E90">
              <w:rPr>
                <w:rFonts w:ascii="Cambria" w:hAnsi="Cambria" w:cs="Calibri"/>
                <w:color w:val="000000"/>
                <w:sz w:val="20"/>
                <w:lang w:val="es-ES"/>
              </w:rPr>
              <w:t>-</w:t>
            </w:r>
          </w:p>
        </w:tc>
        <w:tc>
          <w:tcPr>
            <w:tcW w:w="1134" w:type="dxa"/>
            <w:tcBorders>
              <w:left w:val="nil"/>
              <w:bottom w:val="single" w:sz="4" w:space="0" w:color="auto"/>
              <w:right w:val="single" w:sz="8" w:space="0" w:color="auto"/>
            </w:tcBorders>
            <w:shd w:val="clear" w:color="auto" w:fill="FFFFFF" w:themeFill="background1"/>
            <w:vAlign w:val="center"/>
          </w:tcPr>
          <w:p w14:paraId="1FA5CD53" w14:textId="4B2C8299" w:rsidR="00750BCD" w:rsidRPr="009F4E90" w:rsidRDefault="009F4E90" w:rsidP="00750BCD">
            <w:pPr>
              <w:keepLines w:val="0"/>
              <w:widowControl/>
              <w:jc w:val="right"/>
              <w:rPr>
                <w:rFonts w:ascii="Cambria" w:hAnsi="Cambria" w:cs="Calibri"/>
                <w:color w:val="000000"/>
                <w:sz w:val="20"/>
                <w:lang w:val="es-ES"/>
              </w:rPr>
            </w:pPr>
            <w:r w:rsidRPr="009F4E90">
              <w:rPr>
                <w:rFonts w:ascii="Cambria" w:hAnsi="Cambria" w:cs="Calibri"/>
                <w:color w:val="000000"/>
                <w:sz w:val="20"/>
                <w:lang w:val="es-ES"/>
              </w:rPr>
              <w:t>(47)</w:t>
            </w:r>
          </w:p>
        </w:tc>
      </w:tr>
      <w:tr w:rsidR="009F4E90" w:rsidRPr="00F8465B" w14:paraId="686FEAEE" w14:textId="77777777" w:rsidTr="00750BCD">
        <w:trPr>
          <w:trHeight w:val="315"/>
        </w:trPr>
        <w:tc>
          <w:tcPr>
            <w:tcW w:w="3969" w:type="dxa"/>
            <w:tcBorders>
              <w:top w:val="single" w:sz="4" w:space="0" w:color="auto"/>
              <w:left w:val="single" w:sz="8" w:space="0" w:color="auto"/>
              <w:bottom w:val="single" w:sz="8" w:space="0" w:color="auto"/>
              <w:right w:val="single" w:sz="8" w:space="0" w:color="auto"/>
            </w:tcBorders>
            <w:shd w:val="clear" w:color="auto" w:fill="auto"/>
            <w:vAlign w:val="center"/>
          </w:tcPr>
          <w:p w14:paraId="7201D14F" w14:textId="20661F2A" w:rsidR="009F4E90" w:rsidRPr="00F8465B" w:rsidRDefault="009F4E90" w:rsidP="009F4E90">
            <w:pPr>
              <w:keepLines w:val="0"/>
              <w:widowControl/>
              <w:jc w:val="left"/>
              <w:rPr>
                <w:rFonts w:ascii="Cambria" w:hAnsi="Cambria" w:cs="Calibri"/>
                <w:b/>
                <w:bCs/>
                <w:color w:val="000000"/>
                <w:sz w:val="20"/>
                <w:lang w:val="es-ES"/>
              </w:rPr>
            </w:pPr>
            <w:r w:rsidRPr="00F8465B">
              <w:rPr>
                <w:rFonts w:ascii="Cambria" w:hAnsi="Cambria" w:cs="Calibri"/>
                <w:b/>
                <w:bCs/>
                <w:color w:val="000000"/>
                <w:sz w:val="20"/>
                <w:lang w:val="es-ES"/>
              </w:rPr>
              <w:t xml:space="preserve">INMOVILIZADO </w:t>
            </w:r>
            <w:r>
              <w:rPr>
                <w:rFonts w:ascii="Cambria" w:hAnsi="Cambria" w:cs="Calibri"/>
                <w:b/>
                <w:bCs/>
                <w:color w:val="000000"/>
                <w:sz w:val="20"/>
                <w:lang w:val="es-ES"/>
              </w:rPr>
              <w:t>IN</w:t>
            </w:r>
            <w:r w:rsidRPr="00F8465B">
              <w:rPr>
                <w:rFonts w:ascii="Cambria" w:hAnsi="Cambria" w:cs="Calibri"/>
                <w:b/>
                <w:bCs/>
                <w:color w:val="000000"/>
                <w:sz w:val="20"/>
                <w:lang w:val="es-ES"/>
              </w:rPr>
              <w:t>MATERIAL</w:t>
            </w:r>
          </w:p>
        </w:tc>
        <w:tc>
          <w:tcPr>
            <w:tcW w:w="1134" w:type="dxa"/>
            <w:tcBorders>
              <w:top w:val="single" w:sz="4" w:space="0" w:color="auto"/>
              <w:left w:val="nil"/>
              <w:bottom w:val="single" w:sz="8" w:space="0" w:color="auto"/>
              <w:right w:val="nil"/>
            </w:tcBorders>
            <w:shd w:val="clear" w:color="auto" w:fill="FFFFFF" w:themeFill="background1"/>
            <w:vAlign w:val="center"/>
          </w:tcPr>
          <w:p w14:paraId="4AC7CB2B" w14:textId="08C65B23" w:rsidR="009F4E90" w:rsidRPr="009F4E90" w:rsidRDefault="009F4E90" w:rsidP="009F4E90">
            <w:pPr>
              <w:keepLines w:val="0"/>
              <w:widowControl/>
              <w:jc w:val="center"/>
              <w:rPr>
                <w:rFonts w:ascii="Cambria" w:hAnsi="Cambria" w:cs="Calibri"/>
                <w:b/>
                <w:bCs/>
                <w:color w:val="000000"/>
                <w:sz w:val="20"/>
                <w:lang w:val="es-ES"/>
              </w:rPr>
            </w:pPr>
            <w:r w:rsidRPr="009F4E90">
              <w:rPr>
                <w:rFonts w:ascii="Cambria" w:hAnsi="Cambria" w:cs="Calibri"/>
                <w:b/>
                <w:bCs/>
                <w:color w:val="000000"/>
                <w:sz w:val="20"/>
                <w:lang w:val="es-ES"/>
              </w:rPr>
              <w:t>-</w:t>
            </w:r>
          </w:p>
        </w:tc>
        <w:tc>
          <w:tcPr>
            <w:tcW w:w="1134"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14:paraId="6DCA1A0B" w14:textId="3CA30F21" w:rsidR="009F4E90" w:rsidRPr="009F4E90" w:rsidRDefault="009F4E90" w:rsidP="009F4E90">
            <w:pPr>
              <w:keepLines w:val="0"/>
              <w:widowControl/>
              <w:jc w:val="right"/>
              <w:rPr>
                <w:rFonts w:ascii="Cambria" w:hAnsi="Cambria" w:cs="Calibri"/>
                <w:b/>
                <w:bCs/>
                <w:color w:val="000000"/>
                <w:sz w:val="20"/>
                <w:lang w:val="es-ES"/>
              </w:rPr>
            </w:pPr>
            <w:r w:rsidRPr="009F4E90">
              <w:rPr>
                <w:rFonts w:ascii="Cambria" w:hAnsi="Cambria" w:cs="Calibri"/>
                <w:b/>
                <w:bCs/>
                <w:color w:val="000000"/>
                <w:sz w:val="20"/>
                <w:lang w:val="es-ES"/>
              </w:rPr>
              <w:t>8</w:t>
            </w:r>
          </w:p>
        </w:tc>
        <w:tc>
          <w:tcPr>
            <w:tcW w:w="1134" w:type="dxa"/>
            <w:tcBorders>
              <w:top w:val="single" w:sz="4" w:space="0" w:color="auto"/>
              <w:left w:val="nil"/>
              <w:bottom w:val="single" w:sz="8" w:space="0" w:color="auto"/>
              <w:right w:val="single" w:sz="8" w:space="0" w:color="auto"/>
            </w:tcBorders>
            <w:shd w:val="clear" w:color="auto" w:fill="FFFFFF" w:themeFill="background1"/>
            <w:vAlign w:val="center"/>
          </w:tcPr>
          <w:p w14:paraId="7D5607A3" w14:textId="56882E6B" w:rsidR="009F4E90" w:rsidRPr="009F4E90" w:rsidRDefault="009F4E90" w:rsidP="009F4E90">
            <w:pPr>
              <w:keepLines w:val="0"/>
              <w:widowControl/>
              <w:jc w:val="right"/>
              <w:rPr>
                <w:rFonts w:ascii="Cambria" w:hAnsi="Cambria" w:cs="Calibri"/>
                <w:b/>
                <w:bCs/>
                <w:color w:val="000000"/>
                <w:sz w:val="20"/>
                <w:lang w:val="es-ES"/>
              </w:rPr>
            </w:pPr>
            <w:r w:rsidRPr="009F4E90">
              <w:rPr>
                <w:rFonts w:ascii="Cambria" w:hAnsi="Cambria" w:cs="Calibri"/>
                <w:b/>
                <w:bCs/>
                <w:color w:val="000000"/>
                <w:sz w:val="20"/>
                <w:lang w:val="es-ES"/>
              </w:rPr>
              <w:t>8</w:t>
            </w:r>
          </w:p>
        </w:tc>
      </w:tr>
    </w:tbl>
    <w:p w14:paraId="487764D3" w14:textId="77777777" w:rsidR="00933811" w:rsidRPr="00933811" w:rsidRDefault="00933811" w:rsidP="00933811">
      <w:pPr>
        <w:rPr>
          <w:lang w:val="es-ES" w:eastAsia="en-US"/>
        </w:rPr>
      </w:pPr>
    </w:p>
    <w:p w14:paraId="46F5DFD3" w14:textId="4301C736" w:rsidR="00933811" w:rsidRPr="004E3529" w:rsidRDefault="00750BCD" w:rsidP="004E3529">
      <w:pPr>
        <w:ind w:left="567"/>
        <w:rPr>
          <w:rFonts w:ascii="Cambria" w:hAnsi="Cambria"/>
          <w:sz w:val="24"/>
          <w:szCs w:val="24"/>
        </w:rPr>
      </w:pPr>
      <w:r w:rsidRPr="004E3529">
        <w:rPr>
          <w:rFonts w:ascii="Cambria" w:hAnsi="Cambria"/>
          <w:sz w:val="24"/>
          <w:szCs w:val="24"/>
        </w:rPr>
        <w:t xml:space="preserve">En el ejercicio 2020 </w:t>
      </w:r>
      <w:r w:rsidR="00C734F0">
        <w:rPr>
          <w:rFonts w:ascii="Cambria" w:hAnsi="Cambria"/>
          <w:sz w:val="24"/>
          <w:szCs w:val="24"/>
        </w:rPr>
        <w:t>l</w:t>
      </w:r>
      <w:r w:rsidRPr="004E3529">
        <w:rPr>
          <w:rFonts w:ascii="Cambria" w:hAnsi="Cambria"/>
          <w:sz w:val="24"/>
          <w:szCs w:val="24"/>
        </w:rPr>
        <w:t xml:space="preserve">a </w:t>
      </w:r>
      <w:r w:rsidR="00C734F0">
        <w:rPr>
          <w:rFonts w:ascii="Cambria" w:hAnsi="Cambria"/>
          <w:sz w:val="24"/>
          <w:szCs w:val="24"/>
        </w:rPr>
        <w:t>S</w:t>
      </w:r>
      <w:r w:rsidRPr="004E3529">
        <w:rPr>
          <w:rFonts w:ascii="Cambria" w:hAnsi="Cambria"/>
          <w:sz w:val="24"/>
          <w:szCs w:val="24"/>
        </w:rPr>
        <w:t xml:space="preserve">ociedad ha adquirido la licencia </w:t>
      </w:r>
      <w:r w:rsidR="004E3529" w:rsidRPr="004E3529">
        <w:rPr>
          <w:rFonts w:ascii="Cambria" w:hAnsi="Cambria"/>
          <w:sz w:val="24"/>
          <w:szCs w:val="24"/>
        </w:rPr>
        <w:t>de</w:t>
      </w:r>
      <w:r w:rsidR="001426AB">
        <w:rPr>
          <w:rFonts w:ascii="Cambria" w:hAnsi="Cambria"/>
          <w:sz w:val="24"/>
          <w:szCs w:val="24"/>
        </w:rPr>
        <w:t xml:space="preserve"> un</w:t>
      </w:r>
      <w:r w:rsidR="004E3529" w:rsidRPr="004E3529">
        <w:rPr>
          <w:rFonts w:ascii="Cambria" w:hAnsi="Cambria"/>
          <w:sz w:val="24"/>
          <w:szCs w:val="24"/>
        </w:rPr>
        <w:t xml:space="preserve"> programa contable.</w:t>
      </w:r>
    </w:p>
    <w:p w14:paraId="26BA8E1E" w14:textId="77777777" w:rsidR="009F4E90" w:rsidRDefault="009F4E90">
      <w:pPr>
        <w:keepLines w:val="0"/>
        <w:widowControl/>
        <w:jc w:val="left"/>
        <w:rPr>
          <w:lang w:val="es-ES" w:eastAsia="en-US"/>
        </w:rPr>
      </w:pPr>
    </w:p>
    <w:p w14:paraId="5DEACEAB" w14:textId="11B43B65" w:rsidR="009F4E90" w:rsidRDefault="009F4E90" w:rsidP="009F4E90">
      <w:pPr>
        <w:ind w:left="567"/>
        <w:rPr>
          <w:rFonts w:ascii="Cambria" w:hAnsi="Cambria"/>
          <w:b/>
          <w:sz w:val="24"/>
          <w:szCs w:val="24"/>
          <w:u w:val="single"/>
        </w:rPr>
      </w:pPr>
      <w:r>
        <w:rPr>
          <w:rFonts w:ascii="Cambria" w:hAnsi="Cambria"/>
          <w:b/>
          <w:sz w:val="24"/>
          <w:szCs w:val="24"/>
          <w:u w:val="single"/>
        </w:rPr>
        <w:t>Ejercicio 2019</w:t>
      </w:r>
      <w:r w:rsidRPr="00325223">
        <w:rPr>
          <w:rFonts w:ascii="Cambria" w:hAnsi="Cambria"/>
          <w:b/>
          <w:sz w:val="24"/>
          <w:szCs w:val="24"/>
          <w:u w:val="single"/>
        </w:rPr>
        <w:t>:</w:t>
      </w:r>
    </w:p>
    <w:p w14:paraId="140751B0" w14:textId="77777777" w:rsidR="009F4E90" w:rsidRDefault="009F4E90" w:rsidP="009F4E90">
      <w:pPr>
        <w:ind w:left="567"/>
        <w:rPr>
          <w:rFonts w:ascii="Cambria" w:hAnsi="Cambria"/>
          <w:b/>
          <w:sz w:val="24"/>
          <w:szCs w:val="24"/>
          <w:u w:val="single"/>
        </w:rPr>
      </w:pPr>
    </w:p>
    <w:tbl>
      <w:tblPr>
        <w:tblW w:w="7371" w:type="dxa"/>
        <w:tblInd w:w="557" w:type="dxa"/>
        <w:tblCellMar>
          <w:left w:w="70" w:type="dxa"/>
          <w:right w:w="70" w:type="dxa"/>
        </w:tblCellMar>
        <w:tblLook w:val="04A0" w:firstRow="1" w:lastRow="0" w:firstColumn="1" w:lastColumn="0" w:noHBand="0" w:noVBand="1"/>
      </w:tblPr>
      <w:tblGrid>
        <w:gridCol w:w="3969"/>
        <w:gridCol w:w="1134"/>
        <w:gridCol w:w="1134"/>
        <w:gridCol w:w="1134"/>
      </w:tblGrid>
      <w:tr w:rsidR="009F4E90" w:rsidRPr="00F8465B" w14:paraId="173DA699" w14:textId="77777777" w:rsidTr="009C01F5">
        <w:trPr>
          <w:trHeight w:val="525"/>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D57F10" w14:textId="4EC51AE0" w:rsidR="009F4E90" w:rsidRPr="00F8465B" w:rsidRDefault="009F4E90" w:rsidP="009F4E90">
            <w:pPr>
              <w:keepLines w:val="0"/>
              <w:widowControl/>
              <w:rPr>
                <w:rFonts w:ascii="Cambria" w:hAnsi="Cambria" w:cs="Calibri"/>
                <w:color w:val="000000"/>
                <w:sz w:val="20"/>
                <w:lang w:val="es-ES"/>
              </w:rPr>
            </w:pPr>
            <w:r w:rsidRPr="00F8465B">
              <w:rPr>
                <w:rFonts w:ascii="Cambria" w:hAnsi="Cambria" w:cs="Calibri"/>
                <w:color w:val="000000"/>
                <w:sz w:val="20"/>
                <w:lang w:val="es-ES"/>
              </w:rPr>
              <w:t> </w:t>
            </w:r>
          </w:p>
        </w:tc>
        <w:tc>
          <w:tcPr>
            <w:tcW w:w="1134" w:type="dxa"/>
            <w:tcBorders>
              <w:top w:val="single" w:sz="8" w:space="0" w:color="auto"/>
              <w:left w:val="nil"/>
              <w:bottom w:val="single" w:sz="8" w:space="0" w:color="auto"/>
              <w:right w:val="nil"/>
            </w:tcBorders>
            <w:shd w:val="clear" w:color="auto" w:fill="FFFFFF" w:themeFill="background1"/>
            <w:vAlign w:val="center"/>
          </w:tcPr>
          <w:p w14:paraId="54787682" w14:textId="6CBF1181" w:rsidR="009F4E90" w:rsidRPr="00750BCD" w:rsidRDefault="009F4E90" w:rsidP="009F4E90">
            <w:pPr>
              <w:keepLines w:val="0"/>
              <w:widowControl/>
              <w:jc w:val="center"/>
              <w:rPr>
                <w:rFonts w:ascii="Cambria" w:hAnsi="Cambria" w:cs="Calibri"/>
                <w:b/>
                <w:bCs/>
                <w:color w:val="000000"/>
                <w:sz w:val="20"/>
                <w:lang w:val="es-ES"/>
              </w:rPr>
            </w:pPr>
            <w:r w:rsidRPr="00750BCD">
              <w:rPr>
                <w:rFonts w:ascii="Cambria" w:hAnsi="Cambria" w:cs="Calibri"/>
                <w:b/>
                <w:bCs/>
                <w:color w:val="000000"/>
                <w:sz w:val="20"/>
                <w:lang w:val="es-ES"/>
              </w:rPr>
              <w:t>Saldo al 31.12.1</w:t>
            </w:r>
            <w:r>
              <w:rPr>
                <w:rFonts w:ascii="Cambria" w:hAnsi="Cambria" w:cs="Calibri"/>
                <w:b/>
                <w:bCs/>
                <w:color w:val="000000"/>
                <w:sz w:val="20"/>
                <w:lang w:val="es-ES"/>
              </w:rPr>
              <w:t>8</w:t>
            </w:r>
          </w:p>
        </w:tc>
        <w:tc>
          <w:tcPr>
            <w:tcW w:w="1134" w:type="dxa"/>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14:paraId="2C673012" w14:textId="0B98A05C" w:rsidR="009F4E90" w:rsidRPr="00750BCD" w:rsidRDefault="009F4E90" w:rsidP="009F4E90">
            <w:pPr>
              <w:keepLines w:val="0"/>
              <w:widowControl/>
              <w:jc w:val="center"/>
              <w:rPr>
                <w:rFonts w:ascii="Cambria" w:hAnsi="Cambria" w:cs="Calibri"/>
                <w:b/>
                <w:bCs/>
                <w:color w:val="000000"/>
                <w:sz w:val="20"/>
                <w:lang w:val="es-ES"/>
              </w:rPr>
            </w:pPr>
            <w:r w:rsidRPr="00750BCD">
              <w:rPr>
                <w:rFonts w:ascii="Cambria" w:hAnsi="Cambria" w:cs="Calibri"/>
                <w:b/>
                <w:bCs/>
                <w:color w:val="000000"/>
                <w:sz w:val="20"/>
                <w:lang w:val="es-ES"/>
              </w:rPr>
              <w:t>Entradas</w:t>
            </w:r>
          </w:p>
        </w:tc>
        <w:tc>
          <w:tcPr>
            <w:tcW w:w="1134" w:type="dxa"/>
            <w:tcBorders>
              <w:top w:val="single" w:sz="8" w:space="0" w:color="auto"/>
              <w:left w:val="nil"/>
              <w:bottom w:val="single" w:sz="8" w:space="0" w:color="auto"/>
              <w:right w:val="single" w:sz="8" w:space="0" w:color="auto"/>
            </w:tcBorders>
            <w:shd w:val="clear" w:color="auto" w:fill="FFFFFF" w:themeFill="background1"/>
            <w:vAlign w:val="center"/>
            <w:hideMark/>
          </w:tcPr>
          <w:p w14:paraId="0DABEA06" w14:textId="0D1BC95D" w:rsidR="009F4E90" w:rsidRPr="00750BCD" w:rsidRDefault="009F4E90" w:rsidP="009F4E90">
            <w:pPr>
              <w:keepLines w:val="0"/>
              <w:widowControl/>
              <w:jc w:val="center"/>
              <w:rPr>
                <w:rFonts w:ascii="Cambria" w:hAnsi="Cambria" w:cs="Calibri"/>
                <w:b/>
                <w:bCs/>
                <w:color w:val="000000"/>
                <w:sz w:val="20"/>
                <w:lang w:val="es-ES"/>
              </w:rPr>
            </w:pPr>
            <w:r w:rsidRPr="00750BCD">
              <w:rPr>
                <w:rFonts w:ascii="Cambria" w:hAnsi="Cambria" w:cs="Calibri"/>
                <w:b/>
                <w:bCs/>
                <w:color w:val="000000"/>
                <w:sz w:val="20"/>
                <w:lang w:val="es-ES"/>
              </w:rPr>
              <w:t>Saldo al 31.12.</w:t>
            </w:r>
            <w:r>
              <w:rPr>
                <w:rFonts w:ascii="Cambria" w:hAnsi="Cambria" w:cs="Calibri"/>
                <w:b/>
                <w:bCs/>
                <w:color w:val="000000"/>
                <w:sz w:val="20"/>
                <w:lang w:val="es-ES"/>
              </w:rPr>
              <w:t>19</w:t>
            </w:r>
          </w:p>
        </w:tc>
      </w:tr>
      <w:tr w:rsidR="009F4E90" w:rsidRPr="00F8465B" w14:paraId="5E3697F3" w14:textId="77777777" w:rsidTr="009F4E90">
        <w:trPr>
          <w:trHeight w:hRule="exact" w:val="312"/>
        </w:trPr>
        <w:tc>
          <w:tcPr>
            <w:tcW w:w="396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32CFAD3" w14:textId="51BCB10C" w:rsidR="009F4E90" w:rsidRPr="00F8465B" w:rsidRDefault="009F4E90" w:rsidP="009F4E90">
            <w:pPr>
              <w:keepLines w:val="0"/>
              <w:widowControl/>
              <w:jc w:val="left"/>
              <w:rPr>
                <w:rFonts w:ascii="Cambria" w:hAnsi="Cambria" w:cs="Calibri"/>
                <w:color w:val="000000"/>
                <w:sz w:val="20"/>
                <w:lang w:val="es-ES"/>
              </w:rPr>
            </w:pPr>
            <w:r>
              <w:rPr>
                <w:rFonts w:ascii="Cambria" w:hAnsi="Cambria" w:cs="Calibri"/>
                <w:color w:val="000000"/>
                <w:sz w:val="20"/>
                <w:lang w:val="es-ES"/>
              </w:rPr>
              <w:t>Aplicaciones informáticas</w:t>
            </w:r>
          </w:p>
        </w:tc>
        <w:tc>
          <w:tcPr>
            <w:tcW w:w="1134" w:type="dxa"/>
            <w:tcBorders>
              <w:top w:val="single" w:sz="8" w:space="0" w:color="auto"/>
              <w:left w:val="nil"/>
              <w:bottom w:val="single" w:sz="4" w:space="0" w:color="auto"/>
              <w:right w:val="nil"/>
            </w:tcBorders>
            <w:shd w:val="clear" w:color="auto" w:fill="FFFFFF" w:themeFill="background1"/>
            <w:vAlign w:val="center"/>
          </w:tcPr>
          <w:p w14:paraId="5F9F2FD1" w14:textId="577AD23F" w:rsidR="009F4E90" w:rsidRPr="00750BCD" w:rsidRDefault="009F4E90" w:rsidP="009F4E90">
            <w:pPr>
              <w:keepLines w:val="0"/>
              <w:widowControl/>
              <w:jc w:val="right"/>
              <w:rPr>
                <w:rFonts w:ascii="Cambria" w:hAnsi="Cambria" w:cs="Calibri"/>
                <w:color w:val="000000"/>
                <w:sz w:val="20"/>
                <w:lang w:val="es-ES"/>
              </w:rPr>
            </w:pPr>
            <w:r>
              <w:rPr>
                <w:rFonts w:ascii="Cambria" w:hAnsi="Cambria" w:cs="Calibri"/>
                <w:color w:val="000000"/>
                <w:sz w:val="20"/>
                <w:lang w:val="es-ES"/>
              </w:rPr>
              <w:t>47</w:t>
            </w:r>
          </w:p>
        </w:tc>
        <w:tc>
          <w:tcPr>
            <w:tcW w:w="1134"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14:paraId="78FA437B" w14:textId="2EDB109D" w:rsidR="009F4E90" w:rsidRPr="00750BCD" w:rsidRDefault="009F4E90" w:rsidP="009F4E90">
            <w:pPr>
              <w:keepLines w:val="0"/>
              <w:widowControl/>
              <w:jc w:val="center"/>
              <w:rPr>
                <w:rFonts w:ascii="Cambria" w:hAnsi="Cambria" w:cs="Calibri"/>
                <w:color w:val="000000"/>
                <w:sz w:val="20"/>
                <w:lang w:val="es-ES"/>
              </w:rPr>
            </w:pPr>
            <w:r>
              <w:rPr>
                <w:rFonts w:ascii="Cambria" w:hAnsi="Cambria" w:cs="Calibri"/>
                <w:color w:val="000000"/>
                <w:sz w:val="20"/>
                <w:lang w:val="es-ES"/>
              </w:rPr>
              <w:t>-</w:t>
            </w:r>
          </w:p>
        </w:tc>
        <w:tc>
          <w:tcPr>
            <w:tcW w:w="1134" w:type="dxa"/>
            <w:tcBorders>
              <w:top w:val="single" w:sz="8" w:space="0" w:color="auto"/>
              <w:left w:val="nil"/>
              <w:bottom w:val="single" w:sz="4" w:space="0" w:color="auto"/>
              <w:right w:val="single" w:sz="8" w:space="0" w:color="auto"/>
            </w:tcBorders>
            <w:shd w:val="clear" w:color="auto" w:fill="FFFFFF" w:themeFill="background1"/>
            <w:vAlign w:val="center"/>
            <w:hideMark/>
          </w:tcPr>
          <w:p w14:paraId="33FBCEBA" w14:textId="115CF64A" w:rsidR="009F4E90" w:rsidRPr="00750BCD" w:rsidRDefault="009F4E90" w:rsidP="009F4E90">
            <w:pPr>
              <w:keepLines w:val="0"/>
              <w:widowControl/>
              <w:jc w:val="right"/>
              <w:rPr>
                <w:rFonts w:ascii="Cambria" w:hAnsi="Cambria" w:cs="Calibri"/>
                <w:color w:val="000000"/>
                <w:sz w:val="20"/>
                <w:lang w:val="es-ES"/>
              </w:rPr>
            </w:pPr>
            <w:r>
              <w:rPr>
                <w:rFonts w:ascii="Cambria" w:hAnsi="Cambria" w:cs="Calibri"/>
                <w:color w:val="000000"/>
                <w:sz w:val="20"/>
                <w:lang w:val="es-ES"/>
              </w:rPr>
              <w:t>47</w:t>
            </w:r>
          </w:p>
        </w:tc>
      </w:tr>
      <w:tr w:rsidR="009F4E90" w:rsidRPr="00F8465B" w14:paraId="755E0A6F" w14:textId="77777777" w:rsidTr="009F4E90">
        <w:trPr>
          <w:trHeight w:val="315"/>
        </w:trPr>
        <w:tc>
          <w:tcPr>
            <w:tcW w:w="396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F703212" w14:textId="022EF574" w:rsidR="009F4E90" w:rsidRPr="00F8465B" w:rsidRDefault="009F4E90" w:rsidP="009F4E90">
            <w:pPr>
              <w:keepLines w:val="0"/>
              <w:widowControl/>
              <w:jc w:val="left"/>
              <w:rPr>
                <w:rFonts w:ascii="Cambria" w:hAnsi="Cambria" w:cs="Calibri"/>
                <w:b/>
                <w:bCs/>
                <w:color w:val="000000"/>
                <w:sz w:val="20"/>
                <w:lang w:val="es-ES"/>
              </w:rPr>
            </w:pPr>
            <w:r w:rsidRPr="0002526B">
              <w:rPr>
                <w:rFonts w:ascii="Cambria" w:hAnsi="Cambria" w:cs="Calibri"/>
                <w:color w:val="000000"/>
                <w:sz w:val="20"/>
                <w:lang w:val="es-ES"/>
              </w:rPr>
              <w:t>Amortizaciones</w:t>
            </w:r>
          </w:p>
        </w:tc>
        <w:tc>
          <w:tcPr>
            <w:tcW w:w="1134" w:type="dxa"/>
            <w:tcBorders>
              <w:top w:val="single" w:sz="4" w:space="0" w:color="auto"/>
              <w:left w:val="nil"/>
              <w:bottom w:val="single" w:sz="4" w:space="0" w:color="auto"/>
              <w:right w:val="nil"/>
            </w:tcBorders>
            <w:shd w:val="clear" w:color="auto" w:fill="FFFFFF" w:themeFill="background1"/>
            <w:vAlign w:val="center"/>
          </w:tcPr>
          <w:p w14:paraId="3E3DD2DA" w14:textId="55436D93" w:rsidR="009F4E90" w:rsidRPr="00750BCD" w:rsidRDefault="009F4E90" w:rsidP="009F4E90">
            <w:pPr>
              <w:keepLines w:val="0"/>
              <w:widowControl/>
              <w:jc w:val="right"/>
              <w:rPr>
                <w:rFonts w:ascii="Cambria" w:hAnsi="Cambria" w:cs="Calibri"/>
                <w:b/>
                <w:bCs/>
                <w:color w:val="000000"/>
                <w:sz w:val="20"/>
                <w:lang w:val="es-ES"/>
              </w:rPr>
            </w:pPr>
            <w:r>
              <w:rPr>
                <w:rFonts w:ascii="Cambria" w:hAnsi="Cambria" w:cs="Calibri"/>
                <w:b/>
                <w:bCs/>
                <w:color w:val="000000"/>
                <w:sz w:val="20"/>
                <w:lang w:val="es-ES"/>
              </w:rPr>
              <w:t>(47)</w:t>
            </w:r>
          </w:p>
        </w:tc>
        <w:tc>
          <w:tcPr>
            <w:tcW w:w="1134"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64CEC7D7" w14:textId="18658348" w:rsidR="009F4E90" w:rsidRPr="00750BCD" w:rsidRDefault="009F4E90" w:rsidP="009F4E90">
            <w:pPr>
              <w:keepLines w:val="0"/>
              <w:widowControl/>
              <w:jc w:val="center"/>
              <w:rPr>
                <w:rFonts w:ascii="Cambria" w:hAnsi="Cambria" w:cs="Calibri"/>
                <w:b/>
                <w:bCs/>
                <w:color w:val="000000"/>
                <w:sz w:val="20"/>
                <w:lang w:val="es-ES"/>
              </w:rPr>
            </w:pPr>
            <w:r>
              <w:rPr>
                <w:rFonts w:ascii="Cambria" w:hAnsi="Cambria" w:cs="Calibri"/>
                <w:b/>
                <w:bCs/>
                <w:color w:val="000000"/>
                <w:sz w:val="20"/>
                <w:lang w:val="es-ES"/>
              </w:rPr>
              <w:t>-</w:t>
            </w:r>
          </w:p>
        </w:tc>
        <w:tc>
          <w:tcPr>
            <w:tcW w:w="1134" w:type="dxa"/>
            <w:tcBorders>
              <w:top w:val="single" w:sz="4" w:space="0" w:color="auto"/>
              <w:left w:val="nil"/>
              <w:bottom w:val="single" w:sz="4" w:space="0" w:color="auto"/>
              <w:right w:val="single" w:sz="8" w:space="0" w:color="auto"/>
            </w:tcBorders>
            <w:shd w:val="clear" w:color="auto" w:fill="FFFFFF" w:themeFill="background1"/>
            <w:vAlign w:val="center"/>
          </w:tcPr>
          <w:p w14:paraId="6BD56A5B" w14:textId="5E979470" w:rsidR="009F4E90" w:rsidRPr="00750BCD" w:rsidRDefault="009F4E90" w:rsidP="009F4E90">
            <w:pPr>
              <w:keepLines w:val="0"/>
              <w:widowControl/>
              <w:jc w:val="right"/>
              <w:rPr>
                <w:rFonts w:ascii="Cambria" w:hAnsi="Cambria" w:cs="Calibri"/>
                <w:b/>
                <w:bCs/>
                <w:color w:val="000000"/>
                <w:sz w:val="20"/>
                <w:lang w:val="es-ES"/>
              </w:rPr>
            </w:pPr>
            <w:r>
              <w:rPr>
                <w:rFonts w:ascii="Cambria" w:hAnsi="Cambria" w:cs="Calibri"/>
                <w:b/>
                <w:bCs/>
                <w:color w:val="000000"/>
                <w:sz w:val="20"/>
                <w:lang w:val="es-ES"/>
              </w:rPr>
              <w:t>(47)</w:t>
            </w:r>
          </w:p>
        </w:tc>
      </w:tr>
      <w:tr w:rsidR="009F4E90" w:rsidRPr="00F8465B" w14:paraId="130C391D" w14:textId="77777777" w:rsidTr="009C01F5">
        <w:trPr>
          <w:trHeight w:val="315"/>
        </w:trPr>
        <w:tc>
          <w:tcPr>
            <w:tcW w:w="3969" w:type="dxa"/>
            <w:tcBorders>
              <w:top w:val="single" w:sz="4" w:space="0" w:color="auto"/>
              <w:left w:val="single" w:sz="8" w:space="0" w:color="auto"/>
              <w:bottom w:val="single" w:sz="8" w:space="0" w:color="auto"/>
              <w:right w:val="single" w:sz="8" w:space="0" w:color="auto"/>
            </w:tcBorders>
            <w:shd w:val="clear" w:color="auto" w:fill="auto"/>
            <w:vAlign w:val="center"/>
          </w:tcPr>
          <w:p w14:paraId="64059A55" w14:textId="7CD93D8C" w:rsidR="009F4E90" w:rsidRPr="0002526B" w:rsidRDefault="009F4E90" w:rsidP="009F4E90">
            <w:pPr>
              <w:keepLines w:val="0"/>
              <w:widowControl/>
              <w:jc w:val="left"/>
              <w:rPr>
                <w:rFonts w:ascii="Cambria" w:hAnsi="Cambria" w:cs="Calibri"/>
                <w:color w:val="000000"/>
                <w:sz w:val="20"/>
                <w:lang w:val="es-ES"/>
              </w:rPr>
            </w:pPr>
            <w:r w:rsidRPr="00F8465B">
              <w:rPr>
                <w:rFonts w:ascii="Cambria" w:hAnsi="Cambria" w:cs="Calibri"/>
                <w:b/>
                <w:bCs/>
                <w:color w:val="000000"/>
                <w:sz w:val="20"/>
                <w:lang w:val="es-ES"/>
              </w:rPr>
              <w:t xml:space="preserve">INMOVILIZADO </w:t>
            </w:r>
            <w:r>
              <w:rPr>
                <w:rFonts w:ascii="Cambria" w:hAnsi="Cambria" w:cs="Calibri"/>
                <w:b/>
                <w:bCs/>
                <w:color w:val="000000"/>
                <w:sz w:val="20"/>
                <w:lang w:val="es-ES"/>
              </w:rPr>
              <w:t>IN</w:t>
            </w:r>
            <w:r w:rsidRPr="00F8465B">
              <w:rPr>
                <w:rFonts w:ascii="Cambria" w:hAnsi="Cambria" w:cs="Calibri"/>
                <w:b/>
                <w:bCs/>
                <w:color w:val="000000"/>
                <w:sz w:val="20"/>
                <w:lang w:val="es-ES"/>
              </w:rPr>
              <w:t>MATERIAL</w:t>
            </w:r>
          </w:p>
        </w:tc>
        <w:tc>
          <w:tcPr>
            <w:tcW w:w="1134" w:type="dxa"/>
            <w:tcBorders>
              <w:top w:val="single" w:sz="4" w:space="0" w:color="auto"/>
              <w:left w:val="nil"/>
              <w:bottom w:val="single" w:sz="8" w:space="0" w:color="auto"/>
              <w:right w:val="nil"/>
            </w:tcBorders>
            <w:shd w:val="clear" w:color="auto" w:fill="FFFFFF" w:themeFill="background1"/>
            <w:vAlign w:val="center"/>
          </w:tcPr>
          <w:p w14:paraId="45FEA6FD" w14:textId="78267369" w:rsidR="009F4E90" w:rsidRPr="00750BCD" w:rsidRDefault="009F4E90" w:rsidP="009F4E90">
            <w:pPr>
              <w:keepLines w:val="0"/>
              <w:widowControl/>
              <w:jc w:val="center"/>
              <w:rPr>
                <w:rFonts w:ascii="Cambria" w:hAnsi="Cambria" w:cs="Calibri"/>
                <w:b/>
                <w:bCs/>
                <w:color w:val="000000"/>
                <w:sz w:val="20"/>
                <w:lang w:val="es-ES"/>
              </w:rPr>
            </w:pPr>
            <w:r>
              <w:rPr>
                <w:rFonts w:ascii="Cambria" w:hAnsi="Cambria" w:cs="Calibri"/>
                <w:b/>
                <w:bCs/>
                <w:color w:val="000000"/>
                <w:sz w:val="20"/>
                <w:lang w:val="es-ES"/>
              </w:rPr>
              <w:t>-</w:t>
            </w:r>
          </w:p>
        </w:tc>
        <w:tc>
          <w:tcPr>
            <w:tcW w:w="1134"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14:paraId="55591844" w14:textId="76268478" w:rsidR="009F4E90" w:rsidRDefault="009F4E90" w:rsidP="009F4E90">
            <w:pPr>
              <w:keepLines w:val="0"/>
              <w:widowControl/>
              <w:jc w:val="center"/>
              <w:rPr>
                <w:rFonts w:ascii="Cambria" w:hAnsi="Cambria" w:cs="Calibri"/>
                <w:b/>
                <w:bCs/>
                <w:color w:val="000000"/>
                <w:sz w:val="20"/>
                <w:lang w:val="es-ES"/>
              </w:rPr>
            </w:pPr>
            <w:r>
              <w:rPr>
                <w:rFonts w:ascii="Cambria" w:hAnsi="Cambria" w:cs="Calibri"/>
                <w:b/>
                <w:bCs/>
                <w:color w:val="000000"/>
                <w:sz w:val="20"/>
                <w:lang w:val="es-ES"/>
              </w:rPr>
              <w:t>-</w:t>
            </w:r>
          </w:p>
        </w:tc>
        <w:tc>
          <w:tcPr>
            <w:tcW w:w="1134" w:type="dxa"/>
            <w:tcBorders>
              <w:top w:val="single" w:sz="4" w:space="0" w:color="auto"/>
              <w:left w:val="nil"/>
              <w:bottom w:val="single" w:sz="8" w:space="0" w:color="auto"/>
              <w:right w:val="single" w:sz="8" w:space="0" w:color="auto"/>
            </w:tcBorders>
            <w:shd w:val="clear" w:color="auto" w:fill="FFFFFF" w:themeFill="background1"/>
            <w:vAlign w:val="center"/>
          </w:tcPr>
          <w:p w14:paraId="5604D92B" w14:textId="3EB4DD37" w:rsidR="009F4E90" w:rsidRPr="00750BCD" w:rsidRDefault="009F4E90" w:rsidP="009F4E90">
            <w:pPr>
              <w:keepLines w:val="0"/>
              <w:widowControl/>
              <w:jc w:val="center"/>
              <w:rPr>
                <w:rFonts w:ascii="Cambria" w:hAnsi="Cambria" w:cs="Calibri"/>
                <w:b/>
                <w:bCs/>
                <w:color w:val="000000"/>
                <w:sz w:val="20"/>
                <w:lang w:val="es-ES"/>
              </w:rPr>
            </w:pPr>
            <w:r>
              <w:rPr>
                <w:rFonts w:ascii="Cambria" w:hAnsi="Cambria" w:cs="Calibri"/>
                <w:b/>
                <w:bCs/>
                <w:color w:val="000000"/>
                <w:sz w:val="20"/>
                <w:lang w:val="es-ES"/>
              </w:rPr>
              <w:t>-</w:t>
            </w:r>
          </w:p>
        </w:tc>
      </w:tr>
    </w:tbl>
    <w:p w14:paraId="36AF7B16" w14:textId="48029929" w:rsidR="008C0D8E" w:rsidRDefault="008C0D8E">
      <w:pPr>
        <w:keepLines w:val="0"/>
        <w:widowControl/>
        <w:jc w:val="left"/>
        <w:rPr>
          <w:lang w:val="es-ES" w:eastAsia="en-US"/>
        </w:rPr>
      </w:pPr>
      <w:r>
        <w:rPr>
          <w:lang w:val="es-ES" w:eastAsia="en-US"/>
        </w:rPr>
        <w:br w:type="page"/>
      </w:r>
    </w:p>
    <w:p w14:paraId="469D70EB" w14:textId="77777777" w:rsidR="00750BCD" w:rsidRPr="00750BCD" w:rsidRDefault="00750BCD" w:rsidP="00750BCD">
      <w:pPr>
        <w:rPr>
          <w:lang w:val="es-ES" w:eastAsia="en-US"/>
        </w:rPr>
      </w:pPr>
    </w:p>
    <w:p w14:paraId="2AA0B2B7" w14:textId="1F9C36FA" w:rsidR="004C126B" w:rsidRPr="00F8465B" w:rsidRDefault="004C126B" w:rsidP="00900794">
      <w:pPr>
        <w:pStyle w:val="Ttulo4"/>
        <w:widowControl/>
        <w:numPr>
          <w:ilvl w:val="0"/>
          <w:numId w:val="3"/>
        </w:numPr>
        <w:tabs>
          <w:tab w:val="clear" w:pos="360"/>
          <w:tab w:val="left" w:pos="-448"/>
          <w:tab w:val="num" w:pos="567"/>
        </w:tabs>
        <w:spacing w:before="0" w:after="0"/>
        <w:ind w:left="567" w:right="2268" w:hanging="567"/>
        <w:jc w:val="left"/>
        <w:rPr>
          <w:rFonts w:ascii="Cambria" w:hAnsi="Cambria"/>
          <w:kern w:val="28"/>
          <w:sz w:val="24"/>
          <w:szCs w:val="24"/>
          <w:u w:val="single"/>
          <w:lang w:val="es-ES" w:eastAsia="en-US"/>
        </w:rPr>
      </w:pPr>
      <w:r w:rsidRPr="00F8465B">
        <w:rPr>
          <w:rFonts w:ascii="Cambria" w:hAnsi="Cambria"/>
          <w:kern w:val="28"/>
          <w:sz w:val="24"/>
          <w:szCs w:val="24"/>
          <w:u w:val="single"/>
          <w:lang w:val="es-ES" w:eastAsia="en-US"/>
        </w:rPr>
        <w:t>Inmovilizado material</w:t>
      </w:r>
    </w:p>
    <w:p w14:paraId="71F4F2CA" w14:textId="77777777" w:rsidR="00D14B56" w:rsidRPr="00F8465B" w:rsidRDefault="00D14B56" w:rsidP="0024783F">
      <w:pPr>
        <w:rPr>
          <w:rFonts w:ascii="Cambria" w:hAnsi="Cambria"/>
          <w:sz w:val="24"/>
          <w:szCs w:val="24"/>
          <w:lang w:val="es-ES" w:eastAsia="en-US"/>
        </w:rPr>
      </w:pPr>
    </w:p>
    <w:p w14:paraId="5D132731" w14:textId="3B3A7F71" w:rsidR="00B30831" w:rsidRDefault="00D14B56" w:rsidP="00B30831">
      <w:pPr>
        <w:ind w:left="567"/>
        <w:rPr>
          <w:rFonts w:ascii="Cambria" w:hAnsi="Cambria"/>
          <w:b/>
          <w:sz w:val="24"/>
          <w:szCs w:val="24"/>
          <w:u w:val="single"/>
        </w:rPr>
      </w:pPr>
      <w:r w:rsidRPr="00F8465B">
        <w:rPr>
          <w:rFonts w:ascii="Cambria" w:hAnsi="Cambria"/>
          <w:sz w:val="24"/>
          <w:szCs w:val="24"/>
        </w:rPr>
        <w:t xml:space="preserve">El movimiento habido, </w:t>
      </w:r>
      <w:r w:rsidR="00BC577B" w:rsidRPr="00F8465B">
        <w:rPr>
          <w:rFonts w:ascii="Cambria" w:hAnsi="Cambria"/>
          <w:sz w:val="24"/>
          <w:szCs w:val="24"/>
        </w:rPr>
        <w:t xml:space="preserve">en </w:t>
      </w:r>
      <w:r w:rsidR="00483BB2" w:rsidRPr="00F8465B">
        <w:rPr>
          <w:rFonts w:ascii="Cambria" w:hAnsi="Cambria"/>
          <w:sz w:val="24"/>
          <w:szCs w:val="24"/>
        </w:rPr>
        <w:t>los</w:t>
      </w:r>
      <w:r w:rsidR="00BC577B" w:rsidRPr="00F8465B">
        <w:rPr>
          <w:rFonts w:ascii="Cambria" w:hAnsi="Cambria"/>
          <w:sz w:val="24"/>
          <w:szCs w:val="24"/>
        </w:rPr>
        <w:t xml:space="preserve"> ejercicio</w:t>
      </w:r>
      <w:r w:rsidR="00483BB2" w:rsidRPr="00F8465B">
        <w:rPr>
          <w:rFonts w:ascii="Cambria" w:hAnsi="Cambria"/>
          <w:sz w:val="24"/>
          <w:szCs w:val="24"/>
        </w:rPr>
        <w:t>s 20</w:t>
      </w:r>
      <w:r w:rsidR="00D3457D">
        <w:rPr>
          <w:rFonts w:ascii="Cambria" w:hAnsi="Cambria"/>
          <w:sz w:val="24"/>
          <w:szCs w:val="24"/>
        </w:rPr>
        <w:t>20</w:t>
      </w:r>
      <w:r w:rsidR="00483BB2" w:rsidRPr="00F8465B">
        <w:rPr>
          <w:rFonts w:ascii="Cambria" w:hAnsi="Cambria"/>
          <w:sz w:val="24"/>
          <w:szCs w:val="24"/>
        </w:rPr>
        <w:t xml:space="preserve"> y 201</w:t>
      </w:r>
      <w:r w:rsidR="00D3457D">
        <w:rPr>
          <w:rFonts w:ascii="Cambria" w:hAnsi="Cambria"/>
          <w:sz w:val="24"/>
          <w:szCs w:val="24"/>
        </w:rPr>
        <w:t>9</w:t>
      </w:r>
      <w:r w:rsidR="00A93B07" w:rsidRPr="00F8465B">
        <w:rPr>
          <w:rFonts w:ascii="Cambria" w:hAnsi="Cambria"/>
          <w:sz w:val="24"/>
          <w:szCs w:val="24"/>
        </w:rPr>
        <w:t>,</w:t>
      </w:r>
      <w:r w:rsidR="00BC577B" w:rsidRPr="00F8465B">
        <w:rPr>
          <w:rFonts w:ascii="Cambria" w:hAnsi="Cambria"/>
          <w:sz w:val="24"/>
          <w:szCs w:val="24"/>
        </w:rPr>
        <w:t xml:space="preserve"> ha sido el siguiente</w:t>
      </w:r>
      <w:r w:rsidR="00483BB2" w:rsidRPr="00F8465B">
        <w:rPr>
          <w:rFonts w:ascii="Cambria" w:hAnsi="Cambria"/>
          <w:sz w:val="24"/>
          <w:szCs w:val="24"/>
        </w:rPr>
        <w:t xml:space="preserve"> (en miles de euros)</w:t>
      </w:r>
      <w:r w:rsidR="00BC577B" w:rsidRPr="00F8465B">
        <w:rPr>
          <w:rFonts w:ascii="Cambria" w:hAnsi="Cambria"/>
          <w:sz w:val="24"/>
          <w:szCs w:val="24"/>
        </w:rPr>
        <w:t>:</w:t>
      </w:r>
      <w:r w:rsidR="00B30831" w:rsidRPr="00B30831">
        <w:rPr>
          <w:rFonts w:ascii="Cambria" w:hAnsi="Cambria"/>
          <w:b/>
          <w:sz w:val="24"/>
          <w:szCs w:val="24"/>
          <w:u w:val="single"/>
        </w:rPr>
        <w:t xml:space="preserve"> </w:t>
      </w:r>
    </w:p>
    <w:p w14:paraId="42D36DB9" w14:textId="77777777" w:rsidR="00B30831" w:rsidRDefault="00B30831" w:rsidP="00B30831">
      <w:pPr>
        <w:ind w:left="567"/>
        <w:rPr>
          <w:rFonts w:ascii="Cambria" w:hAnsi="Cambria"/>
          <w:b/>
          <w:sz w:val="24"/>
          <w:szCs w:val="24"/>
          <w:u w:val="single"/>
        </w:rPr>
      </w:pPr>
    </w:p>
    <w:p w14:paraId="442533C4" w14:textId="038FB23D" w:rsidR="00B30831" w:rsidRDefault="001015E4" w:rsidP="00B30831">
      <w:pPr>
        <w:ind w:left="567"/>
        <w:rPr>
          <w:rFonts w:ascii="Cambria" w:hAnsi="Cambria"/>
          <w:b/>
          <w:sz w:val="24"/>
          <w:szCs w:val="24"/>
          <w:u w:val="single"/>
        </w:rPr>
      </w:pPr>
      <w:r>
        <w:rPr>
          <w:rFonts w:ascii="Cambria" w:hAnsi="Cambria"/>
          <w:b/>
          <w:sz w:val="24"/>
          <w:szCs w:val="24"/>
          <w:u w:val="single"/>
        </w:rPr>
        <w:t>Ejercicio 20</w:t>
      </w:r>
      <w:r w:rsidR="0094281F">
        <w:rPr>
          <w:rFonts w:ascii="Cambria" w:hAnsi="Cambria"/>
          <w:b/>
          <w:sz w:val="24"/>
          <w:szCs w:val="24"/>
          <w:u w:val="single"/>
        </w:rPr>
        <w:t>20</w:t>
      </w:r>
      <w:r w:rsidR="00B30831" w:rsidRPr="00325223">
        <w:rPr>
          <w:rFonts w:ascii="Cambria" w:hAnsi="Cambria"/>
          <w:b/>
          <w:sz w:val="24"/>
          <w:szCs w:val="24"/>
          <w:u w:val="single"/>
        </w:rPr>
        <w:t>:</w:t>
      </w:r>
    </w:p>
    <w:p w14:paraId="623FACB5" w14:textId="40D64D04" w:rsidR="00F379C8" w:rsidRDefault="00F379C8" w:rsidP="00B30831">
      <w:pPr>
        <w:ind w:left="567"/>
        <w:rPr>
          <w:rFonts w:ascii="Cambria" w:hAnsi="Cambria"/>
          <w:b/>
          <w:sz w:val="24"/>
          <w:szCs w:val="24"/>
          <w:u w:val="single"/>
        </w:rPr>
      </w:pPr>
    </w:p>
    <w:tbl>
      <w:tblPr>
        <w:tblW w:w="7371" w:type="dxa"/>
        <w:tblInd w:w="557" w:type="dxa"/>
        <w:tblCellMar>
          <w:left w:w="70" w:type="dxa"/>
          <w:right w:w="70" w:type="dxa"/>
        </w:tblCellMar>
        <w:tblLook w:val="04A0" w:firstRow="1" w:lastRow="0" w:firstColumn="1" w:lastColumn="0" w:noHBand="0" w:noVBand="1"/>
      </w:tblPr>
      <w:tblGrid>
        <w:gridCol w:w="3969"/>
        <w:gridCol w:w="1134"/>
        <w:gridCol w:w="1134"/>
        <w:gridCol w:w="1134"/>
      </w:tblGrid>
      <w:tr w:rsidR="001015E4" w:rsidRPr="00F8465B" w14:paraId="7ED36553" w14:textId="77777777" w:rsidTr="001015E4">
        <w:trPr>
          <w:trHeight w:val="525"/>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D19909" w14:textId="77777777" w:rsidR="001015E4" w:rsidRPr="00F8465B" w:rsidRDefault="001015E4" w:rsidP="001015E4">
            <w:pPr>
              <w:keepLines w:val="0"/>
              <w:widowControl/>
              <w:rPr>
                <w:rFonts w:ascii="Cambria" w:hAnsi="Cambria" w:cs="Calibri"/>
                <w:color w:val="000000"/>
                <w:sz w:val="20"/>
                <w:lang w:val="es-ES"/>
              </w:rPr>
            </w:pPr>
            <w:r w:rsidRPr="00F8465B">
              <w:rPr>
                <w:rFonts w:ascii="Cambria" w:hAnsi="Cambria" w:cs="Calibri"/>
                <w:color w:val="000000"/>
                <w:sz w:val="20"/>
                <w:lang w:val="es-ES"/>
              </w:rPr>
              <w:t> </w:t>
            </w:r>
          </w:p>
        </w:tc>
        <w:tc>
          <w:tcPr>
            <w:tcW w:w="1134" w:type="dxa"/>
            <w:tcBorders>
              <w:top w:val="single" w:sz="8" w:space="0" w:color="auto"/>
              <w:left w:val="nil"/>
              <w:bottom w:val="single" w:sz="8" w:space="0" w:color="auto"/>
              <w:right w:val="nil"/>
            </w:tcBorders>
            <w:vAlign w:val="center"/>
          </w:tcPr>
          <w:p w14:paraId="2B99F79F" w14:textId="62383DDD" w:rsidR="001015E4" w:rsidRPr="00F8465B" w:rsidRDefault="001015E4" w:rsidP="001015E4">
            <w:pPr>
              <w:keepLines w:val="0"/>
              <w:widowControl/>
              <w:jc w:val="center"/>
              <w:rPr>
                <w:rFonts w:ascii="Cambria" w:hAnsi="Cambria" w:cs="Calibri"/>
                <w:b/>
                <w:bCs/>
                <w:color w:val="000000"/>
                <w:sz w:val="20"/>
                <w:lang w:val="es-ES"/>
              </w:rPr>
            </w:pPr>
            <w:r w:rsidRPr="00F8465B">
              <w:rPr>
                <w:rFonts w:ascii="Cambria" w:hAnsi="Cambria" w:cs="Calibri"/>
                <w:b/>
                <w:bCs/>
                <w:color w:val="000000"/>
                <w:sz w:val="20"/>
                <w:lang w:val="es-ES"/>
              </w:rPr>
              <w:t>Saldo al 31.12.1</w:t>
            </w:r>
            <w:r w:rsidR="00D3457D">
              <w:rPr>
                <w:rFonts w:ascii="Cambria" w:hAnsi="Cambria" w:cs="Calibri"/>
                <w:b/>
                <w:bCs/>
                <w:color w:val="000000"/>
                <w:sz w:val="20"/>
                <w:lang w:val="es-ES"/>
              </w:rPr>
              <w:t>9</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99CBF81" w14:textId="77777777" w:rsidR="001015E4" w:rsidRPr="00933811" w:rsidRDefault="001015E4" w:rsidP="001015E4">
            <w:pPr>
              <w:keepLines w:val="0"/>
              <w:widowControl/>
              <w:jc w:val="center"/>
              <w:rPr>
                <w:rFonts w:ascii="Cambria" w:hAnsi="Cambria" w:cs="Calibri"/>
                <w:b/>
                <w:bCs/>
                <w:color w:val="000000"/>
                <w:sz w:val="20"/>
                <w:lang w:val="es-ES"/>
              </w:rPr>
            </w:pPr>
            <w:r w:rsidRPr="00933811">
              <w:rPr>
                <w:rFonts w:ascii="Cambria" w:hAnsi="Cambria" w:cs="Calibri"/>
                <w:b/>
                <w:bCs/>
                <w:color w:val="000000"/>
                <w:sz w:val="20"/>
                <w:lang w:val="es-ES"/>
              </w:rPr>
              <w:t>Entradas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D6B777A" w14:textId="0118ACCA" w:rsidR="001015E4" w:rsidRPr="00933811" w:rsidRDefault="001015E4" w:rsidP="001015E4">
            <w:pPr>
              <w:keepLines w:val="0"/>
              <w:widowControl/>
              <w:jc w:val="center"/>
              <w:rPr>
                <w:rFonts w:ascii="Cambria" w:hAnsi="Cambria" w:cs="Calibri"/>
                <w:b/>
                <w:bCs/>
                <w:color w:val="000000"/>
                <w:sz w:val="20"/>
                <w:lang w:val="es-ES"/>
              </w:rPr>
            </w:pPr>
            <w:r w:rsidRPr="00933811">
              <w:rPr>
                <w:rFonts w:ascii="Cambria" w:hAnsi="Cambria" w:cs="Calibri"/>
                <w:b/>
                <w:bCs/>
                <w:color w:val="000000"/>
                <w:sz w:val="20"/>
                <w:lang w:val="es-ES"/>
              </w:rPr>
              <w:t>Saldo al 31.12.</w:t>
            </w:r>
            <w:r w:rsidR="00D3457D" w:rsidRPr="00933811">
              <w:rPr>
                <w:rFonts w:ascii="Cambria" w:hAnsi="Cambria" w:cs="Calibri"/>
                <w:b/>
                <w:bCs/>
                <w:color w:val="000000"/>
                <w:sz w:val="20"/>
                <w:lang w:val="es-ES"/>
              </w:rPr>
              <w:t>20</w:t>
            </w:r>
          </w:p>
        </w:tc>
      </w:tr>
      <w:tr w:rsidR="00D3457D" w:rsidRPr="00F8465B" w14:paraId="11281CF8" w14:textId="77777777" w:rsidTr="001015E4">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0EE31179" w14:textId="77777777" w:rsidR="00D3457D" w:rsidRPr="00F8465B" w:rsidRDefault="00D3457D" w:rsidP="00D3457D">
            <w:pPr>
              <w:keepLines w:val="0"/>
              <w:widowControl/>
              <w:jc w:val="left"/>
              <w:rPr>
                <w:rFonts w:ascii="Cambria" w:hAnsi="Cambria" w:cs="Calibri"/>
                <w:color w:val="000000"/>
                <w:sz w:val="20"/>
                <w:lang w:val="es-ES"/>
              </w:rPr>
            </w:pPr>
            <w:r w:rsidRPr="00F8465B">
              <w:rPr>
                <w:rFonts w:ascii="Cambria" w:hAnsi="Cambria" w:cs="Calibri"/>
                <w:color w:val="000000"/>
                <w:sz w:val="20"/>
                <w:lang w:val="es-ES"/>
              </w:rPr>
              <w:t>Terrenos y bienes naturales</w:t>
            </w:r>
          </w:p>
        </w:tc>
        <w:tc>
          <w:tcPr>
            <w:tcW w:w="1134" w:type="dxa"/>
            <w:tcBorders>
              <w:top w:val="nil"/>
              <w:left w:val="nil"/>
              <w:bottom w:val="nil"/>
              <w:right w:val="nil"/>
            </w:tcBorders>
            <w:vAlign w:val="center"/>
          </w:tcPr>
          <w:p w14:paraId="147A8623" w14:textId="1B2B7F58" w:rsidR="00D3457D" w:rsidRPr="00F8465B" w:rsidRDefault="00D3457D" w:rsidP="00D3457D">
            <w:pPr>
              <w:keepLines w:val="0"/>
              <w:widowControl/>
              <w:jc w:val="right"/>
              <w:rPr>
                <w:rFonts w:ascii="Cambria" w:hAnsi="Cambria" w:cs="Calibri"/>
                <w:color w:val="000000"/>
                <w:sz w:val="20"/>
                <w:lang w:val="es-ES"/>
              </w:rPr>
            </w:pPr>
            <w:r w:rsidRPr="00F8465B">
              <w:rPr>
                <w:rFonts w:ascii="Cambria" w:hAnsi="Cambria" w:cs="Calibri"/>
                <w:color w:val="000000"/>
                <w:sz w:val="20"/>
                <w:lang w:val="es-ES"/>
              </w:rPr>
              <w:t>90</w:t>
            </w:r>
          </w:p>
        </w:tc>
        <w:tc>
          <w:tcPr>
            <w:tcW w:w="1134" w:type="dxa"/>
            <w:tcBorders>
              <w:top w:val="nil"/>
              <w:left w:val="single" w:sz="4" w:space="0" w:color="auto"/>
              <w:bottom w:val="nil"/>
              <w:right w:val="single" w:sz="8" w:space="0" w:color="auto"/>
            </w:tcBorders>
            <w:shd w:val="clear" w:color="auto" w:fill="auto"/>
            <w:vAlign w:val="center"/>
            <w:hideMark/>
          </w:tcPr>
          <w:p w14:paraId="0D621B60" w14:textId="77777777" w:rsidR="00D3457D" w:rsidRPr="00933811" w:rsidRDefault="00D3457D" w:rsidP="00D3457D">
            <w:pPr>
              <w:keepLines w:val="0"/>
              <w:widowControl/>
              <w:jc w:val="center"/>
              <w:rPr>
                <w:rFonts w:ascii="Cambria" w:hAnsi="Cambria" w:cs="Calibri"/>
                <w:color w:val="000000"/>
                <w:sz w:val="20"/>
                <w:lang w:val="es-ES"/>
              </w:rPr>
            </w:pPr>
            <w:r w:rsidRPr="00933811">
              <w:rPr>
                <w:rFonts w:ascii="Cambria" w:hAnsi="Cambria" w:cs="Calibri"/>
                <w:color w:val="000000"/>
                <w:sz w:val="20"/>
                <w:lang w:val="es-ES"/>
              </w:rPr>
              <w:t>-</w:t>
            </w:r>
          </w:p>
        </w:tc>
        <w:tc>
          <w:tcPr>
            <w:tcW w:w="1134" w:type="dxa"/>
            <w:tcBorders>
              <w:top w:val="nil"/>
              <w:left w:val="nil"/>
              <w:bottom w:val="nil"/>
              <w:right w:val="single" w:sz="8" w:space="0" w:color="auto"/>
            </w:tcBorders>
            <w:shd w:val="clear" w:color="auto" w:fill="auto"/>
            <w:vAlign w:val="center"/>
            <w:hideMark/>
          </w:tcPr>
          <w:p w14:paraId="07C0F949" w14:textId="77777777" w:rsidR="00D3457D" w:rsidRPr="00933811" w:rsidRDefault="00D3457D" w:rsidP="00D3457D">
            <w:pPr>
              <w:keepLines w:val="0"/>
              <w:widowControl/>
              <w:jc w:val="right"/>
              <w:rPr>
                <w:rFonts w:ascii="Cambria" w:hAnsi="Cambria" w:cs="Calibri"/>
                <w:color w:val="000000"/>
                <w:sz w:val="20"/>
                <w:lang w:val="es-ES"/>
              </w:rPr>
            </w:pPr>
            <w:r w:rsidRPr="00933811">
              <w:rPr>
                <w:rFonts w:ascii="Cambria" w:hAnsi="Cambria" w:cs="Calibri"/>
                <w:color w:val="000000"/>
                <w:sz w:val="20"/>
                <w:lang w:val="es-ES"/>
              </w:rPr>
              <w:t>90</w:t>
            </w:r>
          </w:p>
        </w:tc>
      </w:tr>
      <w:tr w:rsidR="00D3457D" w:rsidRPr="00F8465B" w14:paraId="6B54371E" w14:textId="77777777" w:rsidTr="001015E4">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4AEC1974" w14:textId="77777777" w:rsidR="00D3457D" w:rsidRPr="00F8465B" w:rsidRDefault="00D3457D" w:rsidP="00D3457D">
            <w:pPr>
              <w:keepLines w:val="0"/>
              <w:widowControl/>
              <w:jc w:val="left"/>
              <w:rPr>
                <w:rFonts w:ascii="Cambria" w:hAnsi="Cambria" w:cs="Calibri"/>
                <w:color w:val="000000"/>
                <w:sz w:val="20"/>
                <w:lang w:val="es-ES"/>
              </w:rPr>
            </w:pPr>
            <w:r w:rsidRPr="00F8465B">
              <w:rPr>
                <w:rFonts w:ascii="Cambria" w:hAnsi="Cambria" w:cs="Calibri"/>
                <w:color w:val="000000"/>
                <w:sz w:val="20"/>
                <w:lang w:val="es-ES"/>
              </w:rPr>
              <w:t>Construcciones</w:t>
            </w:r>
          </w:p>
        </w:tc>
        <w:tc>
          <w:tcPr>
            <w:tcW w:w="1134" w:type="dxa"/>
            <w:tcBorders>
              <w:top w:val="nil"/>
              <w:left w:val="nil"/>
              <w:bottom w:val="nil"/>
              <w:right w:val="nil"/>
            </w:tcBorders>
            <w:vAlign w:val="center"/>
          </w:tcPr>
          <w:p w14:paraId="1D41AE00" w14:textId="00DE7589" w:rsidR="00D3457D" w:rsidRPr="00F8465B" w:rsidRDefault="00D3457D" w:rsidP="00D3457D">
            <w:pPr>
              <w:keepLines w:val="0"/>
              <w:widowControl/>
              <w:jc w:val="right"/>
              <w:rPr>
                <w:rFonts w:ascii="Cambria" w:hAnsi="Cambria" w:cs="Calibri"/>
                <w:color w:val="000000"/>
                <w:sz w:val="20"/>
                <w:lang w:val="es-ES"/>
              </w:rPr>
            </w:pPr>
            <w:r w:rsidRPr="00F8465B">
              <w:rPr>
                <w:rFonts w:ascii="Cambria" w:hAnsi="Cambria" w:cs="Calibri"/>
                <w:color w:val="000000"/>
                <w:sz w:val="20"/>
                <w:lang w:val="es-ES"/>
              </w:rPr>
              <w:t>2.568</w:t>
            </w:r>
          </w:p>
        </w:tc>
        <w:tc>
          <w:tcPr>
            <w:tcW w:w="1134" w:type="dxa"/>
            <w:tcBorders>
              <w:top w:val="nil"/>
              <w:left w:val="single" w:sz="4" w:space="0" w:color="auto"/>
              <w:bottom w:val="nil"/>
              <w:right w:val="single" w:sz="8" w:space="0" w:color="auto"/>
            </w:tcBorders>
            <w:shd w:val="clear" w:color="auto" w:fill="auto"/>
            <w:vAlign w:val="center"/>
            <w:hideMark/>
          </w:tcPr>
          <w:p w14:paraId="3C768B54" w14:textId="77777777" w:rsidR="00D3457D" w:rsidRPr="00933811" w:rsidRDefault="00D3457D" w:rsidP="00D3457D">
            <w:pPr>
              <w:keepLines w:val="0"/>
              <w:widowControl/>
              <w:jc w:val="center"/>
              <w:rPr>
                <w:rFonts w:ascii="Cambria" w:hAnsi="Cambria" w:cs="Calibri"/>
                <w:color w:val="000000"/>
                <w:sz w:val="20"/>
                <w:lang w:val="es-ES"/>
              </w:rPr>
            </w:pPr>
            <w:r w:rsidRPr="00933811">
              <w:rPr>
                <w:rFonts w:ascii="Cambria" w:hAnsi="Cambria" w:cs="Calibri"/>
                <w:color w:val="000000"/>
                <w:sz w:val="20"/>
                <w:lang w:val="es-ES"/>
              </w:rPr>
              <w:t>-</w:t>
            </w:r>
          </w:p>
        </w:tc>
        <w:tc>
          <w:tcPr>
            <w:tcW w:w="1134" w:type="dxa"/>
            <w:tcBorders>
              <w:top w:val="nil"/>
              <w:left w:val="nil"/>
              <w:bottom w:val="nil"/>
              <w:right w:val="single" w:sz="8" w:space="0" w:color="auto"/>
            </w:tcBorders>
            <w:shd w:val="clear" w:color="auto" w:fill="auto"/>
            <w:vAlign w:val="center"/>
            <w:hideMark/>
          </w:tcPr>
          <w:p w14:paraId="2ACBE671" w14:textId="77777777" w:rsidR="00D3457D" w:rsidRPr="00933811" w:rsidRDefault="00D3457D" w:rsidP="00D3457D">
            <w:pPr>
              <w:keepLines w:val="0"/>
              <w:widowControl/>
              <w:jc w:val="right"/>
              <w:rPr>
                <w:rFonts w:ascii="Cambria" w:hAnsi="Cambria" w:cs="Calibri"/>
                <w:color w:val="000000"/>
                <w:sz w:val="20"/>
                <w:lang w:val="es-ES"/>
              </w:rPr>
            </w:pPr>
            <w:r w:rsidRPr="00933811">
              <w:rPr>
                <w:rFonts w:ascii="Cambria" w:hAnsi="Cambria" w:cs="Calibri"/>
                <w:color w:val="000000"/>
                <w:sz w:val="20"/>
                <w:lang w:val="es-ES"/>
              </w:rPr>
              <w:t>2.568</w:t>
            </w:r>
          </w:p>
        </w:tc>
      </w:tr>
      <w:tr w:rsidR="00D3457D" w:rsidRPr="00F8465B" w14:paraId="3A71BD29" w14:textId="77777777" w:rsidTr="001015E4">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18D37156" w14:textId="77777777" w:rsidR="00D3457D" w:rsidRPr="00F8465B" w:rsidRDefault="00D3457D" w:rsidP="00D3457D">
            <w:pPr>
              <w:keepLines w:val="0"/>
              <w:widowControl/>
              <w:jc w:val="left"/>
              <w:rPr>
                <w:rFonts w:ascii="Cambria" w:hAnsi="Cambria" w:cs="Calibri"/>
                <w:color w:val="000000"/>
                <w:sz w:val="20"/>
                <w:lang w:val="es-ES"/>
              </w:rPr>
            </w:pPr>
            <w:r w:rsidRPr="00F8465B">
              <w:rPr>
                <w:rFonts w:ascii="Cambria" w:hAnsi="Cambria" w:cs="Calibri"/>
                <w:color w:val="000000"/>
                <w:sz w:val="20"/>
                <w:lang w:val="es-ES"/>
              </w:rPr>
              <w:t>Amortizaciones</w:t>
            </w:r>
          </w:p>
        </w:tc>
        <w:tc>
          <w:tcPr>
            <w:tcW w:w="1134" w:type="dxa"/>
            <w:tcBorders>
              <w:top w:val="nil"/>
              <w:left w:val="nil"/>
              <w:bottom w:val="nil"/>
              <w:right w:val="nil"/>
            </w:tcBorders>
            <w:vAlign w:val="center"/>
          </w:tcPr>
          <w:p w14:paraId="1DA2AD76" w14:textId="19B39D0C" w:rsidR="00D3457D" w:rsidRPr="00F8465B" w:rsidRDefault="00D3457D" w:rsidP="00D3457D">
            <w:pPr>
              <w:keepLines w:val="0"/>
              <w:widowControl/>
              <w:jc w:val="right"/>
              <w:rPr>
                <w:rFonts w:ascii="Cambria" w:hAnsi="Cambria" w:cs="Calibri"/>
                <w:color w:val="000000"/>
                <w:sz w:val="20"/>
                <w:lang w:val="es-ES"/>
              </w:rPr>
            </w:pPr>
            <w:r w:rsidRPr="00F8465B">
              <w:rPr>
                <w:rFonts w:ascii="Cambria" w:hAnsi="Cambria" w:cs="Calibri"/>
                <w:color w:val="000000"/>
                <w:sz w:val="20"/>
                <w:lang w:val="es-ES"/>
              </w:rPr>
              <w:t>(1.820)</w:t>
            </w:r>
          </w:p>
        </w:tc>
        <w:tc>
          <w:tcPr>
            <w:tcW w:w="1134" w:type="dxa"/>
            <w:tcBorders>
              <w:top w:val="nil"/>
              <w:left w:val="single" w:sz="4" w:space="0" w:color="auto"/>
              <w:bottom w:val="nil"/>
              <w:right w:val="single" w:sz="8" w:space="0" w:color="auto"/>
            </w:tcBorders>
            <w:shd w:val="clear" w:color="auto" w:fill="auto"/>
            <w:vAlign w:val="center"/>
            <w:hideMark/>
          </w:tcPr>
          <w:p w14:paraId="2A41F7D3" w14:textId="77777777" w:rsidR="00D3457D" w:rsidRPr="00933811" w:rsidRDefault="00D3457D" w:rsidP="00D3457D">
            <w:pPr>
              <w:keepLines w:val="0"/>
              <w:widowControl/>
              <w:jc w:val="center"/>
              <w:rPr>
                <w:rFonts w:ascii="Cambria" w:hAnsi="Cambria" w:cs="Calibri"/>
                <w:color w:val="000000"/>
                <w:sz w:val="20"/>
                <w:lang w:val="es-ES"/>
              </w:rPr>
            </w:pPr>
            <w:r w:rsidRPr="00933811">
              <w:rPr>
                <w:rFonts w:ascii="Cambria" w:hAnsi="Cambria" w:cs="Calibri"/>
                <w:color w:val="000000"/>
                <w:sz w:val="20"/>
                <w:lang w:val="es-ES"/>
              </w:rPr>
              <w:t>-</w:t>
            </w:r>
          </w:p>
        </w:tc>
        <w:tc>
          <w:tcPr>
            <w:tcW w:w="1134" w:type="dxa"/>
            <w:tcBorders>
              <w:top w:val="nil"/>
              <w:left w:val="nil"/>
              <w:bottom w:val="nil"/>
              <w:right w:val="single" w:sz="8" w:space="0" w:color="auto"/>
            </w:tcBorders>
            <w:shd w:val="clear" w:color="auto" w:fill="auto"/>
            <w:vAlign w:val="center"/>
            <w:hideMark/>
          </w:tcPr>
          <w:p w14:paraId="3FCD1A2B" w14:textId="77777777" w:rsidR="00D3457D" w:rsidRPr="00933811" w:rsidRDefault="00D3457D" w:rsidP="00D3457D">
            <w:pPr>
              <w:keepLines w:val="0"/>
              <w:widowControl/>
              <w:jc w:val="right"/>
              <w:rPr>
                <w:rFonts w:ascii="Cambria" w:hAnsi="Cambria" w:cs="Calibri"/>
                <w:color w:val="000000"/>
                <w:sz w:val="20"/>
                <w:lang w:val="es-ES"/>
              </w:rPr>
            </w:pPr>
            <w:r w:rsidRPr="00933811">
              <w:rPr>
                <w:rFonts w:ascii="Cambria" w:hAnsi="Cambria" w:cs="Calibri"/>
                <w:color w:val="000000"/>
                <w:sz w:val="20"/>
                <w:lang w:val="es-ES"/>
              </w:rPr>
              <w:t>(1.820)</w:t>
            </w:r>
          </w:p>
        </w:tc>
      </w:tr>
      <w:tr w:rsidR="00D3457D" w:rsidRPr="00F8465B" w14:paraId="1A65F7B3" w14:textId="77777777" w:rsidTr="001015E4">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3872AA0F" w14:textId="67013F84" w:rsidR="00D3457D" w:rsidRPr="00F8465B" w:rsidRDefault="00D3457D" w:rsidP="00D3457D">
            <w:pPr>
              <w:keepLines w:val="0"/>
              <w:widowControl/>
              <w:jc w:val="left"/>
              <w:rPr>
                <w:rFonts w:ascii="Cambria" w:hAnsi="Cambria" w:cs="Calibri"/>
                <w:color w:val="000000"/>
                <w:sz w:val="20"/>
                <w:lang w:val="es-ES"/>
              </w:rPr>
            </w:pPr>
            <w:r>
              <w:rPr>
                <w:rFonts w:ascii="Cambria" w:hAnsi="Cambria" w:cs="Calibri"/>
                <w:color w:val="000000"/>
                <w:sz w:val="20"/>
                <w:lang w:val="es-ES"/>
              </w:rPr>
              <w:t>Deterioro</w:t>
            </w:r>
          </w:p>
        </w:tc>
        <w:tc>
          <w:tcPr>
            <w:tcW w:w="1134" w:type="dxa"/>
            <w:tcBorders>
              <w:top w:val="nil"/>
              <w:left w:val="nil"/>
              <w:bottom w:val="nil"/>
              <w:right w:val="nil"/>
            </w:tcBorders>
            <w:vAlign w:val="center"/>
          </w:tcPr>
          <w:p w14:paraId="6E01F883" w14:textId="0411B635" w:rsidR="00D3457D" w:rsidRPr="00F8465B" w:rsidRDefault="00D3457D" w:rsidP="00D3457D">
            <w:pPr>
              <w:keepLines w:val="0"/>
              <w:widowControl/>
              <w:jc w:val="right"/>
              <w:rPr>
                <w:rFonts w:ascii="Cambria" w:hAnsi="Cambria" w:cs="Calibri"/>
                <w:color w:val="000000"/>
                <w:sz w:val="20"/>
                <w:lang w:val="es-ES"/>
              </w:rPr>
            </w:pPr>
            <w:r w:rsidRPr="00F8465B">
              <w:rPr>
                <w:rFonts w:ascii="Cambria" w:hAnsi="Cambria" w:cs="Calibri"/>
                <w:color w:val="000000"/>
                <w:sz w:val="20"/>
                <w:lang w:val="es-ES"/>
              </w:rPr>
              <w:t>(687)</w:t>
            </w:r>
          </w:p>
        </w:tc>
        <w:tc>
          <w:tcPr>
            <w:tcW w:w="1134" w:type="dxa"/>
            <w:tcBorders>
              <w:top w:val="nil"/>
              <w:left w:val="single" w:sz="4" w:space="0" w:color="auto"/>
              <w:bottom w:val="nil"/>
              <w:right w:val="single" w:sz="8" w:space="0" w:color="auto"/>
            </w:tcBorders>
            <w:shd w:val="clear" w:color="auto" w:fill="auto"/>
            <w:vAlign w:val="center"/>
            <w:hideMark/>
          </w:tcPr>
          <w:p w14:paraId="797ADE17" w14:textId="77777777" w:rsidR="00D3457D" w:rsidRPr="00933811" w:rsidRDefault="00D3457D" w:rsidP="00D3457D">
            <w:pPr>
              <w:keepLines w:val="0"/>
              <w:widowControl/>
              <w:jc w:val="center"/>
              <w:rPr>
                <w:rFonts w:ascii="Cambria" w:hAnsi="Cambria" w:cs="Calibri"/>
                <w:color w:val="000000"/>
                <w:sz w:val="20"/>
                <w:lang w:val="es-ES"/>
              </w:rPr>
            </w:pPr>
            <w:r w:rsidRPr="00933811">
              <w:rPr>
                <w:rFonts w:ascii="Cambria" w:hAnsi="Cambria" w:cs="Calibri"/>
                <w:color w:val="000000"/>
                <w:sz w:val="20"/>
                <w:lang w:val="es-ES"/>
              </w:rPr>
              <w:t>-</w:t>
            </w:r>
          </w:p>
        </w:tc>
        <w:tc>
          <w:tcPr>
            <w:tcW w:w="1134" w:type="dxa"/>
            <w:tcBorders>
              <w:top w:val="nil"/>
              <w:left w:val="nil"/>
              <w:bottom w:val="nil"/>
              <w:right w:val="single" w:sz="8" w:space="0" w:color="auto"/>
            </w:tcBorders>
            <w:shd w:val="clear" w:color="auto" w:fill="auto"/>
            <w:vAlign w:val="center"/>
            <w:hideMark/>
          </w:tcPr>
          <w:p w14:paraId="79A7188E" w14:textId="77777777" w:rsidR="00D3457D" w:rsidRPr="00933811" w:rsidRDefault="00D3457D" w:rsidP="00D3457D">
            <w:pPr>
              <w:keepLines w:val="0"/>
              <w:widowControl/>
              <w:jc w:val="right"/>
              <w:rPr>
                <w:rFonts w:ascii="Cambria" w:hAnsi="Cambria" w:cs="Calibri"/>
                <w:color w:val="000000"/>
                <w:sz w:val="20"/>
                <w:lang w:val="es-ES"/>
              </w:rPr>
            </w:pPr>
            <w:r w:rsidRPr="00933811">
              <w:rPr>
                <w:rFonts w:ascii="Cambria" w:hAnsi="Cambria" w:cs="Calibri"/>
                <w:color w:val="000000"/>
                <w:sz w:val="20"/>
                <w:lang w:val="es-ES"/>
              </w:rPr>
              <w:t>(687)</w:t>
            </w:r>
          </w:p>
        </w:tc>
      </w:tr>
      <w:tr w:rsidR="00D3457D" w:rsidRPr="00F8465B" w14:paraId="566AB87C" w14:textId="77777777" w:rsidTr="001015E4">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54DC4819" w14:textId="58FD74C1" w:rsidR="00D3457D" w:rsidRPr="00F8465B" w:rsidRDefault="005B1D74" w:rsidP="00D3457D">
            <w:pPr>
              <w:keepLines w:val="0"/>
              <w:widowControl/>
              <w:jc w:val="left"/>
              <w:rPr>
                <w:rFonts w:ascii="Cambria" w:hAnsi="Cambria" w:cs="Calibri"/>
                <w:b/>
                <w:bCs/>
                <w:color w:val="000000"/>
                <w:sz w:val="20"/>
                <w:lang w:val="es-ES"/>
              </w:rPr>
            </w:pPr>
            <w:r w:rsidRPr="00F8465B">
              <w:rPr>
                <w:rFonts w:ascii="Cambria" w:hAnsi="Cambria" w:cs="Calibri"/>
                <w:b/>
                <w:bCs/>
                <w:color w:val="000000"/>
                <w:sz w:val="20"/>
                <w:lang w:val="es-ES"/>
              </w:rPr>
              <w:t>Terrenos y</w:t>
            </w:r>
            <w:r w:rsidR="00D3457D" w:rsidRPr="00F8465B">
              <w:rPr>
                <w:rFonts w:ascii="Cambria" w:hAnsi="Cambria" w:cs="Calibri"/>
                <w:b/>
                <w:bCs/>
                <w:color w:val="000000"/>
                <w:sz w:val="20"/>
                <w:lang w:val="es-ES"/>
              </w:rPr>
              <w:t xml:space="preserve"> construcciones</w:t>
            </w:r>
          </w:p>
        </w:tc>
        <w:tc>
          <w:tcPr>
            <w:tcW w:w="1134" w:type="dxa"/>
            <w:tcBorders>
              <w:top w:val="nil"/>
              <w:left w:val="nil"/>
              <w:bottom w:val="nil"/>
              <w:right w:val="nil"/>
            </w:tcBorders>
            <w:vAlign w:val="center"/>
          </w:tcPr>
          <w:p w14:paraId="25EC1C65" w14:textId="13687909" w:rsidR="00D3457D" w:rsidRPr="00F8465B" w:rsidRDefault="00D3457D" w:rsidP="00D3457D">
            <w:pPr>
              <w:keepLines w:val="0"/>
              <w:widowControl/>
              <w:jc w:val="right"/>
              <w:rPr>
                <w:rFonts w:ascii="Cambria" w:hAnsi="Cambria" w:cs="Calibri"/>
                <w:b/>
                <w:bCs/>
                <w:color w:val="000000"/>
                <w:sz w:val="20"/>
                <w:lang w:val="es-ES"/>
              </w:rPr>
            </w:pPr>
            <w:r w:rsidRPr="00F8465B">
              <w:rPr>
                <w:rFonts w:ascii="Cambria" w:hAnsi="Cambria" w:cs="Calibri"/>
                <w:b/>
                <w:bCs/>
                <w:color w:val="000000"/>
                <w:sz w:val="20"/>
                <w:lang w:val="es-ES"/>
              </w:rPr>
              <w:t>151</w:t>
            </w:r>
          </w:p>
        </w:tc>
        <w:tc>
          <w:tcPr>
            <w:tcW w:w="1134" w:type="dxa"/>
            <w:tcBorders>
              <w:top w:val="nil"/>
              <w:left w:val="single" w:sz="4" w:space="0" w:color="auto"/>
              <w:bottom w:val="nil"/>
              <w:right w:val="single" w:sz="8" w:space="0" w:color="auto"/>
            </w:tcBorders>
            <w:shd w:val="clear" w:color="auto" w:fill="auto"/>
            <w:vAlign w:val="center"/>
            <w:hideMark/>
          </w:tcPr>
          <w:p w14:paraId="5F939E89" w14:textId="77777777" w:rsidR="00D3457D" w:rsidRPr="00933811" w:rsidRDefault="00D3457D" w:rsidP="00D3457D">
            <w:pPr>
              <w:keepLines w:val="0"/>
              <w:widowControl/>
              <w:jc w:val="center"/>
              <w:rPr>
                <w:rFonts w:ascii="Cambria" w:hAnsi="Cambria" w:cs="Calibri"/>
                <w:b/>
                <w:bCs/>
                <w:color w:val="000000"/>
                <w:sz w:val="20"/>
                <w:lang w:val="es-ES"/>
              </w:rPr>
            </w:pPr>
            <w:r w:rsidRPr="00933811">
              <w:rPr>
                <w:rFonts w:ascii="Cambria" w:hAnsi="Cambria" w:cs="Calibri"/>
                <w:b/>
                <w:bCs/>
                <w:color w:val="000000"/>
                <w:sz w:val="20"/>
                <w:lang w:val="es-ES"/>
              </w:rPr>
              <w:t>-</w:t>
            </w:r>
          </w:p>
        </w:tc>
        <w:tc>
          <w:tcPr>
            <w:tcW w:w="1134" w:type="dxa"/>
            <w:tcBorders>
              <w:top w:val="nil"/>
              <w:left w:val="nil"/>
              <w:bottom w:val="nil"/>
              <w:right w:val="single" w:sz="8" w:space="0" w:color="auto"/>
            </w:tcBorders>
            <w:shd w:val="clear" w:color="auto" w:fill="auto"/>
            <w:vAlign w:val="center"/>
            <w:hideMark/>
          </w:tcPr>
          <w:p w14:paraId="3D35DCF7" w14:textId="77777777" w:rsidR="00D3457D" w:rsidRPr="00933811" w:rsidRDefault="00D3457D" w:rsidP="00D3457D">
            <w:pPr>
              <w:keepLines w:val="0"/>
              <w:widowControl/>
              <w:jc w:val="right"/>
              <w:rPr>
                <w:rFonts w:ascii="Cambria" w:hAnsi="Cambria" w:cs="Calibri"/>
                <w:b/>
                <w:bCs/>
                <w:color w:val="000000"/>
                <w:sz w:val="20"/>
                <w:lang w:val="es-ES"/>
              </w:rPr>
            </w:pPr>
            <w:r w:rsidRPr="00933811">
              <w:rPr>
                <w:rFonts w:ascii="Cambria" w:hAnsi="Cambria" w:cs="Calibri"/>
                <w:b/>
                <w:bCs/>
                <w:color w:val="000000"/>
                <w:sz w:val="20"/>
                <w:lang w:val="es-ES"/>
              </w:rPr>
              <w:t>151</w:t>
            </w:r>
          </w:p>
        </w:tc>
      </w:tr>
      <w:tr w:rsidR="00D3457D" w:rsidRPr="00F8465B" w14:paraId="62683293" w14:textId="77777777" w:rsidTr="001015E4">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57345532" w14:textId="77777777" w:rsidR="00D3457D" w:rsidRPr="00F8465B" w:rsidRDefault="00D3457D" w:rsidP="00D3457D">
            <w:pPr>
              <w:keepLines w:val="0"/>
              <w:widowControl/>
              <w:jc w:val="left"/>
              <w:rPr>
                <w:rFonts w:ascii="Cambria" w:hAnsi="Cambria" w:cs="Calibri"/>
                <w:color w:val="000000"/>
                <w:sz w:val="20"/>
                <w:lang w:val="es-ES"/>
              </w:rPr>
            </w:pPr>
            <w:r w:rsidRPr="00F8465B">
              <w:rPr>
                <w:rFonts w:ascii="Cambria" w:hAnsi="Cambria" w:cs="Calibri"/>
                <w:color w:val="000000"/>
                <w:sz w:val="20"/>
                <w:lang w:val="es-ES"/>
              </w:rPr>
              <w:t>Instalaciones técnicas y otro inmovilizado</w:t>
            </w:r>
          </w:p>
        </w:tc>
        <w:tc>
          <w:tcPr>
            <w:tcW w:w="1134" w:type="dxa"/>
            <w:tcBorders>
              <w:top w:val="nil"/>
              <w:left w:val="nil"/>
              <w:bottom w:val="nil"/>
              <w:right w:val="nil"/>
            </w:tcBorders>
            <w:vAlign w:val="center"/>
          </w:tcPr>
          <w:p w14:paraId="169C5CC3" w14:textId="2DBAA7C8" w:rsidR="00D3457D" w:rsidRDefault="00D3457D" w:rsidP="00D3457D">
            <w:pPr>
              <w:keepLines w:val="0"/>
              <w:widowControl/>
              <w:jc w:val="right"/>
              <w:rPr>
                <w:rFonts w:ascii="Cambria" w:hAnsi="Cambria" w:cs="Calibri"/>
                <w:color w:val="000000"/>
                <w:sz w:val="20"/>
                <w:lang w:val="es-ES"/>
              </w:rPr>
            </w:pPr>
            <w:r>
              <w:rPr>
                <w:rFonts w:ascii="Cambria" w:hAnsi="Cambria" w:cs="Arial"/>
                <w:color w:val="000000"/>
                <w:sz w:val="20"/>
              </w:rPr>
              <w:t>16.502</w:t>
            </w:r>
          </w:p>
        </w:tc>
        <w:tc>
          <w:tcPr>
            <w:tcW w:w="1134" w:type="dxa"/>
            <w:tcBorders>
              <w:top w:val="nil"/>
              <w:left w:val="single" w:sz="4" w:space="0" w:color="auto"/>
              <w:bottom w:val="nil"/>
              <w:right w:val="single" w:sz="8" w:space="0" w:color="auto"/>
            </w:tcBorders>
            <w:shd w:val="clear" w:color="auto" w:fill="auto"/>
            <w:vAlign w:val="center"/>
            <w:hideMark/>
          </w:tcPr>
          <w:p w14:paraId="7F1BCD38" w14:textId="1E1E53DC" w:rsidR="00D3457D" w:rsidRPr="00933811" w:rsidRDefault="00757C8B" w:rsidP="00D3457D">
            <w:pPr>
              <w:keepLines w:val="0"/>
              <w:widowControl/>
              <w:jc w:val="right"/>
              <w:rPr>
                <w:rFonts w:ascii="Cambria" w:hAnsi="Cambria" w:cs="Calibri"/>
                <w:color w:val="000000"/>
                <w:sz w:val="20"/>
                <w:lang w:val="es-ES"/>
              </w:rPr>
            </w:pPr>
            <w:r>
              <w:rPr>
                <w:rFonts w:ascii="Cambria" w:hAnsi="Cambria" w:cs="Calibri"/>
                <w:color w:val="000000"/>
                <w:sz w:val="20"/>
              </w:rPr>
              <w:t>9</w:t>
            </w:r>
          </w:p>
        </w:tc>
        <w:tc>
          <w:tcPr>
            <w:tcW w:w="1134" w:type="dxa"/>
            <w:tcBorders>
              <w:top w:val="nil"/>
              <w:left w:val="nil"/>
              <w:bottom w:val="nil"/>
              <w:right w:val="single" w:sz="8" w:space="0" w:color="auto"/>
            </w:tcBorders>
            <w:shd w:val="clear" w:color="auto" w:fill="auto"/>
            <w:vAlign w:val="center"/>
            <w:hideMark/>
          </w:tcPr>
          <w:p w14:paraId="689CCCC3" w14:textId="733DBE56" w:rsidR="00D3457D" w:rsidRPr="00933811" w:rsidRDefault="00D3457D" w:rsidP="00D3457D">
            <w:pPr>
              <w:keepLines w:val="0"/>
              <w:widowControl/>
              <w:jc w:val="right"/>
              <w:rPr>
                <w:rFonts w:ascii="Cambria" w:hAnsi="Cambria" w:cs="Calibri"/>
                <w:color w:val="000000"/>
                <w:sz w:val="20"/>
                <w:lang w:val="es-ES"/>
              </w:rPr>
            </w:pPr>
            <w:r w:rsidRPr="00933811">
              <w:rPr>
                <w:rFonts w:ascii="Cambria" w:hAnsi="Cambria" w:cs="Arial"/>
                <w:color w:val="000000"/>
                <w:sz w:val="20"/>
              </w:rPr>
              <w:t>16.5</w:t>
            </w:r>
            <w:r w:rsidR="00933811" w:rsidRPr="00933811">
              <w:rPr>
                <w:rFonts w:ascii="Cambria" w:hAnsi="Cambria" w:cs="Arial"/>
                <w:color w:val="000000"/>
                <w:sz w:val="20"/>
              </w:rPr>
              <w:t>1</w:t>
            </w:r>
            <w:r w:rsidR="00172475">
              <w:rPr>
                <w:rFonts w:ascii="Cambria" w:hAnsi="Cambria" w:cs="Arial"/>
                <w:color w:val="000000"/>
                <w:sz w:val="20"/>
              </w:rPr>
              <w:t>1</w:t>
            </w:r>
          </w:p>
        </w:tc>
      </w:tr>
      <w:tr w:rsidR="00D3457D" w:rsidRPr="00F8465B" w14:paraId="17208B4E" w14:textId="77777777" w:rsidTr="001015E4">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52691428" w14:textId="77777777" w:rsidR="00D3457D" w:rsidRPr="00F8465B" w:rsidRDefault="00D3457D" w:rsidP="00D3457D">
            <w:pPr>
              <w:keepLines w:val="0"/>
              <w:widowControl/>
              <w:jc w:val="left"/>
              <w:rPr>
                <w:rFonts w:ascii="Cambria" w:hAnsi="Cambria" w:cs="Calibri"/>
                <w:color w:val="000000"/>
                <w:sz w:val="20"/>
                <w:lang w:val="es-ES"/>
              </w:rPr>
            </w:pPr>
            <w:r w:rsidRPr="00F8465B">
              <w:rPr>
                <w:rFonts w:ascii="Cambria" w:hAnsi="Cambria" w:cs="Calibri"/>
                <w:color w:val="000000"/>
                <w:sz w:val="20"/>
                <w:lang w:val="es-ES"/>
              </w:rPr>
              <w:t>Amortizaciones</w:t>
            </w:r>
          </w:p>
        </w:tc>
        <w:tc>
          <w:tcPr>
            <w:tcW w:w="1134" w:type="dxa"/>
            <w:tcBorders>
              <w:top w:val="nil"/>
              <w:left w:val="nil"/>
              <w:bottom w:val="nil"/>
              <w:right w:val="nil"/>
            </w:tcBorders>
            <w:vAlign w:val="center"/>
          </w:tcPr>
          <w:p w14:paraId="0945137F" w14:textId="1E0C385A" w:rsidR="00D3457D" w:rsidRDefault="00D3457D" w:rsidP="00D3457D">
            <w:pPr>
              <w:keepLines w:val="0"/>
              <w:widowControl/>
              <w:jc w:val="right"/>
              <w:rPr>
                <w:rFonts w:ascii="Cambria" w:hAnsi="Cambria" w:cs="Calibri"/>
                <w:color w:val="000000"/>
                <w:sz w:val="20"/>
                <w:lang w:val="es-ES"/>
              </w:rPr>
            </w:pPr>
            <w:r>
              <w:rPr>
                <w:rFonts w:ascii="Cambria" w:hAnsi="Cambria" w:cs="Arial"/>
                <w:color w:val="000000"/>
                <w:sz w:val="20"/>
              </w:rPr>
              <w:t>(16.069)</w:t>
            </w:r>
          </w:p>
        </w:tc>
        <w:tc>
          <w:tcPr>
            <w:tcW w:w="1134" w:type="dxa"/>
            <w:tcBorders>
              <w:top w:val="nil"/>
              <w:left w:val="single" w:sz="4" w:space="0" w:color="auto"/>
              <w:bottom w:val="nil"/>
              <w:right w:val="single" w:sz="8" w:space="0" w:color="auto"/>
            </w:tcBorders>
            <w:shd w:val="clear" w:color="auto" w:fill="auto"/>
            <w:vAlign w:val="center"/>
            <w:hideMark/>
          </w:tcPr>
          <w:p w14:paraId="73985F8A" w14:textId="3BA04907" w:rsidR="00D3457D" w:rsidRPr="00933811" w:rsidRDefault="00D3457D" w:rsidP="00D3457D">
            <w:pPr>
              <w:keepLines w:val="0"/>
              <w:widowControl/>
              <w:jc w:val="right"/>
              <w:rPr>
                <w:rFonts w:ascii="Cambria" w:hAnsi="Cambria" w:cs="Calibri"/>
                <w:color w:val="000000"/>
                <w:sz w:val="20"/>
                <w:lang w:val="es-ES"/>
              </w:rPr>
            </w:pPr>
            <w:r w:rsidRPr="00933811">
              <w:rPr>
                <w:rFonts w:ascii="Cambria" w:hAnsi="Cambria" w:cs="Arial"/>
                <w:color w:val="000000"/>
                <w:sz w:val="20"/>
              </w:rPr>
              <w:t>(</w:t>
            </w:r>
            <w:r w:rsidR="00757C8B">
              <w:rPr>
                <w:rFonts w:ascii="Cambria" w:hAnsi="Cambria" w:cs="Arial"/>
                <w:color w:val="000000"/>
                <w:sz w:val="20"/>
              </w:rPr>
              <w:t>6</w:t>
            </w:r>
            <w:r w:rsidRPr="00933811">
              <w:rPr>
                <w:rFonts w:ascii="Cambria" w:hAnsi="Cambria" w:cs="Arial"/>
                <w:color w:val="000000"/>
                <w:sz w:val="20"/>
              </w:rPr>
              <w:t>)</w:t>
            </w:r>
          </w:p>
        </w:tc>
        <w:tc>
          <w:tcPr>
            <w:tcW w:w="1134" w:type="dxa"/>
            <w:tcBorders>
              <w:top w:val="nil"/>
              <w:left w:val="nil"/>
              <w:bottom w:val="nil"/>
              <w:right w:val="single" w:sz="8" w:space="0" w:color="auto"/>
            </w:tcBorders>
            <w:shd w:val="clear" w:color="auto" w:fill="auto"/>
            <w:vAlign w:val="center"/>
            <w:hideMark/>
          </w:tcPr>
          <w:p w14:paraId="37962BF1" w14:textId="1C5F5E87" w:rsidR="00D3457D" w:rsidRPr="00933811" w:rsidRDefault="00D3457D" w:rsidP="00D3457D">
            <w:pPr>
              <w:keepLines w:val="0"/>
              <w:widowControl/>
              <w:jc w:val="right"/>
              <w:rPr>
                <w:rFonts w:ascii="Cambria" w:hAnsi="Cambria" w:cs="Calibri"/>
                <w:color w:val="000000"/>
                <w:sz w:val="20"/>
                <w:lang w:val="es-ES"/>
              </w:rPr>
            </w:pPr>
            <w:r w:rsidRPr="00933811">
              <w:rPr>
                <w:rFonts w:ascii="Cambria" w:hAnsi="Cambria" w:cs="Arial"/>
                <w:color w:val="000000"/>
                <w:sz w:val="20"/>
              </w:rPr>
              <w:t>(16.0</w:t>
            </w:r>
            <w:r w:rsidR="00933811" w:rsidRPr="00933811">
              <w:rPr>
                <w:rFonts w:ascii="Cambria" w:hAnsi="Cambria" w:cs="Arial"/>
                <w:color w:val="000000"/>
                <w:sz w:val="20"/>
              </w:rPr>
              <w:t>7</w:t>
            </w:r>
            <w:r w:rsidR="00172475">
              <w:rPr>
                <w:rFonts w:ascii="Cambria" w:hAnsi="Cambria" w:cs="Arial"/>
                <w:color w:val="000000"/>
                <w:sz w:val="20"/>
              </w:rPr>
              <w:t>5</w:t>
            </w:r>
            <w:r w:rsidRPr="00933811">
              <w:rPr>
                <w:rFonts w:ascii="Cambria" w:hAnsi="Cambria" w:cs="Arial"/>
                <w:color w:val="000000"/>
                <w:sz w:val="20"/>
              </w:rPr>
              <w:t>)</w:t>
            </w:r>
          </w:p>
        </w:tc>
      </w:tr>
      <w:tr w:rsidR="00D3457D" w:rsidRPr="00F8465B" w14:paraId="75D1F180" w14:textId="77777777" w:rsidTr="001015E4">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568CDF24" w14:textId="77777777" w:rsidR="00D3457D" w:rsidRPr="00F8465B" w:rsidRDefault="00D3457D" w:rsidP="00D3457D">
            <w:pPr>
              <w:keepLines w:val="0"/>
              <w:widowControl/>
              <w:jc w:val="left"/>
              <w:rPr>
                <w:rFonts w:ascii="Cambria" w:hAnsi="Cambria" w:cs="Calibri"/>
                <w:color w:val="000000"/>
                <w:sz w:val="20"/>
                <w:lang w:val="es-ES"/>
              </w:rPr>
            </w:pPr>
            <w:r w:rsidRPr="00F8465B">
              <w:rPr>
                <w:rFonts w:ascii="Cambria" w:hAnsi="Cambria" w:cs="Calibri"/>
                <w:color w:val="000000"/>
                <w:sz w:val="20"/>
                <w:lang w:val="es-ES"/>
              </w:rPr>
              <w:t>Deterioro</w:t>
            </w:r>
          </w:p>
        </w:tc>
        <w:tc>
          <w:tcPr>
            <w:tcW w:w="1134" w:type="dxa"/>
            <w:tcBorders>
              <w:top w:val="nil"/>
              <w:left w:val="nil"/>
              <w:bottom w:val="nil"/>
              <w:right w:val="nil"/>
            </w:tcBorders>
            <w:vAlign w:val="center"/>
          </w:tcPr>
          <w:p w14:paraId="1D124555" w14:textId="3E4D3323" w:rsidR="00D3457D" w:rsidRPr="00F8465B" w:rsidRDefault="00D3457D" w:rsidP="00D3457D">
            <w:pPr>
              <w:keepLines w:val="0"/>
              <w:widowControl/>
              <w:jc w:val="right"/>
              <w:rPr>
                <w:rFonts w:ascii="Cambria" w:hAnsi="Cambria" w:cs="Calibri"/>
                <w:color w:val="000000"/>
                <w:sz w:val="20"/>
                <w:lang w:val="es-ES"/>
              </w:rPr>
            </w:pPr>
            <w:r>
              <w:rPr>
                <w:rFonts w:ascii="Cambria" w:hAnsi="Cambria" w:cs="Arial"/>
                <w:color w:val="000000"/>
                <w:sz w:val="20"/>
              </w:rPr>
              <w:t>(423)</w:t>
            </w:r>
          </w:p>
        </w:tc>
        <w:tc>
          <w:tcPr>
            <w:tcW w:w="1134" w:type="dxa"/>
            <w:tcBorders>
              <w:top w:val="nil"/>
              <w:left w:val="single" w:sz="4" w:space="0" w:color="auto"/>
              <w:bottom w:val="nil"/>
              <w:right w:val="single" w:sz="8" w:space="0" w:color="auto"/>
            </w:tcBorders>
            <w:shd w:val="clear" w:color="auto" w:fill="auto"/>
            <w:vAlign w:val="center"/>
            <w:hideMark/>
          </w:tcPr>
          <w:p w14:paraId="7B9BED8A" w14:textId="77777777" w:rsidR="00D3457D" w:rsidRPr="00933811" w:rsidRDefault="00D3457D" w:rsidP="00D3457D">
            <w:pPr>
              <w:keepLines w:val="0"/>
              <w:widowControl/>
              <w:jc w:val="center"/>
              <w:rPr>
                <w:rFonts w:ascii="Cambria" w:hAnsi="Cambria" w:cs="Calibri"/>
                <w:color w:val="000000"/>
                <w:sz w:val="20"/>
                <w:lang w:val="es-ES"/>
              </w:rPr>
            </w:pPr>
            <w:r w:rsidRPr="00933811">
              <w:rPr>
                <w:rFonts w:ascii="Cambria" w:hAnsi="Cambria" w:cs="Arial"/>
                <w:color w:val="000000"/>
                <w:sz w:val="20"/>
              </w:rPr>
              <w:t>- </w:t>
            </w:r>
          </w:p>
        </w:tc>
        <w:tc>
          <w:tcPr>
            <w:tcW w:w="1134" w:type="dxa"/>
            <w:tcBorders>
              <w:top w:val="nil"/>
              <w:left w:val="nil"/>
              <w:bottom w:val="nil"/>
              <w:right w:val="single" w:sz="8" w:space="0" w:color="auto"/>
            </w:tcBorders>
            <w:shd w:val="clear" w:color="auto" w:fill="auto"/>
            <w:vAlign w:val="center"/>
            <w:hideMark/>
          </w:tcPr>
          <w:p w14:paraId="27F4CFBB" w14:textId="77777777" w:rsidR="00D3457D" w:rsidRPr="00933811" w:rsidRDefault="00D3457D" w:rsidP="00D3457D">
            <w:pPr>
              <w:keepLines w:val="0"/>
              <w:widowControl/>
              <w:jc w:val="right"/>
              <w:rPr>
                <w:rFonts w:ascii="Cambria" w:hAnsi="Cambria" w:cs="Calibri"/>
                <w:color w:val="000000"/>
                <w:sz w:val="20"/>
                <w:lang w:val="es-ES"/>
              </w:rPr>
            </w:pPr>
            <w:r w:rsidRPr="00933811">
              <w:rPr>
                <w:rFonts w:ascii="Cambria" w:hAnsi="Cambria" w:cs="Arial"/>
                <w:color w:val="000000"/>
                <w:sz w:val="20"/>
              </w:rPr>
              <w:t>(423)</w:t>
            </w:r>
          </w:p>
        </w:tc>
      </w:tr>
      <w:tr w:rsidR="00D3457D" w:rsidRPr="00F8465B" w14:paraId="34715442" w14:textId="77777777" w:rsidTr="001015E4">
        <w:trPr>
          <w:trHeight w:val="525"/>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122AC106" w14:textId="77777777" w:rsidR="00D3457D" w:rsidRPr="00F8465B" w:rsidRDefault="00D3457D" w:rsidP="00D3457D">
            <w:pPr>
              <w:keepLines w:val="0"/>
              <w:widowControl/>
              <w:jc w:val="left"/>
              <w:rPr>
                <w:rFonts w:ascii="Cambria" w:hAnsi="Cambria" w:cs="Calibri"/>
                <w:b/>
                <w:bCs/>
                <w:color w:val="000000"/>
                <w:sz w:val="20"/>
                <w:lang w:val="es-ES"/>
              </w:rPr>
            </w:pPr>
            <w:r w:rsidRPr="00F8465B">
              <w:rPr>
                <w:rFonts w:ascii="Cambria" w:hAnsi="Cambria" w:cs="Calibri"/>
                <w:b/>
                <w:bCs/>
                <w:color w:val="000000"/>
                <w:sz w:val="20"/>
                <w:lang w:val="es-ES"/>
              </w:rPr>
              <w:t>Instalaciones técnicas y otro inmovilizado</w:t>
            </w:r>
          </w:p>
        </w:tc>
        <w:tc>
          <w:tcPr>
            <w:tcW w:w="1134" w:type="dxa"/>
            <w:tcBorders>
              <w:top w:val="nil"/>
              <w:left w:val="nil"/>
              <w:bottom w:val="single" w:sz="8" w:space="0" w:color="auto"/>
              <w:right w:val="nil"/>
            </w:tcBorders>
            <w:vAlign w:val="center"/>
          </w:tcPr>
          <w:p w14:paraId="07E1F379" w14:textId="14723451" w:rsidR="00D3457D" w:rsidRDefault="00D3457D" w:rsidP="00D3457D">
            <w:pPr>
              <w:keepLines w:val="0"/>
              <w:widowControl/>
              <w:jc w:val="right"/>
              <w:rPr>
                <w:rFonts w:ascii="Cambria" w:hAnsi="Cambria" w:cs="Calibri"/>
                <w:b/>
                <w:bCs/>
                <w:color w:val="000000"/>
                <w:sz w:val="20"/>
                <w:lang w:val="es-ES"/>
              </w:rPr>
            </w:pPr>
            <w:r>
              <w:rPr>
                <w:rFonts w:ascii="Cambria" w:hAnsi="Cambria" w:cs="Arial"/>
                <w:b/>
                <w:bCs/>
                <w:color w:val="000000"/>
                <w:sz w:val="20"/>
              </w:rPr>
              <w:t>10</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4ACEEF2E" w14:textId="4C9F5A62" w:rsidR="00D3457D" w:rsidRPr="00933811" w:rsidRDefault="00933811" w:rsidP="00D3457D">
            <w:pPr>
              <w:keepLines w:val="0"/>
              <w:widowControl/>
              <w:jc w:val="right"/>
              <w:rPr>
                <w:rFonts w:ascii="Cambria" w:hAnsi="Cambria" w:cs="Calibri"/>
                <w:b/>
                <w:bCs/>
                <w:color w:val="000000"/>
                <w:sz w:val="20"/>
                <w:lang w:val="es-ES"/>
              </w:rPr>
            </w:pPr>
            <w:r w:rsidRPr="00933811">
              <w:rPr>
                <w:rFonts w:ascii="Cambria" w:hAnsi="Cambria" w:cs="Arial"/>
                <w:b/>
                <w:bCs/>
                <w:color w:val="000000"/>
                <w:sz w:val="20"/>
              </w:rPr>
              <w:t>3</w:t>
            </w:r>
            <w:r w:rsidR="00D3457D" w:rsidRPr="00933811">
              <w:rPr>
                <w:rFonts w:ascii="Cambria" w:hAnsi="Cambria" w:cs="Arial"/>
                <w:b/>
                <w:bCs/>
                <w:color w:val="000000"/>
                <w:sz w:val="20"/>
              </w:rPr>
              <w:t> </w:t>
            </w:r>
          </w:p>
        </w:tc>
        <w:tc>
          <w:tcPr>
            <w:tcW w:w="1134" w:type="dxa"/>
            <w:tcBorders>
              <w:top w:val="nil"/>
              <w:left w:val="nil"/>
              <w:bottom w:val="single" w:sz="8" w:space="0" w:color="auto"/>
              <w:right w:val="single" w:sz="8" w:space="0" w:color="auto"/>
            </w:tcBorders>
            <w:shd w:val="clear" w:color="auto" w:fill="auto"/>
            <w:vAlign w:val="center"/>
            <w:hideMark/>
          </w:tcPr>
          <w:p w14:paraId="7FBA984A" w14:textId="2E678308" w:rsidR="00D3457D" w:rsidRPr="00933811" w:rsidRDefault="00D3457D" w:rsidP="00D3457D">
            <w:pPr>
              <w:keepLines w:val="0"/>
              <w:widowControl/>
              <w:jc w:val="right"/>
              <w:rPr>
                <w:rFonts w:ascii="Cambria" w:hAnsi="Cambria" w:cs="Calibri"/>
                <w:b/>
                <w:bCs/>
                <w:color w:val="000000"/>
                <w:sz w:val="20"/>
                <w:lang w:val="es-ES"/>
              </w:rPr>
            </w:pPr>
            <w:r w:rsidRPr="00933811">
              <w:rPr>
                <w:rFonts w:ascii="Cambria" w:hAnsi="Cambria" w:cs="Arial"/>
                <w:b/>
                <w:bCs/>
                <w:color w:val="000000"/>
                <w:sz w:val="20"/>
              </w:rPr>
              <w:t>1</w:t>
            </w:r>
            <w:r w:rsidR="00933811" w:rsidRPr="00933811">
              <w:rPr>
                <w:rFonts w:ascii="Cambria" w:hAnsi="Cambria" w:cs="Arial"/>
                <w:b/>
                <w:bCs/>
                <w:color w:val="000000"/>
                <w:sz w:val="20"/>
              </w:rPr>
              <w:t>3</w:t>
            </w:r>
          </w:p>
        </w:tc>
      </w:tr>
      <w:tr w:rsidR="00D3457D" w:rsidRPr="00F8465B" w14:paraId="576730D9" w14:textId="77777777" w:rsidTr="001015E4">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7ABA27BD" w14:textId="77777777" w:rsidR="00D3457D" w:rsidRPr="00F8465B" w:rsidRDefault="00D3457D" w:rsidP="00D3457D">
            <w:pPr>
              <w:keepLines w:val="0"/>
              <w:widowControl/>
              <w:jc w:val="left"/>
              <w:rPr>
                <w:rFonts w:ascii="Cambria" w:hAnsi="Cambria" w:cs="Calibri"/>
                <w:b/>
                <w:bCs/>
                <w:color w:val="000000"/>
                <w:sz w:val="20"/>
                <w:lang w:val="es-ES"/>
              </w:rPr>
            </w:pPr>
            <w:r w:rsidRPr="00F8465B">
              <w:rPr>
                <w:rFonts w:ascii="Cambria" w:hAnsi="Cambria" w:cs="Calibri"/>
                <w:b/>
                <w:bCs/>
                <w:color w:val="000000"/>
                <w:sz w:val="20"/>
                <w:lang w:val="es-ES"/>
              </w:rPr>
              <w:t>INMOVILIZADO MATERIAL</w:t>
            </w:r>
          </w:p>
        </w:tc>
        <w:tc>
          <w:tcPr>
            <w:tcW w:w="1134" w:type="dxa"/>
            <w:tcBorders>
              <w:top w:val="nil"/>
              <w:left w:val="nil"/>
              <w:bottom w:val="single" w:sz="8" w:space="0" w:color="auto"/>
              <w:right w:val="nil"/>
            </w:tcBorders>
            <w:vAlign w:val="center"/>
          </w:tcPr>
          <w:p w14:paraId="55E329D3" w14:textId="4CDA03A9" w:rsidR="00D3457D" w:rsidRPr="00F8465B" w:rsidRDefault="00D3457D" w:rsidP="00D3457D">
            <w:pPr>
              <w:keepLines w:val="0"/>
              <w:widowControl/>
              <w:jc w:val="right"/>
              <w:rPr>
                <w:rFonts w:ascii="Cambria" w:hAnsi="Cambria" w:cs="Calibri"/>
                <w:b/>
                <w:bCs/>
                <w:color w:val="000000"/>
                <w:sz w:val="20"/>
                <w:lang w:val="es-ES"/>
              </w:rPr>
            </w:pPr>
            <w:r>
              <w:rPr>
                <w:rFonts w:ascii="Cambria" w:hAnsi="Cambria" w:cs="Arial"/>
                <w:b/>
                <w:bCs/>
                <w:color w:val="000000"/>
                <w:sz w:val="20"/>
              </w:rPr>
              <w:t>161</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7CE0952B" w14:textId="7E51F7BD" w:rsidR="00D3457D" w:rsidRPr="00933811" w:rsidRDefault="00933811" w:rsidP="00D3457D">
            <w:pPr>
              <w:keepLines w:val="0"/>
              <w:widowControl/>
              <w:jc w:val="right"/>
              <w:rPr>
                <w:rFonts w:ascii="Cambria" w:hAnsi="Cambria" w:cs="Calibri"/>
                <w:b/>
                <w:bCs/>
                <w:color w:val="000000"/>
                <w:sz w:val="20"/>
                <w:lang w:val="es-ES"/>
              </w:rPr>
            </w:pPr>
            <w:r w:rsidRPr="00933811">
              <w:rPr>
                <w:rFonts w:ascii="Cambria" w:hAnsi="Cambria" w:cs="Arial"/>
                <w:b/>
                <w:bCs/>
                <w:color w:val="000000"/>
                <w:sz w:val="20"/>
              </w:rPr>
              <w:t>3</w:t>
            </w:r>
          </w:p>
        </w:tc>
        <w:tc>
          <w:tcPr>
            <w:tcW w:w="1134" w:type="dxa"/>
            <w:tcBorders>
              <w:top w:val="nil"/>
              <w:left w:val="nil"/>
              <w:bottom w:val="single" w:sz="8" w:space="0" w:color="auto"/>
              <w:right w:val="single" w:sz="8" w:space="0" w:color="auto"/>
            </w:tcBorders>
            <w:shd w:val="clear" w:color="auto" w:fill="auto"/>
            <w:vAlign w:val="center"/>
            <w:hideMark/>
          </w:tcPr>
          <w:p w14:paraId="4EC785DC" w14:textId="1BC9966B" w:rsidR="00D3457D" w:rsidRPr="00933811" w:rsidRDefault="00D3457D" w:rsidP="00D3457D">
            <w:pPr>
              <w:keepLines w:val="0"/>
              <w:widowControl/>
              <w:jc w:val="right"/>
              <w:rPr>
                <w:rFonts w:ascii="Cambria" w:hAnsi="Cambria" w:cs="Calibri"/>
                <w:b/>
                <w:bCs/>
                <w:color w:val="000000"/>
                <w:sz w:val="20"/>
                <w:lang w:val="es-ES"/>
              </w:rPr>
            </w:pPr>
            <w:r w:rsidRPr="00933811">
              <w:rPr>
                <w:rFonts w:ascii="Cambria" w:hAnsi="Cambria" w:cs="Arial"/>
                <w:b/>
                <w:bCs/>
                <w:color w:val="000000"/>
                <w:sz w:val="20"/>
              </w:rPr>
              <w:t>16</w:t>
            </w:r>
            <w:r w:rsidR="00933811" w:rsidRPr="00933811">
              <w:rPr>
                <w:rFonts w:ascii="Cambria" w:hAnsi="Cambria" w:cs="Arial"/>
                <w:b/>
                <w:bCs/>
                <w:color w:val="000000"/>
                <w:sz w:val="20"/>
              </w:rPr>
              <w:t>4</w:t>
            </w:r>
          </w:p>
        </w:tc>
      </w:tr>
    </w:tbl>
    <w:p w14:paraId="2CC9CC33" w14:textId="37F0B150" w:rsidR="00750BCD" w:rsidRDefault="00750BCD" w:rsidP="00B30831">
      <w:pPr>
        <w:ind w:left="567"/>
        <w:rPr>
          <w:rFonts w:ascii="Cambria" w:hAnsi="Cambria"/>
          <w:b/>
          <w:sz w:val="24"/>
          <w:szCs w:val="24"/>
          <w:u w:val="single"/>
        </w:rPr>
      </w:pPr>
    </w:p>
    <w:p w14:paraId="7C2E4073" w14:textId="67A3DDE9" w:rsidR="001015E4" w:rsidRDefault="001015E4" w:rsidP="001015E4">
      <w:pPr>
        <w:ind w:left="567"/>
        <w:rPr>
          <w:rFonts w:ascii="Cambria" w:hAnsi="Cambria"/>
          <w:b/>
          <w:sz w:val="24"/>
          <w:szCs w:val="24"/>
          <w:u w:val="single"/>
        </w:rPr>
      </w:pPr>
      <w:r w:rsidRPr="00325223">
        <w:rPr>
          <w:rFonts w:ascii="Cambria" w:hAnsi="Cambria"/>
          <w:b/>
          <w:sz w:val="24"/>
          <w:szCs w:val="24"/>
          <w:u w:val="single"/>
        </w:rPr>
        <w:t>Ejercicio 201</w:t>
      </w:r>
      <w:r w:rsidR="0094281F">
        <w:rPr>
          <w:rFonts w:ascii="Cambria" w:hAnsi="Cambria"/>
          <w:b/>
          <w:sz w:val="24"/>
          <w:szCs w:val="24"/>
          <w:u w:val="single"/>
        </w:rPr>
        <w:t>9</w:t>
      </w:r>
      <w:r w:rsidRPr="00325223">
        <w:rPr>
          <w:rFonts w:ascii="Cambria" w:hAnsi="Cambria"/>
          <w:b/>
          <w:sz w:val="24"/>
          <w:szCs w:val="24"/>
          <w:u w:val="single"/>
        </w:rPr>
        <w:t>:</w:t>
      </w:r>
    </w:p>
    <w:p w14:paraId="156B7444" w14:textId="77777777" w:rsidR="001015E4" w:rsidRDefault="001015E4" w:rsidP="001015E4">
      <w:pPr>
        <w:ind w:left="567"/>
        <w:rPr>
          <w:rFonts w:ascii="Cambria" w:hAnsi="Cambria"/>
          <w:b/>
          <w:sz w:val="24"/>
          <w:szCs w:val="24"/>
          <w:u w:val="single"/>
        </w:rPr>
      </w:pPr>
    </w:p>
    <w:tbl>
      <w:tblPr>
        <w:tblW w:w="7371" w:type="dxa"/>
        <w:tblInd w:w="557" w:type="dxa"/>
        <w:tblCellMar>
          <w:left w:w="70" w:type="dxa"/>
          <w:right w:w="70" w:type="dxa"/>
        </w:tblCellMar>
        <w:tblLook w:val="04A0" w:firstRow="1" w:lastRow="0" w:firstColumn="1" w:lastColumn="0" w:noHBand="0" w:noVBand="1"/>
      </w:tblPr>
      <w:tblGrid>
        <w:gridCol w:w="3969"/>
        <w:gridCol w:w="1134"/>
        <w:gridCol w:w="1134"/>
        <w:gridCol w:w="1134"/>
      </w:tblGrid>
      <w:tr w:rsidR="00D3457D" w:rsidRPr="00F8465B" w14:paraId="7F5F2502" w14:textId="77777777" w:rsidTr="008F10C7">
        <w:trPr>
          <w:trHeight w:val="525"/>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580B2D" w14:textId="22DB17AD" w:rsidR="00D3457D" w:rsidRPr="00F8465B" w:rsidRDefault="00D3457D" w:rsidP="00D3457D">
            <w:pPr>
              <w:keepLines w:val="0"/>
              <w:widowControl/>
              <w:rPr>
                <w:rFonts w:ascii="Cambria" w:hAnsi="Cambria" w:cs="Calibri"/>
                <w:color w:val="000000"/>
                <w:sz w:val="20"/>
                <w:lang w:val="es-ES"/>
              </w:rPr>
            </w:pPr>
            <w:r w:rsidRPr="00F8465B">
              <w:rPr>
                <w:rFonts w:ascii="Cambria" w:hAnsi="Cambria" w:cs="Calibri"/>
                <w:color w:val="000000"/>
                <w:sz w:val="20"/>
                <w:lang w:val="es-ES"/>
              </w:rPr>
              <w:t> </w:t>
            </w:r>
          </w:p>
        </w:tc>
        <w:tc>
          <w:tcPr>
            <w:tcW w:w="1134" w:type="dxa"/>
            <w:tcBorders>
              <w:top w:val="single" w:sz="8" w:space="0" w:color="auto"/>
              <w:left w:val="nil"/>
              <w:bottom w:val="single" w:sz="8" w:space="0" w:color="auto"/>
              <w:right w:val="nil"/>
            </w:tcBorders>
            <w:vAlign w:val="center"/>
          </w:tcPr>
          <w:p w14:paraId="0AB19937" w14:textId="7CB04780" w:rsidR="00D3457D" w:rsidRPr="00F8465B" w:rsidRDefault="00D3457D" w:rsidP="00D3457D">
            <w:pPr>
              <w:keepLines w:val="0"/>
              <w:widowControl/>
              <w:jc w:val="center"/>
              <w:rPr>
                <w:rFonts w:ascii="Cambria" w:hAnsi="Cambria" w:cs="Calibri"/>
                <w:b/>
                <w:bCs/>
                <w:color w:val="000000"/>
                <w:sz w:val="20"/>
                <w:lang w:val="es-ES"/>
              </w:rPr>
            </w:pPr>
            <w:r w:rsidRPr="00F8465B">
              <w:rPr>
                <w:rFonts w:ascii="Cambria" w:hAnsi="Cambria" w:cs="Calibri"/>
                <w:b/>
                <w:bCs/>
                <w:color w:val="000000"/>
                <w:sz w:val="20"/>
                <w:lang w:val="es-ES"/>
              </w:rPr>
              <w:t>Saldo al 31.12.1</w:t>
            </w:r>
            <w:r>
              <w:rPr>
                <w:rFonts w:ascii="Cambria" w:hAnsi="Cambria" w:cs="Calibri"/>
                <w:b/>
                <w:bCs/>
                <w:color w:val="000000"/>
                <w:sz w:val="20"/>
                <w:lang w:val="es-ES"/>
              </w:rPr>
              <w:t>8</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A4F7A9E" w14:textId="40EF5B2B" w:rsidR="00D3457D" w:rsidRPr="00F8465B" w:rsidRDefault="00D3457D" w:rsidP="00D3457D">
            <w:pPr>
              <w:keepLines w:val="0"/>
              <w:widowControl/>
              <w:jc w:val="center"/>
              <w:rPr>
                <w:rFonts w:ascii="Cambria" w:hAnsi="Cambria" w:cs="Calibri"/>
                <w:b/>
                <w:bCs/>
                <w:color w:val="000000"/>
                <w:sz w:val="20"/>
                <w:lang w:val="es-ES"/>
              </w:rPr>
            </w:pPr>
            <w:r w:rsidRPr="00F8465B">
              <w:rPr>
                <w:rFonts w:ascii="Cambria" w:hAnsi="Cambria" w:cs="Calibri"/>
                <w:b/>
                <w:bCs/>
                <w:color w:val="000000"/>
                <w:sz w:val="20"/>
                <w:lang w:val="es-ES"/>
              </w:rPr>
              <w:t>Entradas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61FDC9C" w14:textId="664EC7CE" w:rsidR="00D3457D" w:rsidRPr="00F8465B" w:rsidRDefault="00D3457D" w:rsidP="00D3457D">
            <w:pPr>
              <w:keepLines w:val="0"/>
              <w:widowControl/>
              <w:jc w:val="center"/>
              <w:rPr>
                <w:rFonts w:ascii="Cambria" w:hAnsi="Cambria" w:cs="Calibri"/>
                <w:b/>
                <w:bCs/>
                <w:color w:val="000000"/>
                <w:sz w:val="20"/>
                <w:lang w:val="es-ES"/>
              </w:rPr>
            </w:pPr>
            <w:r w:rsidRPr="00F8465B">
              <w:rPr>
                <w:rFonts w:ascii="Cambria" w:hAnsi="Cambria" w:cs="Calibri"/>
                <w:b/>
                <w:bCs/>
                <w:color w:val="000000"/>
                <w:sz w:val="20"/>
                <w:lang w:val="es-ES"/>
              </w:rPr>
              <w:t>Saldo al 31.12.1</w:t>
            </w:r>
            <w:r>
              <w:rPr>
                <w:rFonts w:ascii="Cambria" w:hAnsi="Cambria" w:cs="Calibri"/>
                <w:b/>
                <w:bCs/>
                <w:color w:val="000000"/>
                <w:sz w:val="20"/>
                <w:lang w:val="es-ES"/>
              </w:rPr>
              <w:t>9</w:t>
            </w:r>
          </w:p>
        </w:tc>
      </w:tr>
      <w:tr w:rsidR="00D3457D" w:rsidRPr="00F8465B" w14:paraId="79881DBA" w14:textId="77777777" w:rsidTr="008F10C7">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001BC3DA" w14:textId="6D8830BB" w:rsidR="00D3457D" w:rsidRPr="00F8465B" w:rsidRDefault="00D3457D" w:rsidP="00D3457D">
            <w:pPr>
              <w:keepLines w:val="0"/>
              <w:widowControl/>
              <w:jc w:val="left"/>
              <w:rPr>
                <w:rFonts w:ascii="Cambria" w:hAnsi="Cambria" w:cs="Calibri"/>
                <w:color w:val="000000"/>
                <w:sz w:val="20"/>
                <w:lang w:val="es-ES"/>
              </w:rPr>
            </w:pPr>
            <w:r w:rsidRPr="00F8465B">
              <w:rPr>
                <w:rFonts w:ascii="Cambria" w:hAnsi="Cambria" w:cs="Calibri"/>
                <w:color w:val="000000"/>
                <w:sz w:val="20"/>
                <w:lang w:val="es-ES"/>
              </w:rPr>
              <w:t>Terrenos y bienes naturales</w:t>
            </w:r>
          </w:p>
        </w:tc>
        <w:tc>
          <w:tcPr>
            <w:tcW w:w="1134" w:type="dxa"/>
            <w:tcBorders>
              <w:top w:val="nil"/>
              <w:left w:val="nil"/>
              <w:bottom w:val="nil"/>
              <w:right w:val="nil"/>
            </w:tcBorders>
            <w:vAlign w:val="center"/>
          </w:tcPr>
          <w:p w14:paraId="44353B11" w14:textId="6B51ED6D" w:rsidR="00D3457D" w:rsidRPr="00F8465B" w:rsidRDefault="00D3457D" w:rsidP="00D3457D">
            <w:pPr>
              <w:keepLines w:val="0"/>
              <w:widowControl/>
              <w:jc w:val="right"/>
              <w:rPr>
                <w:rFonts w:ascii="Cambria" w:hAnsi="Cambria" w:cs="Calibri"/>
                <w:color w:val="000000"/>
                <w:sz w:val="20"/>
                <w:lang w:val="es-ES"/>
              </w:rPr>
            </w:pPr>
            <w:r w:rsidRPr="00F8465B">
              <w:rPr>
                <w:rFonts w:ascii="Cambria" w:hAnsi="Cambria" w:cs="Calibri"/>
                <w:color w:val="000000"/>
                <w:sz w:val="20"/>
                <w:lang w:val="es-ES"/>
              </w:rPr>
              <w:t>90</w:t>
            </w:r>
          </w:p>
        </w:tc>
        <w:tc>
          <w:tcPr>
            <w:tcW w:w="1134" w:type="dxa"/>
            <w:tcBorders>
              <w:top w:val="nil"/>
              <w:left w:val="single" w:sz="4" w:space="0" w:color="auto"/>
              <w:bottom w:val="nil"/>
              <w:right w:val="single" w:sz="8" w:space="0" w:color="auto"/>
            </w:tcBorders>
            <w:shd w:val="clear" w:color="auto" w:fill="auto"/>
            <w:vAlign w:val="center"/>
            <w:hideMark/>
          </w:tcPr>
          <w:p w14:paraId="4927CFD9" w14:textId="5DC6CDF2" w:rsidR="00D3457D" w:rsidRPr="00F8465B" w:rsidRDefault="00D3457D" w:rsidP="00D3457D">
            <w:pPr>
              <w:keepLines w:val="0"/>
              <w:widowControl/>
              <w:jc w:val="center"/>
              <w:rPr>
                <w:rFonts w:ascii="Cambria" w:hAnsi="Cambria" w:cs="Calibri"/>
                <w:color w:val="000000"/>
                <w:sz w:val="20"/>
                <w:lang w:val="es-ES"/>
              </w:rPr>
            </w:pPr>
            <w:r w:rsidRPr="00F8465B">
              <w:rPr>
                <w:rFonts w:ascii="Cambria" w:hAnsi="Cambria" w:cs="Calibri"/>
                <w:color w:val="000000"/>
                <w:sz w:val="20"/>
                <w:lang w:val="es-ES"/>
              </w:rPr>
              <w:t>-</w:t>
            </w:r>
          </w:p>
        </w:tc>
        <w:tc>
          <w:tcPr>
            <w:tcW w:w="1134" w:type="dxa"/>
            <w:tcBorders>
              <w:top w:val="nil"/>
              <w:left w:val="nil"/>
              <w:bottom w:val="nil"/>
              <w:right w:val="single" w:sz="8" w:space="0" w:color="auto"/>
            </w:tcBorders>
            <w:shd w:val="clear" w:color="auto" w:fill="auto"/>
            <w:vAlign w:val="center"/>
            <w:hideMark/>
          </w:tcPr>
          <w:p w14:paraId="175D8370" w14:textId="214EC9D0" w:rsidR="00D3457D" w:rsidRPr="00F8465B" w:rsidRDefault="00D3457D" w:rsidP="00D3457D">
            <w:pPr>
              <w:keepLines w:val="0"/>
              <w:widowControl/>
              <w:jc w:val="right"/>
              <w:rPr>
                <w:rFonts w:ascii="Cambria" w:hAnsi="Cambria" w:cs="Calibri"/>
                <w:color w:val="000000"/>
                <w:sz w:val="20"/>
                <w:lang w:val="es-ES"/>
              </w:rPr>
            </w:pPr>
            <w:r w:rsidRPr="00F8465B">
              <w:rPr>
                <w:rFonts w:ascii="Cambria" w:hAnsi="Cambria" w:cs="Calibri"/>
                <w:color w:val="000000"/>
                <w:sz w:val="20"/>
                <w:lang w:val="es-ES"/>
              </w:rPr>
              <w:t>90</w:t>
            </w:r>
          </w:p>
        </w:tc>
      </w:tr>
      <w:tr w:rsidR="00D3457D" w:rsidRPr="00F8465B" w14:paraId="50DA1ECA" w14:textId="77777777" w:rsidTr="008F10C7">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75E951B1" w14:textId="45AC818E" w:rsidR="00D3457D" w:rsidRPr="00F8465B" w:rsidRDefault="00D3457D" w:rsidP="00D3457D">
            <w:pPr>
              <w:keepLines w:val="0"/>
              <w:widowControl/>
              <w:jc w:val="left"/>
              <w:rPr>
                <w:rFonts w:ascii="Cambria" w:hAnsi="Cambria" w:cs="Calibri"/>
                <w:color w:val="000000"/>
                <w:sz w:val="20"/>
                <w:lang w:val="es-ES"/>
              </w:rPr>
            </w:pPr>
            <w:r w:rsidRPr="00F8465B">
              <w:rPr>
                <w:rFonts w:ascii="Cambria" w:hAnsi="Cambria" w:cs="Calibri"/>
                <w:color w:val="000000"/>
                <w:sz w:val="20"/>
                <w:lang w:val="es-ES"/>
              </w:rPr>
              <w:t>Construcciones</w:t>
            </w:r>
          </w:p>
        </w:tc>
        <w:tc>
          <w:tcPr>
            <w:tcW w:w="1134" w:type="dxa"/>
            <w:tcBorders>
              <w:top w:val="nil"/>
              <w:left w:val="nil"/>
              <w:bottom w:val="nil"/>
              <w:right w:val="nil"/>
            </w:tcBorders>
            <w:vAlign w:val="center"/>
          </w:tcPr>
          <w:p w14:paraId="12EFED83" w14:textId="555C95AD" w:rsidR="00D3457D" w:rsidRPr="00F8465B" w:rsidRDefault="00D3457D" w:rsidP="00D3457D">
            <w:pPr>
              <w:keepLines w:val="0"/>
              <w:widowControl/>
              <w:jc w:val="right"/>
              <w:rPr>
                <w:rFonts w:ascii="Cambria" w:hAnsi="Cambria" w:cs="Calibri"/>
                <w:color w:val="000000"/>
                <w:sz w:val="20"/>
                <w:lang w:val="es-ES"/>
              </w:rPr>
            </w:pPr>
            <w:r w:rsidRPr="00F8465B">
              <w:rPr>
                <w:rFonts w:ascii="Cambria" w:hAnsi="Cambria" w:cs="Calibri"/>
                <w:color w:val="000000"/>
                <w:sz w:val="20"/>
                <w:lang w:val="es-ES"/>
              </w:rPr>
              <w:t>2.568</w:t>
            </w:r>
          </w:p>
        </w:tc>
        <w:tc>
          <w:tcPr>
            <w:tcW w:w="1134" w:type="dxa"/>
            <w:tcBorders>
              <w:top w:val="nil"/>
              <w:left w:val="single" w:sz="4" w:space="0" w:color="auto"/>
              <w:bottom w:val="nil"/>
              <w:right w:val="single" w:sz="8" w:space="0" w:color="auto"/>
            </w:tcBorders>
            <w:shd w:val="clear" w:color="auto" w:fill="auto"/>
            <w:vAlign w:val="center"/>
            <w:hideMark/>
          </w:tcPr>
          <w:p w14:paraId="197777F5" w14:textId="4427FE8D" w:rsidR="00D3457D" w:rsidRPr="00F8465B" w:rsidRDefault="00D3457D" w:rsidP="00D3457D">
            <w:pPr>
              <w:keepLines w:val="0"/>
              <w:widowControl/>
              <w:jc w:val="center"/>
              <w:rPr>
                <w:rFonts w:ascii="Cambria" w:hAnsi="Cambria" w:cs="Calibri"/>
                <w:color w:val="000000"/>
                <w:sz w:val="20"/>
                <w:lang w:val="es-ES"/>
              </w:rPr>
            </w:pPr>
            <w:r w:rsidRPr="00F8465B">
              <w:rPr>
                <w:rFonts w:ascii="Cambria" w:hAnsi="Cambria" w:cs="Calibri"/>
                <w:color w:val="000000"/>
                <w:sz w:val="20"/>
                <w:lang w:val="es-ES"/>
              </w:rPr>
              <w:t>-</w:t>
            </w:r>
          </w:p>
        </w:tc>
        <w:tc>
          <w:tcPr>
            <w:tcW w:w="1134" w:type="dxa"/>
            <w:tcBorders>
              <w:top w:val="nil"/>
              <w:left w:val="nil"/>
              <w:bottom w:val="nil"/>
              <w:right w:val="single" w:sz="8" w:space="0" w:color="auto"/>
            </w:tcBorders>
            <w:shd w:val="clear" w:color="auto" w:fill="auto"/>
            <w:vAlign w:val="center"/>
            <w:hideMark/>
          </w:tcPr>
          <w:p w14:paraId="1741C2C8" w14:textId="0B488F00" w:rsidR="00D3457D" w:rsidRPr="00F8465B" w:rsidRDefault="00D3457D" w:rsidP="00D3457D">
            <w:pPr>
              <w:keepLines w:val="0"/>
              <w:widowControl/>
              <w:jc w:val="right"/>
              <w:rPr>
                <w:rFonts w:ascii="Cambria" w:hAnsi="Cambria" w:cs="Calibri"/>
                <w:color w:val="000000"/>
                <w:sz w:val="20"/>
                <w:lang w:val="es-ES"/>
              </w:rPr>
            </w:pPr>
            <w:r w:rsidRPr="00F8465B">
              <w:rPr>
                <w:rFonts w:ascii="Cambria" w:hAnsi="Cambria" w:cs="Calibri"/>
                <w:color w:val="000000"/>
                <w:sz w:val="20"/>
                <w:lang w:val="es-ES"/>
              </w:rPr>
              <w:t>2.568</w:t>
            </w:r>
          </w:p>
        </w:tc>
      </w:tr>
      <w:tr w:rsidR="00D3457D" w:rsidRPr="00F8465B" w14:paraId="41489DA6" w14:textId="77777777" w:rsidTr="008F10C7">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5ADC04B2" w14:textId="6FE7C758" w:rsidR="00D3457D" w:rsidRPr="00F8465B" w:rsidRDefault="00D3457D" w:rsidP="00D3457D">
            <w:pPr>
              <w:keepLines w:val="0"/>
              <w:widowControl/>
              <w:jc w:val="left"/>
              <w:rPr>
                <w:rFonts w:ascii="Cambria" w:hAnsi="Cambria" w:cs="Calibri"/>
                <w:color w:val="000000"/>
                <w:sz w:val="20"/>
                <w:lang w:val="es-ES"/>
              </w:rPr>
            </w:pPr>
            <w:r w:rsidRPr="00F8465B">
              <w:rPr>
                <w:rFonts w:ascii="Cambria" w:hAnsi="Cambria" w:cs="Calibri"/>
                <w:color w:val="000000"/>
                <w:sz w:val="20"/>
                <w:lang w:val="es-ES"/>
              </w:rPr>
              <w:t>Amortizaciones</w:t>
            </w:r>
          </w:p>
        </w:tc>
        <w:tc>
          <w:tcPr>
            <w:tcW w:w="1134" w:type="dxa"/>
            <w:tcBorders>
              <w:top w:val="nil"/>
              <w:left w:val="nil"/>
              <w:bottom w:val="nil"/>
              <w:right w:val="nil"/>
            </w:tcBorders>
            <w:vAlign w:val="center"/>
          </w:tcPr>
          <w:p w14:paraId="45AD0E49" w14:textId="47783CF1" w:rsidR="00D3457D" w:rsidRPr="00F8465B" w:rsidRDefault="00D3457D" w:rsidP="00D3457D">
            <w:pPr>
              <w:keepLines w:val="0"/>
              <w:widowControl/>
              <w:jc w:val="right"/>
              <w:rPr>
                <w:rFonts w:ascii="Cambria" w:hAnsi="Cambria" w:cs="Calibri"/>
                <w:color w:val="000000"/>
                <w:sz w:val="20"/>
                <w:lang w:val="es-ES"/>
              </w:rPr>
            </w:pPr>
            <w:r w:rsidRPr="00F8465B">
              <w:rPr>
                <w:rFonts w:ascii="Cambria" w:hAnsi="Cambria" w:cs="Calibri"/>
                <w:color w:val="000000"/>
                <w:sz w:val="20"/>
                <w:lang w:val="es-ES"/>
              </w:rPr>
              <w:t>(1.820)</w:t>
            </w:r>
          </w:p>
        </w:tc>
        <w:tc>
          <w:tcPr>
            <w:tcW w:w="1134" w:type="dxa"/>
            <w:tcBorders>
              <w:top w:val="nil"/>
              <w:left w:val="single" w:sz="4" w:space="0" w:color="auto"/>
              <w:bottom w:val="nil"/>
              <w:right w:val="single" w:sz="8" w:space="0" w:color="auto"/>
            </w:tcBorders>
            <w:shd w:val="clear" w:color="auto" w:fill="auto"/>
            <w:vAlign w:val="center"/>
            <w:hideMark/>
          </w:tcPr>
          <w:p w14:paraId="1B09D665" w14:textId="67AFB493" w:rsidR="00D3457D" w:rsidRPr="00F8465B" w:rsidRDefault="00D3457D" w:rsidP="00D3457D">
            <w:pPr>
              <w:keepLines w:val="0"/>
              <w:widowControl/>
              <w:jc w:val="center"/>
              <w:rPr>
                <w:rFonts w:ascii="Cambria" w:hAnsi="Cambria" w:cs="Calibri"/>
                <w:color w:val="000000"/>
                <w:sz w:val="20"/>
                <w:lang w:val="es-ES"/>
              </w:rPr>
            </w:pPr>
            <w:r w:rsidRPr="00F8465B">
              <w:rPr>
                <w:rFonts w:ascii="Cambria" w:hAnsi="Cambria" w:cs="Calibri"/>
                <w:color w:val="000000"/>
                <w:sz w:val="20"/>
                <w:lang w:val="es-ES"/>
              </w:rPr>
              <w:t>-</w:t>
            </w:r>
          </w:p>
        </w:tc>
        <w:tc>
          <w:tcPr>
            <w:tcW w:w="1134" w:type="dxa"/>
            <w:tcBorders>
              <w:top w:val="nil"/>
              <w:left w:val="nil"/>
              <w:bottom w:val="nil"/>
              <w:right w:val="single" w:sz="8" w:space="0" w:color="auto"/>
            </w:tcBorders>
            <w:shd w:val="clear" w:color="auto" w:fill="auto"/>
            <w:vAlign w:val="center"/>
            <w:hideMark/>
          </w:tcPr>
          <w:p w14:paraId="6372AC4B" w14:textId="12FFD62E" w:rsidR="00D3457D" w:rsidRPr="00F8465B" w:rsidRDefault="00D3457D" w:rsidP="00D3457D">
            <w:pPr>
              <w:keepLines w:val="0"/>
              <w:widowControl/>
              <w:jc w:val="right"/>
              <w:rPr>
                <w:rFonts w:ascii="Cambria" w:hAnsi="Cambria" w:cs="Calibri"/>
                <w:color w:val="000000"/>
                <w:sz w:val="20"/>
                <w:lang w:val="es-ES"/>
              </w:rPr>
            </w:pPr>
            <w:r w:rsidRPr="00F8465B">
              <w:rPr>
                <w:rFonts w:ascii="Cambria" w:hAnsi="Cambria" w:cs="Calibri"/>
                <w:color w:val="000000"/>
                <w:sz w:val="20"/>
                <w:lang w:val="es-ES"/>
              </w:rPr>
              <w:t>(1.820)</w:t>
            </w:r>
          </w:p>
        </w:tc>
      </w:tr>
      <w:tr w:rsidR="00D3457D" w:rsidRPr="00F8465B" w14:paraId="08D7222F" w14:textId="77777777" w:rsidTr="008F10C7">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19D4D26F" w14:textId="4EDBC9E7" w:rsidR="00D3457D" w:rsidRPr="00F8465B" w:rsidRDefault="00D3457D" w:rsidP="00D3457D">
            <w:pPr>
              <w:keepLines w:val="0"/>
              <w:widowControl/>
              <w:jc w:val="left"/>
              <w:rPr>
                <w:rFonts w:ascii="Cambria" w:hAnsi="Cambria" w:cs="Calibri"/>
                <w:color w:val="000000"/>
                <w:sz w:val="20"/>
                <w:lang w:val="es-ES"/>
              </w:rPr>
            </w:pPr>
            <w:r>
              <w:rPr>
                <w:rFonts w:ascii="Cambria" w:hAnsi="Cambria" w:cs="Calibri"/>
                <w:color w:val="000000"/>
                <w:sz w:val="20"/>
                <w:lang w:val="es-ES"/>
              </w:rPr>
              <w:t>Deterioro</w:t>
            </w:r>
          </w:p>
        </w:tc>
        <w:tc>
          <w:tcPr>
            <w:tcW w:w="1134" w:type="dxa"/>
            <w:tcBorders>
              <w:top w:val="nil"/>
              <w:left w:val="nil"/>
              <w:bottom w:val="nil"/>
              <w:right w:val="nil"/>
            </w:tcBorders>
            <w:vAlign w:val="center"/>
          </w:tcPr>
          <w:p w14:paraId="149999BC" w14:textId="2DBCDC7E" w:rsidR="00D3457D" w:rsidRPr="00F8465B" w:rsidRDefault="00D3457D" w:rsidP="00D3457D">
            <w:pPr>
              <w:keepLines w:val="0"/>
              <w:widowControl/>
              <w:jc w:val="right"/>
              <w:rPr>
                <w:rFonts w:ascii="Cambria" w:hAnsi="Cambria" w:cs="Calibri"/>
                <w:color w:val="000000"/>
                <w:sz w:val="20"/>
                <w:lang w:val="es-ES"/>
              </w:rPr>
            </w:pPr>
            <w:r w:rsidRPr="00F8465B">
              <w:rPr>
                <w:rFonts w:ascii="Cambria" w:hAnsi="Cambria" w:cs="Calibri"/>
                <w:color w:val="000000"/>
                <w:sz w:val="20"/>
                <w:lang w:val="es-ES"/>
              </w:rPr>
              <w:t>(687)</w:t>
            </w:r>
          </w:p>
        </w:tc>
        <w:tc>
          <w:tcPr>
            <w:tcW w:w="1134" w:type="dxa"/>
            <w:tcBorders>
              <w:top w:val="nil"/>
              <w:left w:val="single" w:sz="4" w:space="0" w:color="auto"/>
              <w:bottom w:val="nil"/>
              <w:right w:val="single" w:sz="8" w:space="0" w:color="auto"/>
            </w:tcBorders>
            <w:shd w:val="clear" w:color="auto" w:fill="auto"/>
            <w:vAlign w:val="center"/>
            <w:hideMark/>
          </w:tcPr>
          <w:p w14:paraId="63AB779E" w14:textId="252DDA36" w:rsidR="00D3457D" w:rsidRPr="00F8465B" w:rsidRDefault="00D3457D" w:rsidP="00D3457D">
            <w:pPr>
              <w:keepLines w:val="0"/>
              <w:widowControl/>
              <w:jc w:val="center"/>
              <w:rPr>
                <w:rFonts w:ascii="Cambria" w:hAnsi="Cambria" w:cs="Calibri"/>
                <w:color w:val="000000"/>
                <w:sz w:val="20"/>
                <w:lang w:val="es-ES"/>
              </w:rPr>
            </w:pPr>
            <w:r w:rsidRPr="00F8465B">
              <w:rPr>
                <w:rFonts w:ascii="Cambria" w:hAnsi="Cambria" w:cs="Calibri"/>
                <w:color w:val="000000"/>
                <w:sz w:val="20"/>
                <w:lang w:val="es-ES"/>
              </w:rPr>
              <w:t>-</w:t>
            </w:r>
          </w:p>
        </w:tc>
        <w:tc>
          <w:tcPr>
            <w:tcW w:w="1134" w:type="dxa"/>
            <w:tcBorders>
              <w:top w:val="nil"/>
              <w:left w:val="nil"/>
              <w:bottom w:val="nil"/>
              <w:right w:val="single" w:sz="8" w:space="0" w:color="auto"/>
            </w:tcBorders>
            <w:shd w:val="clear" w:color="auto" w:fill="auto"/>
            <w:vAlign w:val="center"/>
            <w:hideMark/>
          </w:tcPr>
          <w:p w14:paraId="4418DCB0" w14:textId="3C9AA663" w:rsidR="00D3457D" w:rsidRPr="00F8465B" w:rsidRDefault="00D3457D" w:rsidP="00D3457D">
            <w:pPr>
              <w:keepLines w:val="0"/>
              <w:widowControl/>
              <w:jc w:val="right"/>
              <w:rPr>
                <w:rFonts w:ascii="Cambria" w:hAnsi="Cambria" w:cs="Calibri"/>
                <w:color w:val="000000"/>
                <w:sz w:val="20"/>
                <w:lang w:val="es-ES"/>
              </w:rPr>
            </w:pPr>
            <w:r w:rsidRPr="00F8465B">
              <w:rPr>
                <w:rFonts w:ascii="Cambria" w:hAnsi="Cambria" w:cs="Calibri"/>
                <w:color w:val="000000"/>
                <w:sz w:val="20"/>
                <w:lang w:val="es-ES"/>
              </w:rPr>
              <w:t>(687)</w:t>
            </w:r>
          </w:p>
        </w:tc>
      </w:tr>
      <w:tr w:rsidR="00D3457D" w:rsidRPr="00F8465B" w14:paraId="2D5D9DBB" w14:textId="77777777" w:rsidTr="008F10C7">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40471B2C" w14:textId="36FDBEC7" w:rsidR="00D3457D" w:rsidRPr="00F8465B" w:rsidRDefault="005B1D74" w:rsidP="00D3457D">
            <w:pPr>
              <w:keepLines w:val="0"/>
              <w:widowControl/>
              <w:jc w:val="left"/>
              <w:rPr>
                <w:rFonts w:ascii="Cambria" w:hAnsi="Cambria" w:cs="Calibri"/>
                <w:b/>
                <w:bCs/>
                <w:color w:val="000000"/>
                <w:sz w:val="20"/>
                <w:lang w:val="es-ES"/>
              </w:rPr>
            </w:pPr>
            <w:r w:rsidRPr="00F8465B">
              <w:rPr>
                <w:rFonts w:ascii="Cambria" w:hAnsi="Cambria" w:cs="Calibri"/>
                <w:b/>
                <w:bCs/>
                <w:color w:val="000000"/>
                <w:sz w:val="20"/>
                <w:lang w:val="es-ES"/>
              </w:rPr>
              <w:t>Terrenos y</w:t>
            </w:r>
            <w:r w:rsidR="00D3457D" w:rsidRPr="00F8465B">
              <w:rPr>
                <w:rFonts w:ascii="Cambria" w:hAnsi="Cambria" w:cs="Calibri"/>
                <w:b/>
                <w:bCs/>
                <w:color w:val="000000"/>
                <w:sz w:val="20"/>
                <w:lang w:val="es-ES"/>
              </w:rPr>
              <w:t xml:space="preserve"> construcciones</w:t>
            </w:r>
          </w:p>
        </w:tc>
        <w:tc>
          <w:tcPr>
            <w:tcW w:w="1134" w:type="dxa"/>
            <w:tcBorders>
              <w:top w:val="nil"/>
              <w:left w:val="nil"/>
              <w:bottom w:val="nil"/>
              <w:right w:val="nil"/>
            </w:tcBorders>
            <w:vAlign w:val="center"/>
          </w:tcPr>
          <w:p w14:paraId="02EA465F" w14:textId="6D477811" w:rsidR="00D3457D" w:rsidRPr="00F8465B" w:rsidRDefault="00D3457D" w:rsidP="00D3457D">
            <w:pPr>
              <w:keepLines w:val="0"/>
              <w:widowControl/>
              <w:jc w:val="right"/>
              <w:rPr>
                <w:rFonts w:ascii="Cambria" w:hAnsi="Cambria" w:cs="Calibri"/>
                <w:b/>
                <w:bCs/>
                <w:color w:val="000000"/>
                <w:sz w:val="20"/>
                <w:lang w:val="es-ES"/>
              </w:rPr>
            </w:pPr>
            <w:r w:rsidRPr="00F8465B">
              <w:rPr>
                <w:rFonts w:ascii="Cambria" w:hAnsi="Cambria" w:cs="Calibri"/>
                <w:b/>
                <w:bCs/>
                <w:color w:val="000000"/>
                <w:sz w:val="20"/>
                <w:lang w:val="es-ES"/>
              </w:rPr>
              <w:t>151</w:t>
            </w:r>
          </w:p>
        </w:tc>
        <w:tc>
          <w:tcPr>
            <w:tcW w:w="1134" w:type="dxa"/>
            <w:tcBorders>
              <w:top w:val="nil"/>
              <w:left w:val="single" w:sz="4" w:space="0" w:color="auto"/>
              <w:bottom w:val="nil"/>
              <w:right w:val="single" w:sz="8" w:space="0" w:color="auto"/>
            </w:tcBorders>
            <w:shd w:val="clear" w:color="auto" w:fill="auto"/>
            <w:vAlign w:val="center"/>
            <w:hideMark/>
          </w:tcPr>
          <w:p w14:paraId="709A66C0" w14:textId="5732EF80" w:rsidR="00D3457D" w:rsidRPr="00F8465B" w:rsidRDefault="00D3457D" w:rsidP="00D3457D">
            <w:pPr>
              <w:keepLines w:val="0"/>
              <w:widowControl/>
              <w:jc w:val="center"/>
              <w:rPr>
                <w:rFonts w:ascii="Cambria" w:hAnsi="Cambria" w:cs="Calibri"/>
                <w:b/>
                <w:bCs/>
                <w:color w:val="000000"/>
                <w:sz w:val="20"/>
                <w:lang w:val="es-ES"/>
              </w:rPr>
            </w:pPr>
            <w:r w:rsidRPr="00F8465B">
              <w:rPr>
                <w:rFonts w:ascii="Cambria" w:hAnsi="Cambria" w:cs="Calibri"/>
                <w:b/>
                <w:bCs/>
                <w:color w:val="000000"/>
                <w:sz w:val="20"/>
                <w:lang w:val="es-ES"/>
              </w:rPr>
              <w:t>-</w:t>
            </w:r>
          </w:p>
        </w:tc>
        <w:tc>
          <w:tcPr>
            <w:tcW w:w="1134" w:type="dxa"/>
            <w:tcBorders>
              <w:top w:val="nil"/>
              <w:left w:val="nil"/>
              <w:bottom w:val="nil"/>
              <w:right w:val="single" w:sz="8" w:space="0" w:color="auto"/>
            </w:tcBorders>
            <w:shd w:val="clear" w:color="auto" w:fill="auto"/>
            <w:vAlign w:val="center"/>
            <w:hideMark/>
          </w:tcPr>
          <w:p w14:paraId="6E64D573" w14:textId="1CCFE294" w:rsidR="00D3457D" w:rsidRPr="00F8465B" w:rsidRDefault="00D3457D" w:rsidP="00D3457D">
            <w:pPr>
              <w:keepLines w:val="0"/>
              <w:widowControl/>
              <w:jc w:val="right"/>
              <w:rPr>
                <w:rFonts w:ascii="Cambria" w:hAnsi="Cambria" w:cs="Calibri"/>
                <w:b/>
                <w:bCs/>
                <w:color w:val="000000"/>
                <w:sz w:val="20"/>
                <w:lang w:val="es-ES"/>
              </w:rPr>
            </w:pPr>
            <w:r w:rsidRPr="00F8465B">
              <w:rPr>
                <w:rFonts w:ascii="Cambria" w:hAnsi="Cambria" w:cs="Calibri"/>
                <w:b/>
                <w:bCs/>
                <w:color w:val="000000"/>
                <w:sz w:val="20"/>
                <w:lang w:val="es-ES"/>
              </w:rPr>
              <w:t>151</w:t>
            </w:r>
          </w:p>
        </w:tc>
      </w:tr>
      <w:tr w:rsidR="00D3457D" w:rsidRPr="00F8465B" w14:paraId="648811CF" w14:textId="77777777" w:rsidTr="008F10C7">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7B78D9A2" w14:textId="5B48AA8C" w:rsidR="00D3457D" w:rsidRPr="00F8465B" w:rsidRDefault="00D3457D" w:rsidP="00D3457D">
            <w:pPr>
              <w:keepLines w:val="0"/>
              <w:widowControl/>
              <w:jc w:val="left"/>
              <w:rPr>
                <w:rFonts w:ascii="Cambria" w:hAnsi="Cambria" w:cs="Calibri"/>
                <w:color w:val="000000"/>
                <w:sz w:val="20"/>
                <w:lang w:val="es-ES"/>
              </w:rPr>
            </w:pPr>
            <w:r w:rsidRPr="00F8465B">
              <w:rPr>
                <w:rFonts w:ascii="Cambria" w:hAnsi="Cambria" w:cs="Calibri"/>
                <w:color w:val="000000"/>
                <w:sz w:val="20"/>
                <w:lang w:val="es-ES"/>
              </w:rPr>
              <w:t>Instalaciones técnicas y otro inmovilizado</w:t>
            </w:r>
          </w:p>
        </w:tc>
        <w:tc>
          <w:tcPr>
            <w:tcW w:w="1134" w:type="dxa"/>
            <w:tcBorders>
              <w:top w:val="nil"/>
              <w:left w:val="nil"/>
              <w:bottom w:val="nil"/>
              <w:right w:val="nil"/>
            </w:tcBorders>
            <w:vAlign w:val="center"/>
          </w:tcPr>
          <w:p w14:paraId="66421FB9" w14:textId="261404B3" w:rsidR="00D3457D" w:rsidRPr="00F8465B" w:rsidRDefault="00D3457D" w:rsidP="00D3457D">
            <w:pPr>
              <w:keepLines w:val="0"/>
              <w:widowControl/>
              <w:jc w:val="right"/>
              <w:rPr>
                <w:rFonts w:ascii="Cambria" w:hAnsi="Cambria" w:cs="Calibri"/>
                <w:color w:val="000000"/>
                <w:sz w:val="20"/>
                <w:lang w:val="es-ES"/>
              </w:rPr>
            </w:pPr>
            <w:r>
              <w:rPr>
                <w:rFonts w:ascii="Cambria" w:hAnsi="Cambria" w:cs="Arial"/>
                <w:color w:val="000000"/>
                <w:sz w:val="20"/>
              </w:rPr>
              <w:t>16.493</w:t>
            </w:r>
          </w:p>
        </w:tc>
        <w:tc>
          <w:tcPr>
            <w:tcW w:w="1134" w:type="dxa"/>
            <w:tcBorders>
              <w:top w:val="nil"/>
              <w:left w:val="single" w:sz="4" w:space="0" w:color="auto"/>
              <w:bottom w:val="nil"/>
              <w:right w:val="single" w:sz="8" w:space="0" w:color="auto"/>
            </w:tcBorders>
            <w:shd w:val="clear" w:color="auto" w:fill="auto"/>
            <w:vAlign w:val="center"/>
            <w:hideMark/>
          </w:tcPr>
          <w:p w14:paraId="11C7F06D" w14:textId="7F6CB422" w:rsidR="00D3457D" w:rsidRPr="0052024E" w:rsidRDefault="00D3457D" w:rsidP="00D3457D">
            <w:pPr>
              <w:keepLines w:val="0"/>
              <w:widowControl/>
              <w:jc w:val="right"/>
              <w:rPr>
                <w:rFonts w:ascii="Cambria" w:hAnsi="Cambria" w:cs="Calibri"/>
                <w:color w:val="000000"/>
                <w:sz w:val="20"/>
                <w:lang w:val="es-ES"/>
              </w:rPr>
            </w:pPr>
            <w:r w:rsidRPr="0052024E">
              <w:rPr>
                <w:rFonts w:ascii="Cambria" w:hAnsi="Cambria" w:cs="Arial"/>
                <w:color w:val="000000"/>
                <w:sz w:val="20"/>
              </w:rPr>
              <w:t>9</w:t>
            </w:r>
          </w:p>
        </w:tc>
        <w:tc>
          <w:tcPr>
            <w:tcW w:w="1134" w:type="dxa"/>
            <w:tcBorders>
              <w:top w:val="nil"/>
              <w:left w:val="nil"/>
              <w:bottom w:val="nil"/>
              <w:right w:val="single" w:sz="8" w:space="0" w:color="auto"/>
            </w:tcBorders>
            <w:shd w:val="clear" w:color="auto" w:fill="auto"/>
            <w:vAlign w:val="center"/>
            <w:hideMark/>
          </w:tcPr>
          <w:p w14:paraId="3E5F2E82" w14:textId="3B708F17" w:rsidR="00D3457D" w:rsidRPr="0052024E" w:rsidRDefault="00D3457D" w:rsidP="00D3457D">
            <w:pPr>
              <w:keepLines w:val="0"/>
              <w:widowControl/>
              <w:jc w:val="right"/>
              <w:rPr>
                <w:rFonts w:ascii="Cambria" w:hAnsi="Cambria" w:cs="Calibri"/>
                <w:color w:val="000000"/>
                <w:sz w:val="20"/>
                <w:lang w:val="es-ES"/>
              </w:rPr>
            </w:pPr>
            <w:r w:rsidRPr="0052024E">
              <w:rPr>
                <w:rFonts w:ascii="Cambria" w:hAnsi="Cambria" w:cs="Arial"/>
                <w:color w:val="000000"/>
                <w:sz w:val="20"/>
              </w:rPr>
              <w:t>16.502</w:t>
            </w:r>
          </w:p>
        </w:tc>
      </w:tr>
      <w:tr w:rsidR="00D3457D" w:rsidRPr="00F8465B" w14:paraId="21F03553" w14:textId="77777777" w:rsidTr="008F10C7">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53201135" w14:textId="4F77E724" w:rsidR="00D3457D" w:rsidRPr="00F8465B" w:rsidRDefault="00D3457D" w:rsidP="00D3457D">
            <w:pPr>
              <w:keepLines w:val="0"/>
              <w:widowControl/>
              <w:jc w:val="left"/>
              <w:rPr>
                <w:rFonts w:ascii="Cambria" w:hAnsi="Cambria" w:cs="Calibri"/>
                <w:color w:val="000000"/>
                <w:sz w:val="20"/>
                <w:lang w:val="es-ES"/>
              </w:rPr>
            </w:pPr>
            <w:r w:rsidRPr="00F8465B">
              <w:rPr>
                <w:rFonts w:ascii="Cambria" w:hAnsi="Cambria" w:cs="Calibri"/>
                <w:color w:val="000000"/>
                <w:sz w:val="20"/>
                <w:lang w:val="es-ES"/>
              </w:rPr>
              <w:t>Amortizaciones</w:t>
            </w:r>
          </w:p>
        </w:tc>
        <w:tc>
          <w:tcPr>
            <w:tcW w:w="1134" w:type="dxa"/>
            <w:tcBorders>
              <w:top w:val="nil"/>
              <w:left w:val="nil"/>
              <w:bottom w:val="nil"/>
              <w:right w:val="nil"/>
            </w:tcBorders>
            <w:vAlign w:val="center"/>
          </w:tcPr>
          <w:p w14:paraId="10410462" w14:textId="68DC57BD" w:rsidR="00D3457D" w:rsidRPr="00F8465B" w:rsidRDefault="00D3457D" w:rsidP="00D3457D">
            <w:pPr>
              <w:keepLines w:val="0"/>
              <w:widowControl/>
              <w:jc w:val="right"/>
              <w:rPr>
                <w:rFonts w:ascii="Cambria" w:hAnsi="Cambria" w:cs="Calibri"/>
                <w:color w:val="000000"/>
                <w:sz w:val="20"/>
                <w:lang w:val="es-ES"/>
              </w:rPr>
            </w:pPr>
            <w:r>
              <w:rPr>
                <w:rFonts w:ascii="Cambria" w:hAnsi="Cambria" w:cs="Arial"/>
                <w:color w:val="000000"/>
                <w:sz w:val="20"/>
              </w:rPr>
              <w:t>(16.064)</w:t>
            </w:r>
          </w:p>
        </w:tc>
        <w:tc>
          <w:tcPr>
            <w:tcW w:w="1134" w:type="dxa"/>
            <w:tcBorders>
              <w:top w:val="nil"/>
              <w:left w:val="single" w:sz="4" w:space="0" w:color="auto"/>
              <w:bottom w:val="nil"/>
              <w:right w:val="single" w:sz="8" w:space="0" w:color="auto"/>
            </w:tcBorders>
            <w:shd w:val="clear" w:color="auto" w:fill="auto"/>
            <w:vAlign w:val="center"/>
            <w:hideMark/>
          </w:tcPr>
          <w:p w14:paraId="2951ED2F" w14:textId="5498DAE7" w:rsidR="00D3457D" w:rsidRPr="0052024E" w:rsidRDefault="00D3457D" w:rsidP="00D3457D">
            <w:pPr>
              <w:keepLines w:val="0"/>
              <w:widowControl/>
              <w:jc w:val="right"/>
              <w:rPr>
                <w:rFonts w:ascii="Cambria" w:hAnsi="Cambria" w:cs="Calibri"/>
                <w:color w:val="000000"/>
                <w:sz w:val="20"/>
                <w:lang w:val="es-ES"/>
              </w:rPr>
            </w:pPr>
            <w:r w:rsidRPr="0052024E">
              <w:rPr>
                <w:rFonts w:ascii="Cambria" w:hAnsi="Cambria" w:cs="Arial"/>
                <w:color w:val="000000"/>
                <w:sz w:val="20"/>
              </w:rPr>
              <w:t>(</w:t>
            </w:r>
            <w:r w:rsidR="00750BCD" w:rsidRPr="0052024E">
              <w:rPr>
                <w:rFonts w:ascii="Cambria" w:hAnsi="Cambria" w:cs="Arial"/>
                <w:color w:val="000000"/>
                <w:sz w:val="20"/>
              </w:rPr>
              <w:t>6</w:t>
            </w:r>
            <w:r w:rsidRPr="0052024E">
              <w:rPr>
                <w:rFonts w:ascii="Cambria" w:hAnsi="Cambria" w:cs="Arial"/>
                <w:color w:val="000000"/>
                <w:sz w:val="20"/>
              </w:rPr>
              <w:t>)</w:t>
            </w:r>
          </w:p>
        </w:tc>
        <w:tc>
          <w:tcPr>
            <w:tcW w:w="1134" w:type="dxa"/>
            <w:tcBorders>
              <w:top w:val="nil"/>
              <w:left w:val="nil"/>
              <w:bottom w:val="nil"/>
              <w:right w:val="single" w:sz="8" w:space="0" w:color="auto"/>
            </w:tcBorders>
            <w:shd w:val="clear" w:color="auto" w:fill="auto"/>
            <w:vAlign w:val="center"/>
            <w:hideMark/>
          </w:tcPr>
          <w:p w14:paraId="4704E5C9" w14:textId="3D9EBD95" w:rsidR="00D3457D" w:rsidRPr="0052024E" w:rsidRDefault="00D3457D" w:rsidP="00D3457D">
            <w:pPr>
              <w:keepLines w:val="0"/>
              <w:widowControl/>
              <w:jc w:val="right"/>
              <w:rPr>
                <w:rFonts w:ascii="Cambria" w:hAnsi="Cambria" w:cs="Calibri"/>
                <w:color w:val="000000"/>
                <w:sz w:val="20"/>
                <w:lang w:val="es-ES"/>
              </w:rPr>
            </w:pPr>
            <w:r w:rsidRPr="0052024E">
              <w:rPr>
                <w:rFonts w:ascii="Cambria" w:hAnsi="Cambria" w:cs="Arial"/>
                <w:color w:val="000000"/>
                <w:sz w:val="20"/>
              </w:rPr>
              <w:t>(16.069)</w:t>
            </w:r>
          </w:p>
        </w:tc>
      </w:tr>
      <w:tr w:rsidR="00D3457D" w:rsidRPr="00F8465B" w14:paraId="3C16425D" w14:textId="77777777" w:rsidTr="008F10C7">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173A7ACF" w14:textId="43127973" w:rsidR="00D3457D" w:rsidRPr="00F8465B" w:rsidRDefault="00D3457D" w:rsidP="00D3457D">
            <w:pPr>
              <w:keepLines w:val="0"/>
              <w:widowControl/>
              <w:jc w:val="left"/>
              <w:rPr>
                <w:rFonts w:ascii="Cambria" w:hAnsi="Cambria" w:cs="Calibri"/>
                <w:color w:val="000000"/>
                <w:sz w:val="20"/>
                <w:lang w:val="es-ES"/>
              </w:rPr>
            </w:pPr>
            <w:r w:rsidRPr="00F8465B">
              <w:rPr>
                <w:rFonts w:ascii="Cambria" w:hAnsi="Cambria" w:cs="Calibri"/>
                <w:color w:val="000000"/>
                <w:sz w:val="20"/>
                <w:lang w:val="es-ES"/>
              </w:rPr>
              <w:t>Deterioro</w:t>
            </w:r>
          </w:p>
        </w:tc>
        <w:tc>
          <w:tcPr>
            <w:tcW w:w="1134" w:type="dxa"/>
            <w:tcBorders>
              <w:top w:val="nil"/>
              <w:left w:val="nil"/>
              <w:bottom w:val="nil"/>
              <w:right w:val="nil"/>
            </w:tcBorders>
            <w:vAlign w:val="center"/>
          </w:tcPr>
          <w:p w14:paraId="39861FE1" w14:textId="01C96CC5" w:rsidR="00D3457D" w:rsidRPr="00F8465B" w:rsidRDefault="00D3457D" w:rsidP="00D3457D">
            <w:pPr>
              <w:keepLines w:val="0"/>
              <w:widowControl/>
              <w:jc w:val="right"/>
              <w:rPr>
                <w:rFonts w:ascii="Cambria" w:hAnsi="Cambria" w:cs="Calibri"/>
                <w:color w:val="000000"/>
                <w:sz w:val="20"/>
                <w:lang w:val="es-ES"/>
              </w:rPr>
            </w:pPr>
            <w:r>
              <w:rPr>
                <w:rFonts w:ascii="Cambria" w:hAnsi="Cambria" w:cs="Arial"/>
                <w:color w:val="000000"/>
                <w:sz w:val="20"/>
              </w:rPr>
              <w:t>(423)</w:t>
            </w:r>
          </w:p>
        </w:tc>
        <w:tc>
          <w:tcPr>
            <w:tcW w:w="1134" w:type="dxa"/>
            <w:tcBorders>
              <w:top w:val="nil"/>
              <w:left w:val="single" w:sz="4" w:space="0" w:color="auto"/>
              <w:bottom w:val="nil"/>
              <w:right w:val="single" w:sz="8" w:space="0" w:color="auto"/>
            </w:tcBorders>
            <w:shd w:val="clear" w:color="auto" w:fill="auto"/>
            <w:vAlign w:val="center"/>
            <w:hideMark/>
          </w:tcPr>
          <w:p w14:paraId="6981DBEB" w14:textId="6E721085" w:rsidR="00D3457D" w:rsidRPr="00F8465B" w:rsidRDefault="00D3457D" w:rsidP="00D3457D">
            <w:pPr>
              <w:keepLines w:val="0"/>
              <w:widowControl/>
              <w:jc w:val="center"/>
              <w:rPr>
                <w:rFonts w:ascii="Cambria" w:hAnsi="Cambria" w:cs="Calibri"/>
                <w:color w:val="000000"/>
                <w:sz w:val="20"/>
                <w:lang w:val="es-ES"/>
              </w:rPr>
            </w:pPr>
            <w:r>
              <w:rPr>
                <w:rFonts w:ascii="Cambria" w:hAnsi="Cambria" w:cs="Arial"/>
                <w:color w:val="000000"/>
                <w:sz w:val="20"/>
              </w:rPr>
              <w:t>- </w:t>
            </w:r>
          </w:p>
        </w:tc>
        <w:tc>
          <w:tcPr>
            <w:tcW w:w="1134" w:type="dxa"/>
            <w:tcBorders>
              <w:top w:val="nil"/>
              <w:left w:val="nil"/>
              <w:bottom w:val="nil"/>
              <w:right w:val="single" w:sz="8" w:space="0" w:color="auto"/>
            </w:tcBorders>
            <w:shd w:val="clear" w:color="auto" w:fill="auto"/>
            <w:vAlign w:val="center"/>
            <w:hideMark/>
          </w:tcPr>
          <w:p w14:paraId="35DEB6C4" w14:textId="35C151F6" w:rsidR="00D3457D" w:rsidRPr="00F8465B" w:rsidRDefault="00D3457D" w:rsidP="00D3457D">
            <w:pPr>
              <w:keepLines w:val="0"/>
              <w:widowControl/>
              <w:jc w:val="right"/>
              <w:rPr>
                <w:rFonts w:ascii="Cambria" w:hAnsi="Cambria" w:cs="Calibri"/>
                <w:color w:val="000000"/>
                <w:sz w:val="20"/>
                <w:lang w:val="es-ES"/>
              </w:rPr>
            </w:pPr>
            <w:r>
              <w:rPr>
                <w:rFonts w:ascii="Cambria" w:hAnsi="Cambria" w:cs="Arial"/>
                <w:color w:val="000000"/>
                <w:sz w:val="20"/>
              </w:rPr>
              <w:t>(423)</w:t>
            </w:r>
          </w:p>
        </w:tc>
      </w:tr>
      <w:tr w:rsidR="00D3457D" w:rsidRPr="00F8465B" w14:paraId="4C307C03" w14:textId="77777777" w:rsidTr="008F10C7">
        <w:trPr>
          <w:trHeight w:val="525"/>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3CFCB65D" w14:textId="3A31736F" w:rsidR="00D3457D" w:rsidRPr="00F8465B" w:rsidRDefault="00D3457D" w:rsidP="00D3457D">
            <w:pPr>
              <w:keepLines w:val="0"/>
              <w:widowControl/>
              <w:jc w:val="left"/>
              <w:rPr>
                <w:rFonts w:ascii="Cambria" w:hAnsi="Cambria" w:cs="Calibri"/>
                <w:b/>
                <w:bCs/>
                <w:color w:val="000000"/>
                <w:sz w:val="20"/>
                <w:lang w:val="es-ES"/>
              </w:rPr>
            </w:pPr>
            <w:r w:rsidRPr="00F8465B">
              <w:rPr>
                <w:rFonts w:ascii="Cambria" w:hAnsi="Cambria" w:cs="Calibri"/>
                <w:b/>
                <w:bCs/>
                <w:color w:val="000000"/>
                <w:sz w:val="20"/>
                <w:lang w:val="es-ES"/>
              </w:rPr>
              <w:t>Instalaciones técnicas y otro inmovilizado</w:t>
            </w:r>
          </w:p>
        </w:tc>
        <w:tc>
          <w:tcPr>
            <w:tcW w:w="1134" w:type="dxa"/>
            <w:tcBorders>
              <w:top w:val="nil"/>
              <w:left w:val="nil"/>
              <w:bottom w:val="single" w:sz="8" w:space="0" w:color="auto"/>
              <w:right w:val="nil"/>
            </w:tcBorders>
            <w:vAlign w:val="center"/>
          </w:tcPr>
          <w:p w14:paraId="45ECD9B0" w14:textId="556CCE1C" w:rsidR="00D3457D" w:rsidRPr="00F8465B" w:rsidRDefault="00D3457D" w:rsidP="00D3457D">
            <w:pPr>
              <w:keepLines w:val="0"/>
              <w:widowControl/>
              <w:jc w:val="right"/>
              <w:rPr>
                <w:rFonts w:ascii="Cambria" w:hAnsi="Cambria" w:cs="Calibri"/>
                <w:b/>
                <w:bCs/>
                <w:color w:val="000000"/>
                <w:sz w:val="20"/>
                <w:lang w:val="es-ES"/>
              </w:rPr>
            </w:pPr>
            <w:r>
              <w:rPr>
                <w:rFonts w:ascii="Cambria" w:hAnsi="Cambria" w:cs="Arial"/>
                <w:b/>
                <w:bCs/>
                <w:color w:val="000000"/>
                <w:sz w:val="20"/>
              </w:rPr>
              <w:t>6</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2A680EDA" w14:textId="73ED134A" w:rsidR="00D3457D" w:rsidRPr="00F8465B" w:rsidRDefault="00750BCD" w:rsidP="00D3457D">
            <w:pPr>
              <w:keepLines w:val="0"/>
              <w:widowControl/>
              <w:jc w:val="right"/>
              <w:rPr>
                <w:rFonts w:ascii="Cambria" w:hAnsi="Cambria" w:cs="Calibri"/>
                <w:b/>
                <w:bCs/>
                <w:color w:val="000000"/>
                <w:sz w:val="20"/>
                <w:lang w:val="es-ES"/>
              </w:rPr>
            </w:pPr>
            <w:r>
              <w:rPr>
                <w:rFonts w:ascii="Cambria" w:hAnsi="Cambria" w:cs="Arial"/>
                <w:b/>
                <w:bCs/>
                <w:color w:val="000000"/>
                <w:sz w:val="20"/>
              </w:rPr>
              <w:t>3</w:t>
            </w:r>
          </w:p>
        </w:tc>
        <w:tc>
          <w:tcPr>
            <w:tcW w:w="1134" w:type="dxa"/>
            <w:tcBorders>
              <w:top w:val="nil"/>
              <w:left w:val="nil"/>
              <w:bottom w:val="single" w:sz="8" w:space="0" w:color="auto"/>
              <w:right w:val="single" w:sz="8" w:space="0" w:color="auto"/>
            </w:tcBorders>
            <w:shd w:val="clear" w:color="auto" w:fill="auto"/>
            <w:vAlign w:val="center"/>
            <w:hideMark/>
          </w:tcPr>
          <w:p w14:paraId="750E99D5" w14:textId="6A389493" w:rsidR="00D3457D" w:rsidRPr="00F8465B" w:rsidRDefault="00750BCD" w:rsidP="00D3457D">
            <w:pPr>
              <w:keepLines w:val="0"/>
              <w:widowControl/>
              <w:jc w:val="right"/>
              <w:rPr>
                <w:rFonts w:ascii="Cambria" w:hAnsi="Cambria" w:cs="Calibri"/>
                <w:b/>
                <w:bCs/>
                <w:color w:val="000000"/>
                <w:sz w:val="20"/>
                <w:lang w:val="es-ES"/>
              </w:rPr>
            </w:pPr>
            <w:r>
              <w:rPr>
                <w:rFonts w:ascii="Cambria" w:hAnsi="Cambria" w:cs="Arial"/>
                <w:b/>
                <w:bCs/>
                <w:color w:val="000000"/>
                <w:sz w:val="20"/>
              </w:rPr>
              <w:t>9</w:t>
            </w:r>
          </w:p>
        </w:tc>
      </w:tr>
      <w:tr w:rsidR="00D3457D" w:rsidRPr="00F8465B" w14:paraId="6866FC2C" w14:textId="77777777" w:rsidTr="008F10C7">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7B124DD6" w14:textId="7A8F0B64" w:rsidR="00D3457D" w:rsidRPr="00F8465B" w:rsidRDefault="00D3457D" w:rsidP="00D3457D">
            <w:pPr>
              <w:keepLines w:val="0"/>
              <w:widowControl/>
              <w:jc w:val="left"/>
              <w:rPr>
                <w:rFonts w:ascii="Cambria" w:hAnsi="Cambria" w:cs="Calibri"/>
                <w:b/>
                <w:bCs/>
                <w:color w:val="000000"/>
                <w:sz w:val="20"/>
                <w:lang w:val="es-ES"/>
              </w:rPr>
            </w:pPr>
            <w:r w:rsidRPr="00F8465B">
              <w:rPr>
                <w:rFonts w:ascii="Cambria" w:hAnsi="Cambria" w:cs="Calibri"/>
                <w:b/>
                <w:bCs/>
                <w:color w:val="000000"/>
                <w:sz w:val="20"/>
                <w:lang w:val="es-ES"/>
              </w:rPr>
              <w:t>INMOVILIZADO MATERIAL</w:t>
            </w:r>
          </w:p>
        </w:tc>
        <w:tc>
          <w:tcPr>
            <w:tcW w:w="1134" w:type="dxa"/>
            <w:tcBorders>
              <w:top w:val="nil"/>
              <w:left w:val="nil"/>
              <w:bottom w:val="single" w:sz="8" w:space="0" w:color="auto"/>
              <w:right w:val="nil"/>
            </w:tcBorders>
            <w:vAlign w:val="center"/>
          </w:tcPr>
          <w:p w14:paraId="08410747" w14:textId="241179F3" w:rsidR="00D3457D" w:rsidRPr="00F8465B" w:rsidRDefault="00D3457D" w:rsidP="00D3457D">
            <w:pPr>
              <w:keepLines w:val="0"/>
              <w:widowControl/>
              <w:jc w:val="right"/>
              <w:rPr>
                <w:rFonts w:ascii="Cambria" w:hAnsi="Cambria" w:cs="Calibri"/>
                <w:b/>
                <w:bCs/>
                <w:color w:val="000000"/>
                <w:sz w:val="20"/>
                <w:lang w:val="es-ES"/>
              </w:rPr>
            </w:pPr>
            <w:r>
              <w:rPr>
                <w:rFonts w:ascii="Cambria" w:hAnsi="Cambria" w:cs="Arial"/>
                <w:b/>
                <w:bCs/>
                <w:color w:val="000000"/>
                <w:sz w:val="20"/>
              </w:rPr>
              <w:t>157</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41C0DE13" w14:textId="3E710ECF" w:rsidR="00D3457D" w:rsidRPr="00F8465B" w:rsidRDefault="00750BCD" w:rsidP="00D3457D">
            <w:pPr>
              <w:keepLines w:val="0"/>
              <w:widowControl/>
              <w:jc w:val="right"/>
              <w:rPr>
                <w:rFonts w:ascii="Cambria" w:hAnsi="Cambria" w:cs="Calibri"/>
                <w:b/>
                <w:bCs/>
                <w:color w:val="000000"/>
                <w:sz w:val="20"/>
                <w:lang w:val="es-ES"/>
              </w:rPr>
            </w:pPr>
            <w:r>
              <w:rPr>
                <w:rFonts w:ascii="Cambria" w:hAnsi="Cambria" w:cs="Arial"/>
                <w:b/>
                <w:bCs/>
                <w:color w:val="000000"/>
                <w:sz w:val="20"/>
              </w:rPr>
              <w:t>3</w:t>
            </w:r>
          </w:p>
        </w:tc>
        <w:tc>
          <w:tcPr>
            <w:tcW w:w="1134" w:type="dxa"/>
            <w:tcBorders>
              <w:top w:val="nil"/>
              <w:left w:val="nil"/>
              <w:bottom w:val="single" w:sz="8" w:space="0" w:color="auto"/>
              <w:right w:val="single" w:sz="8" w:space="0" w:color="auto"/>
            </w:tcBorders>
            <w:shd w:val="clear" w:color="auto" w:fill="auto"/>
            <w:vAlign w:val="center"/>
            <w:hideMark/>
          </w:tcPr>
          <w:p w14:paraId="1F1449FC" w14:textId="34084093" w:rsidR="00D3457D" w:rsidRPr="00F8465B" w:rsidRDefault="0094281F" w:rsidP="00D3457D">
            <w:pPr>
              <w:keepLines w:val="0"/>
              <w:widowControl/>
              <w:jc w:val="right"/>
              <w:rPr>
                <w:rFonts w:ascii="Cambria" w:hAnsi="Cambria" w:cs="Calibri"/>
                <w:b/>
                <w:bCs/>
                <w:color w:val="000000"/>
                <w:sz w:val="20"/>
                <w:lang w:val="es-ES"/>
              </w:rPr>
            </w:pPr>
            <w:r>
              <w:rPr>
                <w:rFonts w:ascii="Cambria" w:hAnsi="Cambria" w:cs="Arial"/>
                <w:b/>
                <w:bCs/>
                <w:color w:val="000000"/>
                <w:sz w:val="20"/>
              </w:rPr>
              <w:t>160</w:t>
            </w:r>
          </w:p>
        </w:tc>
      </w:tr>
    </w:tbl>
    <w:p w14:paraId="3E3A6F43" w14:textId="77777777" w:rsidR="00E564FE" w:rsidRDefault="00E564FE" w:rsidP="002D6127"/>
    <w:p w14:paraId="62CB2FE9" w14:textId="0A335282" w:rsidR="00975649" w:rsidRDefault="00975649" w:rsidP="00975649">
      <w:pPr>
        <w:ind w:left="567"/>
        <w:rPr>
          <w:rFonts w:ascii="Cambria" w:hAnsi="Cambria"/>
          <w:sz w:val="24"/>
          <w:szCs w:val="24"/>
        </w:rPr>
      </w:pPr>
      <w:r w:rsidRPr="00975649">
        <w:rPr>
          <w:rFonts w:ascii="Cambria" w:hAnsi="Cambria"/>
          <w:sz w:val="24"/>
          <w:szCs w:val="24"/>
        </w:rPr>
        <w:t>Como se señala en la Nota 1, la Sociedad, en 2010, con la absorción de PRESUR, adquirió los terrenos, las edificaciones, instalaciones y maquinaria donde ésta desarrollaba su actividad.</w:t>
      </w:r>
    </w:p>
    <w:p w14:paraId="6DF0F5A1" w14:textId="4691DBCB" w:rsidR="008C0D8E" w:rsidRDefault="008C0D8E">
      <w:pPr>
        <w:keepLines w:val="0"/>
        <w:widowControl/>
        <w:jc w:val="left"/>
        <w:rPr>
          <w:rFonts w:ascii="Cambria" w:hAnsi="Cambria"/>
          <w:sz w:val="24"/>
          <w:szCs w:val="24"/>
        </w:rPr>
      </w:pPr>
      <w:r>
        <w:rPr>
          <w:rFonts w:ascii="Cambria" w:hAnsi="Cambria"/>
          <w:sz w:val="24"/>
          <w:szCs w:val="24"/>
        </w:rPr>
        <w:br w:type="page"/>
      </w:r>
    </w:p>
    <w:p w14:paraId="64A9D63B" w14:textId="3BCE1420" w:rsidR="004E3529" w:rsidRDefault="004E3529" w:rsidP="00975649">
      <w:pPr>
        <w:ind w:left="567"/>
        <w:rPr>
          <w:rFonts w:ascii="Cambria" w:hAnsi="Cambria"/>
          <w:sz w:val="24"/>
          <w:szCs w:val="24"/>
        </w:rPr>
      </w:pPr>
    </w:p>
    <w:p w14:paraId="6BE6E544" w14:textId="13F65326" w:rsidR="00025154" w:rsidRDefault="00025154" w:rsidP="00975649">
      <w:pPr>
        <w:ind w:left="567"/>
        <w:rPr>
          <w:rFonts w:ascii="Cambria" w:hAnsi="Cambria"/>
          <w:sz w:val="24"/>
          <w:szCs w:val="24"/>
        </w:rPr>
      </w:pPr>
    </w:p>
    <w:p w14:paraId="1B85811F" w14:textId="77777777" w:rsidR="00025154" w:rsidRPr="007011A5" w:rsidRDefault="00025154" w:rsidP="00025154">
      <w:pPr>
        <w:ind w:left="567"/>
        <w:rPr>
          <w:rFonts w:ascii="Cambria" w:hAnsi="Cambria"/>
          <w:sz w:val="24"/>
          <w:szCs w:val="24"/>
        </w:rPr>
      </w:pPr>
      <w:r w:rsidRPr="007011A5">
        <w:rPr>
          <w:rFonts w:ascii="Cambria" w:hAnsi="Cambria"/>
          <w:sz w:val="24"/>
          <w:szCs w:val="24"/>
        </w:rPr>
        <w:t>El valor bruto de los elementos en uso que se encuentran totalmente amortizados es el siguiente:</w:t>
      </w:r>
    </w:p>
    <w:p w14:paraId="6BB7398E" w14:textId="3B0C4B7E" w:rsidR="00025154" w:rsidRDefault="00025154" w:rsidP="00025154">
      <w:pPr>
        <w:suppressAutoHyphens/>
        <w:ind w:left="284"/>
        <w:rPr>
          <w:rFonts w:ascii="Times New Roman" w:hAnsi="Times New Roman"/>
          <w:spacing w:val="-2"/>
          <w:szCs w:val="22"/>
        </w:rPr>
      </w:pPr>
    </w:p>
    <w:p w14:paraId="61B90507" w14:textId="1202B8BC" w:rsidR="00025154" w:rsidRDefault="00025154" w:rsidP="00025154">
      <w:pPr>
        <w:suppressAutoHyphens/>
        <w:ind w:left="284"/>
        <w:rPr>
          <w:rFonts w:ascii="Times New Roman" w:hAnsi="Times New Roman"/>
          <w:spacing w:val="-2"/>
          <w:szCs w:val="22"/>
        </w:rPr>
      </w:pPr>
    </w:p>
    <w:tbl>
      <w:tblPr>
        <w:tblW w:w="6237" w:type="dxa"/>
        <w:tblInd w:w="557" w:type="dxa"/>
        <w:tblCellMar>
          <w:left w:w="70" w:type="dxa"/>
          <w:right w:w="70" w:type="dxa"/>
        </w:tblCellMar>
        <w:tblLook w:val="04A0" w:firstRow="1" w:lastRow="0" w:firstColumn="1" w:lastColumn="0" w:noHBand="0" w:noVBand="1"/>
      </w:tblPr>
      <w:tblGrid>
        <w:gridCol w:w="3969"/>
        <w:gridCol w:w="1134"/>
        <w:gridCol w:w="1134"/>
      </w:tblGrid>
      <w:tr w:rsidR="00025154" w:rsidRPr="00F8465B" w14:paraId="0502E762" w14:textId="77777777" w:rsidTr="007038E3">
        <w:trPr>
          <w:trHeight w:val="525"/>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6B54D9" w14:textId="77777777" w:rsidR="00025154" w:rsidRPr="00F8465B" w:rsidRDefault="00025154" w:rsidP="009C01F5">
            <w:pPr>
              <w:keepLines w:val="0"/>
              <w:widowControl/>
              <w:rPr>
                <w:rFonts w:ascii="Cambria" w:hAnsi="Cambria" w:cs="Calibri"/>
                <w:color w:val="000000"/>
                <w:sz w:val="20"/>
                <w:lang w:val="es-ES"/>
              </w:rPr>
            </w:pPr>
            <w:r w:rsidRPr="00F8465B">
              <w:rPr>
                <w:rFonts w:ascii="Cambria" w:hAnsi="Cambria" w:cs="Calibri"/>
                <w:color w:val="000000"/>
                <w:sz w:val="20"/>
                <w:lang w:val="es-ES"/>
              </w:rPr>
              <w:t> </w:t>
            </w:r>
          </w:p>
        </w:tc>
        <w:tc>
          <w:tcPr>
            <w:tcW w:w="1134" w:type="dxa"/>
            <w:tcBorders>
              <w:top w:val="single" w:sz="8" w:space="0" w:color="auto"/>
              <w:left w:val="nil"/>
              <w:bottom w:val="single" w:sz="8" w:space="0" w:color="auto"/>
              <w:right w:val="single" w:sz="4" w:space="0" w:color="auto"/>
            </w:tcBorders>
            <w:vAlign w:val="center"/>
          </w:tcPr>
          <w:p w14:paraId="48A3042A" w14:textId="3D14F347" w:rsidR="00025154" w:rsidRPr="00F8465B" w:rsidRDefault="00025154" w:rsidP="009C01F5">
            <w:pPr>
              <w:keepLines w:val="0"/>
              <w:widowControl/>
              <w:jc w:val="center"/>
              <w:rPr>
                <w:rFonts w:ascii="Cambria" w:hAnsi="Cambria" w:cs="Calibri"/>
                <w:b/>
                <w:bCs/>
                <w:color w:val="000000"/>
                <w:sz w:val="20"/>
                <w:lang w:val="es-ES"/>
              </w:rPr>
            </w:pPr>
            <w:r w:rsidRPr="00F8465B">
              <w:rPr>
                <w:rFonts w:ascii="Cambria" w:hAnsi="Cambria" w:cs="Calibri"/>
                <w:b/>
                <w:bCs/>
                <w:color w:val="000000"/>
                <w:sz w:val="20"/>
                <w:lang w:val="es-ES"/>
              </w:rPr>
              <w:t>Saldo al 31.12.1</w:t>
            </w:r>
            <w:r>
              <w:rPr>
                <w:rFonts w:ascii="Cambria" w:hAnsi="Cambria" w:cs="Calibri"/>
                <w:b/>
                <w:bCs/>
                <w:color w:val="000000"/>
                <w:sz w:val="20"/>
                <w:lang w:val="es-ES"/>
              </w:rPr>
              <w:t>9</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65E26CA" w14:textId="307459A0" w:rsidR="00025154" w:rsidRPr="00F8465B" w:rsidRDefault="00025154" w:rsidP="009C01F5">
            <w:pPr>
              <w:keepLines w:val="0"/>
              <w:widowControl/>
              <w:jc w:val="center"/>
              <w:rPr>
                <w:rFonts w:ascii="Cambria" w:hAnsi="Cambria" w:cs="Calibri"/>
                <w:b/>
                <w:bCs/>
                <w:color w:val="000000"/>
                <w:sz w:val="20"/>
                <w:lang w:val="es-ES"/>
              </w:rPr>
            </w:pPr>
            <w:r w:rsidRPr="00F8465B">
              <w:rPr>
                <w:rFonts w:ascii="Cambria" w:hAnsi="Cambria" w:cs="Calibri"/>
                <w:b/>
                <w:bCs/>
                <w:color w:val="000000"/>
                <w:sz w:val="20"/>
                <w:lang w:val="es-ES"/>
              </w:rPr>
              <w:t>Saldo al 31.12.</w:t>
            </w:r>
            <w:r>
              <w:rPr>
                <w:rFonts w:ascii="Cambria" w:hAnsi="Cambria" w:cs="Calibri"/>
                <w:b/>
                <w:bCs/>
                <w:color w:val="000000"/>
                <w:sz w:val="20"/>
                <w:lang w:val="es-ES"/>
              </w:rPr>
              <w:t>20</w:t>
            </w:r>
          </w:p>
        </w:tc>
      </w:tr>
      <w:tr w:rsidR="00025154" w:rsidRPr="00F8465B" w14:paraId="4DE2CBD0" w14:textId="77777777" w:rsidTr="007038E3">
        <w:trPr>
          <w:trHeight w:hRule="exact" w:val="312"/>
        </w:trPr>
        <w:tc>
          <w:tcPr>
            <w:tcW w:w="3969" w:type="dxa"/>
            <w:tcBorders>
              <w:top w:val="single" w:sz="8" w:space="0" w:color="auto"/>
              <w:left w:val="single" w:sz="8" w:space="0" w:color="auto"/>
              <w:right w:val="single" w:sz="8" w:space="0" w:color="auto"/>
            </w:tcBorders>
            <w:shd w:val="clear" w:color="auto" w:fill="auto"/>
            <w:vAlign w:val="center"/>
            <w:hideMark/>
          </w:tcPr>
          <w:p w14:paraId="5B733F77" w14:textId="6CAB8B7E" w:rsidR="00025154" w:rsidRPr="00F8465B" w:rsidRDefault="00025154" w:rsidP="009C01F5">
            <w:pPr>
              <w:keepLines w:val="0"/>
              <w:widowControl/>
              <w:jc w:val="left"/>
              <w:rPr>
                <w:rFonts w:ascii="Cambria" w:hAnsi="Cambria" w:cs="Calibri"/>
                <w:color w:val="000000"/>
                <w:sz w:val="20"/>
                <w:lang w:val="es-ES"/>
              </w:rPr>
            </w:pPr>
            <w:r w:rsidRPr="00F8465B">
              <w:rPr>
                <w:rFonts w:ascii="Cambria" w:hAnsi="Cambria" w:cs="Calibri"/>
                <w:color w:val="000000"/>
                <w:sz w:val="20"/>
                <w:lang w:val="es-ES"/>
              </w:rPr>
              <w:t>Construcciones</w:t>
            </w:r>
          </w:p>
        </w:tc>
        <w:tc>
          <w:tcPr>
            <w:tcW w:w="1134" w:type="dxa"/>
            <w:tcBorders>
              <w:top w:val="single" w:sz="8" w:space="0" w:color="auto"/>
              <w:left w:val="nil"/>
              <w:right w:val="single" w:sz="4" w:space="0" w:color="auto"/>
            </w:tcBorders>
            <w:vAlign w:val="center"/>
          </w:tcPr>
          <w:p w14:paraId="6F56A027" w14:textId="7A8A5490" w:rsidR="00025154" w:rsidRPr="00F8465B" w:rsidRDefault="00025154" w:rsidP="009C01F5">
            <w:pPr>
              <w:keepLines w:val="0"/>
              <w:widowControl/>
              <w:jc w:val="right"/>
              <w:rPr>
                <w:rFonts w:ascii="Cambria" w:hAnsi="Cambria" w:cs="Calibri"/>
                <w:color w:val="000000"/>
                <w:sz w:val="20"/>
                <w:lang w:val="es-ES"/>
              </w:rPr>
            </w:pPr>
            <w:r>
              <w:rPr>
                <w:rFonts w:ascii="Cambria" w:hAnsi="Cambria" w:cs="Calibri"/>
                <w:color w:val="000000"/>
                <w:sz w:val="20"/>
                <w:lang w:val="es-ES"/>
              </w:rPr>
              <w:t>95</w:t>
            </w:r>
          </w:p>
        </w:tc>
        <w:tc>
          <w:tcPr>
            <w:tcW w:w="1134" w:type="dxa"/>
            <w:tcBorders>
              <w:top w:val="nil"/>
              <w:left w:val="single" w:sz="4" w:space="0" w:color="auto"/>
              <w:right w:val="single" w:sz="4" w:space="0" w:color="auto"/>
            </w:tcBorders>
            <w:shd w:val="clear" w:color="auto" w:fill="auto"/>
            <w:vAlign w:val="center"/>
          </w:tcPr>
          <w:p w14:paraId="7BC84A99" w14:textId="1D030953" w:rsidR="00025154" w:rsidRPr="00F8465B" w:rsidRDefault="00025154" w:rsidP="009C01F5">
            <w:pPr>
              <w:keepLines w:val="0"/>
              <w:widowControl/>
              <w:jc w:val="right"/>
              <w:rPr>
                <w:rFonts w:ascii="Cambria" w:hAnsi="Cambria" w:cs="Calibri"/>
                <w:color w:val="000000"/>
                <w:sz w:val="20"/>
                <w:lang w:val="es-ES"/>
              </w:rPr>
            </w:pPr>
            <w:r>
              <w:rPr>
                <w:rFonts w:ascii="Cambria" w:hAnsi="Cambria" w:cs="Calibri"/>
                <w:color w:val="000000"/>
                <w:sz w:val="20"/>
                <w:lang w:val="es-ES"/>
              </w:rPr>
              <w:t>95</w:t>
            </w:r>
          </w:p>
        </w:tc>
      </w:tr>
      <w:tr w:rsidR="00025154" w:rsidRPr="00F8465B" w14:paraId="5CA1C2C8" w14:textId="77777777" w:rsidTr="007038E3">
        <w:trPr>
          <w:trHeight w:hRule="exact" w:val="312"/>
        </w:trPr>
        <w:tc>
          <w:tcPr>
            <w:tcW w:w="3969" w:type="dxa"/>
            <w:tcBorders>
              <w:top w:val="nil"/>
              <w:left w:val="single" w:sz="8" w:space="0" w:color="auto"/>
              <w:bottom w:val="single" w:sz="4" w:space="0" w:color="auto"/>
              <w:right w:val="single" w:sz="8" w:space="0" w:color="auto"/>
            </w:tcBorders>
            <w:shd w:val="clear" w:color="auto" w:fill="auto"/>
            <w:vAlign w:val="center"/>
            <w:hideMark/>
          </w:tcPr>
          <w:p w14:paraId="10B1CAB3" w14:textId="76FB0C4E" w:rsidR="00025154" w:rsidRPr="00F8465B" w:rsidRDefault="00025154" w:rsidP="009C01F5">
            <w:pPr>
              <w:keepLines w:val="0"/>
              <w:widowControl/>
              <w:jc w:val="left"/>
              <w:rPr>
                <w:rFonts w:ascii="Cambria" w:hAnsi="Cambria" w:cs="Calibri"/>
                <w:color w:val="000000"/>
                <w:sz w:val="20"/>
                <w:lang w:val="es-ES"/>
              </w:rPr>
            </w:pPr>
            <w:r>
              <w:rPr>
                <w:rFonts w:ascii="Cambria" w:hAnsi="Cambria" w:cs="Calibri"/>
                <w:color w:val="000000"/>
                <w:sz w:val="20"/>
                <w:lang w:val="es-ES"/>
              </w:rPr>
              <w:t>Resto de inmovilizado material</w:t>
            </w:r>
          </w:p>
        </w:tc>
        <w:tc>
          <w:tcPr>
            <w:tcW w:w="1134" w:type="dxa"/>
            <w:tcBorders>
              <w:top w:val="nil"/>
              <w:left w:val="nil"/>
              <w:bottom w:val="single" w:sz="4" w:space="0" w:color="auto"/>
              <w:right w:val="single" w:sz="4" w:space="0" w:color="auto"/>
            </w:tcBorders>
            <w:vAlign w:val="center"/>
          </w:tcPr>
          <w:p w14:paraId="0FB9EA3B" w14:textId="6C38DD6E" w:rsidR="00025154" w:rsidRPr="00F8465B" w:rsidRDefault="007038E3" w:rsidP="009C01F5">
            <w:pPr>
              <w:keepLines w:val="0"/>
              <w:widowControl/>
              <w:jc w:val="right"/>
              <w:rPr>
                <w:rFonts w:ascii="Cambria" w:hAnsi="Cambria" w:cs="Calibri"/>
                <w:color w:val="000000"/>
                <w:sz w:val="20"/>
                <w:lang w:val="es-ES"/>
              </w:rPr>
            </w:pPr>
            <w:r>
              <w:rPr>
                <w:rFonts w:ascii="Cambria" w:hAnsi="Cambria" w:cs="Calibri"/>
                <w:color w:val="000000"/>
                <w:sz w:val="20"/>
                <w:lang w:val="es-ES"/>
              </w:rPr>
              <w:t>97</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05DAA5" w14:textId="00E650F5" w:rsidR="00025154" w:rsidRPr="00F8465B" w:rsidRDefault="007038E3" w:rsidP="009C01F5">
            <w:pPr>
              <w:keepLines w:val="0"/>
              <w:widowControl/>
              <w:jc w:val="right"/>
              <w:rPr>
                <w:rFonts w:ascii="Cambria" w:hAnsi="Cambria" w:cs="Calibri"/>
                <w:color w:val="000000"/>
                <w:sz w:val="20"/>
                <w:lang w:val="es-ES"/>
              </w:rPr>
            </w:pPr>
            <w:r>
              <w:rPr>
                <w:rFonts w:ascii="Cambria" w:hAnsi="Cambria" w:cs="Calibri"/>
                <w:color w:val="000000"/>
                <w:sz w:val="20"/>
                <w:lang w:val="es-ES"/>
              </w:rPr>
              <w:t>97</w:t>
            </w:r>
          </w:p>
        </w:tc>
      </w:tr>
      <w:tr w:rsidR="00025154" w:rsidRPr="00F8465B" w14:paraId="762D2661" w14:textId="77777777" w:rsidTr="007038E3">
        <w:trPr>
          <w:trHeight w:hRule="exact" w:val="312"/>
        </w:trPr>
        <w:tc>
          <w:tcPr>
            <w:tcW w:w="3969" w:type="dxa"/>
            <w:tcBorders>
              <w:top w:val="single" w:sz="4" w:space="0" w:color="auto"/>
              <w:right w:val="single" w:sz="8" w:space="0" w:color="auto"/>
            </w:tcBorders>
            <w:shd w:val="clear" w:color="auto" w:fill="auto"/>
            <w:vAlign w:val="center"/>
          </w:tcPr>
          <w:p w14:paraId="2C0DBC71" w14:textId="77777777" w:rsidR="00025154" w:rsidRDefault="00025154" w:rsidP="009C01F5">
            <w:pPr>
              <w:keepLines w:val="0"/>
              <w:widowControl/>
              <w:jc w:val="left"/>
              <w:rPr>
                <w:rFonts w:ascii="Cambria" w:hAnsi="Cambria" w:cs="Calibri"/>
                <w:color w:val="000000"/>
                <w:sz w:val="20"/>
                <w:lang w:val="es-ES"/>
              </w:rPr>
            </w:pPr>
          </w:p>
        </w:tc>
        <w:tc>
          <w:tcPr>
            <w:tcW w:w="1134" w:type="dxa"/>
            <w:tcBorders>
              <w:top w:val="single" w:sz="4" w:space="0" w:color="auto"/>
              <w:left w:val="nil"/>
              <w:bottom w:val="single" w:sz="4" w:space="0" w:color="auto"/>
              <w:right w:val="single" w:sz="4" w:space="0" w:color="auto"/>
            </w:tcBorders>
            <w:vAlign w:val="center"/>
          </w:tcPr>
          <w:p w14:paraId="2602F6E1" w14:textId="76026DA9" w:rsidR="00025154" w:rsidRPr="00F8465B" w:rsidRDefault="007038E3" w:rsidP="009C01F5">
            <w:pPr>
              <w:keepLines w:val="0"/>
              <w:widowControl/>
              <w:jc w:val="right"/>
              <w:rPr>
                <w:rFonts w:ascii="Cambria" w:hAnsi="Cambria" w:cs="Calibri"/>
                <w:color w:val="000000"/>
                <w:sz w:val="20"/>
                <w:lang w:val="es-ES"/>
              </w:rPr>
            </w:pPr>
            <w:r>
              <w:rPr>
                <w:rFonts w:ascii="Cambria" w:hAnsi="Cambria" w:cs="Calibri"/>
                <w:color w:val="000000"/>
                <w:sz w:val="20"/>
                <w:lang w:val="es-ES"/>
              </w:rPr>
              <w:t>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5ED4A" w14:textId="57597C06" w:rsidR="00025154" w:rsidRPr="00F8465B" w:rsidRDefault="007038E3" w:rsidP="009C01F5">
            <w:pPr>
              <w:keepLines w:val="0"/>
              <w:widowControl/>
              <w:jc w:val="right"/>
              <w:rPr>
                <w:rFonts w:ascii="Cambria" w:hAnsi="Cambria" w:cs="Calibri"/>
                <w:color w:val="000000"/>
                <w:sz w:val="20"/>
                <w:lang w:val="es-ES"/>
              </w:rPr>
            </w:pPr>
            <w:r>
              <w:rPr>
                <w:rFonts w:ascii="Cambria" w:hAnsi="Cambria" w:cs="Calibri"/>
                <w:color w:val="000000"/>
                <w:sz w:val="20"/>
                <w:lang w:val="es-ES"/>
              </w:rPr>
              <w:t>192</w:t>
            </w:r>
          </w:p>
        </w:tc>
      </w:tr>
    </w:tbl>
    <w:p w14:paraId="0D75B9F3" w14:textId="77777777" w:rsidR="00025154" w:rsidRPr="006A0E61" w:rsidRDefault="00025154" w:rsidP="00025154">
      <w:pPr>
        <w:suppressAutoHyphens/>
        <w:ind w:left="284"/>
        <w:rPr>
          <w:rFonts w:ascii="Times New Roman" w:hAnsi="Times New Roman"/>
          <w:spacing w:val="-2"/>
          <w:szCs w:val="22"/>
        </w:rPr>
      </w:pPr>
    </w:p>
    <w:p w14:paraId="6BE08C94" w14:textId="77777777" w:rsidR="00025154" w:rsidRDefault="00025154" w:rsidP="00975649">
      <w:pPr>
        <w:ind w:left="567"/>
        <w:rPr>
          <w:rFonts w:ascii="Cambria" w:hAnsi="Cambria"/>
          <w:sz w:val="24"/>
          <w:szCs w:val="24"/>
        </w:rPr>
      </w:pPr>
    </w:p>
    <w:p w14:paraId="3B362EE5" w14:textId="77777777" w:rsidR="00DB49FD" w:rsidRPr="005B29DF" w:rsidRDefault="00DB49FD" w:rsidP="00900794">
      <w:pPr>
        <w:pStyle w:val="Ttulo4"/>
        <w:widowControl/>
        <w:numPr>
          <w:ilvl w:val="0"/>
          <w:numId w:val="3"/>
        </w:numPr>
        <w:tabs>
          <w:tab w:val="clear" w:pos="360"/>
          <w:tab w:val="left" w:pos="-448"/>
          <w:tab w:val="num" w:pos="567"/>
        </w:tabs>
        <w:spacing w:before="0" w:after="0"/>
        <w:ind w:left="567" w:right="2268" w:hanging="567"/>
        <w:jc w:val="left"/>
        <w:rPr>
          <w:rFonts w:ascii="Cambria" w:hAnsi="Cambria"/>
          <w:kern w:val="28"/>
          <w:sz w:val="24"/>
          <w:szCs w:val="24"/>
          <w:u w:val="single"/>
          <w:lang w:val="es-ES" w:eastAsia="en-US"/>
        </w:rPr>
      </w:pPr>
      <w:r w:rsidRPr="005B29DF">
        <w:rPr>
          <w:rFonts w:ascii="Cambria" w:hAnsi="Cambria"/>
          <w:kern w:val="28"/>
          <w:sz w:val="24"/>
          <w:szCs w:val="24"/>
          <w:u w:val="single"/>
          <w:lang w:val="es-ES" w:eastAsia="en-US"/>
        </w:rPr>
        <w:t>Inversiones inmobiliarias</w:t>
      </w:r>
    </w:p>
    <w:p w14:paraId="28B1D844" w14:textId="77777777" w:rsidR="00912BC6" w:rsidRPr="005B29DF" w:rsidRDefault="00912BC6" w:rsidP="00891962">
      <w:pPr>
        <w:pStyle w:val="Ttulo1a"/>
        <w:ind w:left="426"/>
        <w:rPr>
          <w:rFonts w:ascii="Cambria" w:hAnsi="Cambria"/>
          <w:sz w:val="24"/>
          <w:szCs w:val="24"/>
        </w:rPr>
      </w:pPr>
    </w:p>
    <w:p w14:paraId="5B4F8266" w14:textId="25A3145E" w:rsidR="00D3457D" w:rsidRDefault="00D3457D" w:rsidP="00D3457D">
      <w:pPr>
        <w:ind w:left="567"/>
        <w:rPr>
          <w:rFonts w:ascii="Cambria" w:hAnsi="Cambria"/>
          <w:b/>
          <w:sz w:val="24"/>
          <w:szCs w:val="24"/>
          <w:u w:val="single"/>
        </w:rPr>
      </w:pPr>
      <w:r w:rsidRPr="00F8465B">
        <w:rPr>
          <w:rFonts w:ascii="Cambria" w:hAnsi="Cambria"/>
          <w:sz w:val="24"/>
          <w:szCs w:val="24"/>
        </w:rPr>
        <w:t>El movimiento habido, en los ejercicios 20</w:t>
      </w:r>
      <w:r>
        <w:rPr>
          <w:rFonts w:ascii="Cambria" w:hAnsi="Cambria"/>
          <w:sz w:val="24"/>
          <w:szCs w:val="24"/>
        </w:rPr>
        <w:t>20</w:t>
      </w:r>
      <w:r w:rsidRPr="00F8465B">
        <w:rPr>
          <w:rFonts w:ascii="Cambria" w:hAnsi="Cambria"/>
          <w:sz w:val="24"/>
          <w:szCs w:val="24"/>
        </w:rPr>
        <w:t xml:space="preserve"> y 201</w:t>
      </w:r>
      <w:r>
        <w:rPr>
          <w:rFonts w:ascii="Cambria" w:hAnsi="Cambria"/>
          <w:sz w:val="24"/>
          <w:szCs w:val="24"/>
        </w:rPr>
        <w:t>9</w:t>
      </w:r>
      <w:r w:rsidRPr="00F8465B">
        <w:rPr>
          <w:rFonts w:ascii="Cambria" w:hAnsi="Cambria"/>
          <w:sz w:val="24"/>
          <w:szCs w:val="24"/>
        </w:rPr>
        <w:t>, ha sido el siguiente (en miles de euros):</w:t>
      </w:r>
      <w:r w:rsidRPr="00B30831">
        <w:rPr>
          <w:rFonts w:ascii="Cambria" w:hAnsi="Cambria"/>
          <w:b/>
          <w:sz w:val="24"/>
          <w:szCs w:val="24"/>
          <w:u w:val="single"/>
        </w:rPr>
        <w:t xml:space="preserve"> </w:t>
      </w:r>
    </w:p>
    <w:p w14:paraId="7C512380" w14:textId="4FCBDF08" w:rsidR="00D3457D" w:rsidRDefault="00D3457D" w:rsidP="00D3457D">
      <w:pPr>
        <w:ind w:left="567"/>
        <w:rPr>
          <w:rFonts w:ascii="Cambria" w:hAnsi="Cambria"/>
          <w:b/>
          <w:sz w:val="24"/>
          <w:szCs w:val="24"/>
          <w:u w:val="single"/>
        </w:rPr>
      </w:pPr>
    </w:p>
    <w:p w14:paraId="1458BAAD" w14:textId="0FAA7865" w:rsidR="00D3457D" w:rsidRDefault="00D3457D" w:rsidP="00D3457D">
      <w:pPr>
        <w:ind w:left="567"/>
        <w:rPr>
          <w:rFonts w:ascii="Cambria" w:hAnsi="Cambria"/>
          <w:b/>
          <w:sz w:val="24"/>
          <w:szCs w:val="24"/>
          <w:u w:val="single"/>
        </w:rPr>
      </w:pPr>
      <w:r>
        <w:rPr>
          <w:rFonts w:ascii="Cambria" w:hAnsi="Cambria"/>
          <w:b/>
          <w:sz w:val="24"/>
          <w:szCs w:val="24"/>
          <w:u w:val="single"/>
        </w:rPr>
        <w:t>Ejercicio 2020</w:t>
      </w:r>
      <w:r w:rsidRPr="00325223">
        <w:rPr>
          <w:rFonts w:ascii="Cambria" w:hAnsi="Cambria"/>
          <w:b/>
          <w:sz w:val="24"/>
          <w:szCs w:val="24"/>
          <w:u w:val="single"/>
        </w:rPr>
        <w:t>:</w:t>
      </w:r>
    </w:p>
    <w:p w14:paraId="2AFE49DA" w14:textId="77777777" w:rsidR="00D3457D" w:rsidRDefault="00D3457D" w:rsidP="00D3457D">
      <w:pPr>
        <w:ind w:left="567"/>
        <w:rPr>
          <w:rFonts w:ascii="Cambria" w:hAnsi="Cambria"/>
          <w:b/>
          <w:sz w:val="24"/>
          <w:szCs w:val="24"/>
          <w:u w:val="single"/>
        </w:rPr>
      </w:pPr>
    </w:p>
    <w:tbl>
      <w:tblPr>
        <w:tblW w:w="7371" w:type="dxa"/>
        <w:tblInd w:w="557" w:type="dxa"/>
        <w:tblCellMar>
          <w:left w:w="70" w:type="dxa"/>
          <w:right w:w="70" w:type="dxa"/>
        </w:tblCellMar>
        <w:tblLook w:val="04A0" w:firstRow="1" w:lastRow="0" w:firstColumn="1" w:lastColumn="0" w:noHBand="0" w:noVBand="1"/>
      </w:tblPr>
      <w:tblGrid>
        <w:gridCol w:w="3969"/>
        <w:gridCol w:w="1134"/>
        <w:gridCol w:w="1134"/>
        <w:gridCol w:w="1134"/>
      </w:tblGrid>
      <w:tr w:rsidR="00D3457D" w:rsidRPr="00F8465B" w14:paraId="5AC3FA5B" w14:textId="77777777" w:rsidTr="00D3457D">
        <w:trPr>
          <w:trHeight w:val="525"/>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640336" w14:textId="77777777" w:rsidR="00D3457D" w:rsidRPr="00F8465B" w:rsidRDefault="00D3457D" w:rsidP="00D3457D">
            <w:pPr>
              <w:keepLines w:val="0"/>
              <w:widowControl/>
              <w:rPr>
                <w:rFonts w:ascii="Cambria" w:hAnsi="Cambria" w:cs="Calibri"/>
                <w:color w:val="000000"/>
                <w:sz w:val="20"/>
                <w:lang w:val="es-ES"/>
              </w:rPr>
            </w:pPr>
            <w:r w:rsidRPr="00F8465B">
              <w:rPr>
                <w:rFonts w:ascii="Cambria" w:hAnsi="Cambria" w:cs="Calibri"/>
                <w:color w:val="000000"/>
                <w:sz w:val="20"/>
                <w:lang w:val="es-ES"/>
              </w:rPr>
              <w:t> </w:t>
            </w:r>
          </w:p>
        </w:tc>
        <w:tc>
          <w:tcPr>
            <w:tcW w:w="1134" w:type="dxa"/>
            <w:tcBorders>
              <w:top w:val="single" w:sz="8" w:space="0" w:color="auto"/>
              <w:left w:val="nil"/>
              <w:bottom w:val="single" w:sz="8" w:space="0" w:color="auto"/>
              <w:right w:val="nil"/>
            </w:tcBorders>
            <w:vAlign w:val="center"/>
          </w:tcPr>
          <w:p w14:paraId="1EA4927F" w14:textId="69C0DB3C" w:rsidR="00D3457D" w:rsidRPr="00F8465B" w:rsidRDefault="00D3457D" w:rsidP="00D3457D">
            <w:pPr>
              <w:keepLines w:val="0"/>
              <w:widowControl/>
              <w:jc w:val="center"/>
              <w:rPr>
                <w:rFonts w:ascii="Cambria" w:hAnsi="Cambria" w:cs="Calibri"/>
                <w:b/>
                <w:bCs/>
                <w:color w:val="000000"/>
                <w:sz w:val="20"/>
                <w:lang w:val="es-ES"/>
              </w:rPr>
            </w:pPr>
            <w:r w:rsidRPr="00F8465B">
              <w:rPr>
                <w:rFonts w:ascii="Cambria" w:hAnsi="Cambria" w:cs="Calibri"/>
                <w:b/>
                <w:bCs/>
                <w:color w:val="000000"/>
                <w:sz w:val="20"/>
                <w:lang w:val="es-ES"/>
              </w:rPr>
              <w:t>Saldo al 31.12.1</w:t>
            </w:r>
            <w:r>
              <w:rPr>
                <w:rFonts w:ascii="Cambria" w:hAnsi="Cambria" w:cs="Calibri"/>
                <w:b/>
                <w:bCs/>
                <w:color w:val="000000"/>
                <w:sz w:val="20"/>
                <w:lang w:val="es-ES"/>
              </w:rPr>
              <w:t>9</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E786EF7" w14:textId="77777777" w:rsidR="00D3457D" w:rsidRPr="00750BCD" w:rsidRDefault="00D3457D" w:rsidP="00D3457D">
            <w:pPr>
              <w:keepLines w:val="0"/>
              <w:widowControl/>
              <w:jc w:val="center"/>
              <w:rPr>
                <w:rFonts w:ascii="Cambria" w:hAnsi="Cambria" w:cs="Calibri"/>
                <w:b/>
                <w:bCs/>
                <w:color w:val="000000"/>
                <w:sz w:val="20"/>
                <w:lang w:val="es-ES"/>
              </w:rPr>
            </w:pPr>
            <w:r w:rsidRPr="00750BCD">
              <w:rPr>
                <w:rFonts w:ascii="Cambria" w:hAnsi="Cambria" w:cs="Calibri"/>
                <w:b/>
                <w:bCs/>
                <w:color w:val="000000"/>
                <w:sz w:val="20"/>
                <w:lang w:val="es-ES"/>
              </w:rPr>
              <w:t>Entradas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D45D332" w14:textId="28FC4899" w:rsidR="00D3457D" w:rsidRPr="00750BCD" w:rsidRDefault="00D3457D" w:rsidP="00D3457D">
            <w:pPr>
              <w:keepLines w:val="0"/>
              <w:widowControl/>
              <w:jc w:val="center"/>
              <w:rPr>
                <w:rFonts w:ascii="Cambria" w:hAnsi="Cambria" w:cs="Calibri"/>
                <w:b/>
                <w:bCs/>
                <w:color w:val="000000"/>
                <w:sz w:val="20"/>
                <w:lang w:val="es-ES"/>
              </w:rPr>
            </w:pPr>
            <w:r w:rsidRPr="00750BCD">
              <w:rPr>
                <w:rFonts w:ascii="Cambria" w:hAnsi="Cambria" w:cs="Calibri"/>
                <w:b/>
                <w:bCs/>
                <w:color w:val="000000"/>
                <w:sz w:val="20"/>
                <w:lang w:val="es-ES"/>
              </w:rPr>
              <w:t>Saldo al 31.12.20</w:t>
            </w:r>
          </w:p>
        </w:tc>
      </w:tr>
      <w:tr w:rsidR="00D3457D" w:rsidRPr="00F8465B" w14:paraId="5EFD90BB" w14:textId="77777777" w:rsidTr="00D3457D">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2B68630E" w14:textId="77777777" w:rsidR="00D3457D" w:rsidRPr="00F8465B" w:rsidRDefault="00D3457D" w:rsidP="00D3457D">
            <w:pPr>
              <w:keepLines w:val="0"/>
              <w:widowControl/>
              <w:jc w:val="left"/>
              <w:rPr>
                <w:rFonts w:ascii="Cambria" w:hAnsi="Cambria" w:cs="Calibri"/>
                <w:color w:val="000000"/>
                <w:sz w:val="20"/>
                <w:lang w:val="es-ES"/>
              </w:rPr>
            </w:pPr>
            <w:r w:rsidRPr="00F8465B">
              <w:rPr>
                <w:rFonts w:ascii="Cambria" w:hAnsi="Cambria" w:cs="Calibri"/>
                <w:color w:val="000000"/>
                <w:sz w:val="20"/>
                <w:lang w:val="es-ES"/>
              </w:rPr>
              <w:t>Terrenos y bienes naturales</w:t>
            </w:r>
          </w:p>
        </w:tc>
        <w:tc>
          <w:tcPr>
            <w:tcW w:w="1134" w:type="dxa"/>
            <w:tcBorders>
              <w:top w:val="nil"/>
              <w:left w:val="nil"/>
              <w:bottom w:val="nil"/>
              <w:right w:val="nil"/>
            </w:tcBorders>
            <w:vAlign w:val="center"/>
          </w:tcPr>
          <w:p w14:paraId="295C7EFA" w14:textId="26A7733A" w:rsidR="00D3457D" w:rsidRPr="00750BCD" w:rsidRDefault="00D3457D" w:rsidP="00D3457D">
            <w:pPr>
              <w:keepLines w:val="0"/>
              <w:widowControl/>
              <w:jc w:val="right"/>
              <w:rPr>
                <w:rFonts w:ascii="Cambria" w:hAnsi="Cambria" w:cs="Calibri"/>
                <w:color w:val="000000"/>
                <w:sz w:val="20"/>
                <w:lang w:val="es-ES"/>
              </w:rPr>
            </w:pPr>
            <w:r w:rsidRPr="00750BCD">
              <w:rPr>
                <w:rFonts w:ascii="Cambria" w:hAnsi="Cambria" w:cs="Calibri"/>
                <w:color w:val="000000"/>
                <w:sz w:val="20"/>
                <w:lang w:val="es-ES"/>
              </w:rPr>
              <w:t>476</w:t>
            </w:r>
          </w:p>
        </w:tc>
        <w:tc>
          <w:tcPr>
            <w:tcW w:w="1134" w:type="dxa"/>
            <w:tcBorders>
              <w:top w:val="nil"/>
              <w:left w:val="single" w:sz="4" w:space="0" w:color="auto"/>
              <w:bottom w:val="nil"/>
              <w:right w:val="single" w:sz="8" w:space="0" w:color="auto"/>
            </w:tcBorders>
            <w:shd w:val="clear" w:color="auto" w:fill="auto"/>
            <w:vAlign w:val="center"/>
            <w:hideMark/>
          </w:tcPr>
          <w:p w14:paraId="2891920D" w14:textId="77777777" w:rsidR="00D3457D" w:rsidRPr="00750BCD" w:rsidRDefault="00D3457D" w:rsidP="00D3457D">
            <w:pPr>
              <w:keepLines w:val="0"/>
              <w:widowControl/>
              <w:jc w:val="center"/>
              <w:rPr>
                <w:rFonts w:ascii="Cambria" w:hAnsi="Cambria" w:cs="Calibri"/>
                <w:color w:val="000000"/>
                <w:sz w:val="20"/>
                <w:lang w:val="es-ES"/>
              </w:rPr>
            </w:pPr>
            <w:r w:rsidRPr="00750BCD">
              <w:rPr>
                <w:rFonts w:ascii="Cambria" w:hAnsi="Cambria" w:cs="Calibri"/>
                <w:color w:val="000000"/>
                <w:sz w:val="20"/>
                <w:lang w:val="es-ES"/>
              </w:rPr>
              <w:t>-</w:t>
            </w:r>
          </w:p>
        </w:tc>
        <w:tc>
          <w:tcPr>
            <w:tcW w:w="1134" w:type="dxa"/>
            <w:tcBorders>
              <w:top w:val="nil"/>
              <w:left w:val="nil"/>
              <w:bottom w:val="nil"/>
              <w:right w:val="single" w:sz="8" w:space="0" w:color="auto"/>
            </w:tcBorders>
            <w:shd w:val="clear" w:color="auto" w:fill="auto"/>
            <w:vAlign w:val="center"/>
            <w:hideMark/>
          </w:tcPr>
          <w:p w14:paraId="739CBCA2" w14:textId="77777777" w:rsidR="00D3457D" w:rsidRPr="00750BCD" w:rsidRDefault="00D3457D" w:rsidP="00D3457D">
            <w:pPr>
              <w:keepLines w:val="0"/>
              <w:widowControl/>
              <w:jc w:val="right"/>
              <w:rPr>
                <w:rFonts w:ascii="Cambria" w:hAnsi="Cambria" w:cs="Calibri"/>
                <w:color w:val="000000"/>
                <w:sz w:val="20"/>
                <w:lang w:val="es-ES"/>
              </w:rPr>
            </w:pPr>
            <w:r w:rsidRPr="00750BCD">
              <w:rPr>
                <w:rFonts w:ascii="Cambria" w:hAnsi="Cambria" w:cs="Calibri"/>
                <w:color w:val="000000"/>
                <w:sz w:val="20"/>
                <w:lang w:val="es-ES"/>
              </w:rPr>
              <w:t>476</w:t>
            </w:r>
          </w:p>
        </w:tc>
      </w:tr>
      <w:tr w:rsidR="00D3457D" w:rsidRPr="00F8465B" w14:paraId="433D46DE" w14:textId="77777777" w:rsidTr="00D3457D">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40A635C4" w14:textId="77777777" w:rsidR="00D3457D" w:rsidRPr="00F8465B" w:rsidRDefault="00D3457D" w:rsidP="00D3457D">
            <w:pPr>
              <w:keepLines w:val="0"/>
              <w:widowControl/>
              <w:jc w:val="left"/>
              <w:rPr>
                <w:rFonts w:ascii="Cambria" w:hAnsi="Cambria" w:cs="Calibri"/>
                <w:color w:val="000000"/>
                <w:sz w:val="20"/>
                <w:lang w:val="es-ES"/>
              </w:rPr>
            </w:pPr>
            <w:r w:rsidRPr="00F8465B">
              <w:rPr>
                <w:rFonts w:ascii="Cambria" w:hAnsi="Cambria" w:cs="Calibri"/>
                <w:color w:val="000000"/>
                <w:sz w:val="20"/>
                <w:lang w:val="es-ES"/>
              </w:rPr>
              <w:t>Construcciones</w:t>
            </w:r>
          </w:p>
        </w:tc>
        <w:tc>
          <w:tcPr>
            <w:tcW w:w="1134" w:type="dxa"/>
            <w:tcBorders>
              <w:top w:val="nil"/>
              <w:left w:val="nil"/>
              <w:bottom w:val="nil"/>
              <w:right w:val="nil"/>
            </w:tcBorders>
            <w:vAlign w:val="center"/>
          </w:tcPr>
          <w:p w14:paraId="339CC07F" w14:textId="00FC372A" w:rsidR="00D3457D" w:rsidRPr="00750BCD" w:rsidRDefault="00D3457D" w:rsidP="00D3457D">
            <w:pPr>
              <w:keepLines w:val="0"/>
              <w:widowControl/>
              <w:jc w:val="right"/>
              <w:rPr>
                <w:rFonts w:ascii="Cambria" w:hAnsi="Cambria" w:cs="Calibri"/>
                <w:color w:val="000000"/>
                <w:sz w:val="20"/>
                <w:lang w:val="es-ES"/>
              </w:rPr>
            </w:pPr>
            <w:r w:rsidRPr="00750BCD">
              <w:rPr>
                <w:rFonts w:ascii="Cambria" w:hAnsi="Cambria" w:cs="Calibri"/>
                <w:color w:val="000000"/>
                <w:sz w:val="20"/>
                <w:lang w:val="es-ES"/>
              </w:rPr>
              <w:t>422</w:t>
            </w:r>
          </w:p>
        </w:tc>
        <w:tc>
          <w:tcPr>
            <w:tcW w:w="1134" w:type="dxa"/>
            <w:tcBorders>
              <w:top w:val="nil"/>
              <w:left w:val="single" w:sz="4" w:space="0" w:color="auto"/>
              <w:bottom w:val="nil"/>
              <w:right w:val="single" w:sz="8" w:space="0" w:color="auto"/>
            </w:tcBorders>
            <w:shd w:val="clear" w:color="auto" w:fill="auto"/>
            <w:vAlign w:val="center"/>
            <w:hideMark/>
          </w:tcPr>
          <w:p w14:paraId="42505497" w14:textId="6A4D70CA" w:rsidR="00D3457D" w:rsidRPr="00750BCD" w:rsidRDefault="00750BCD" w:rsidP="00D3457D">
            <w:pPr>
              <w:keepLines w:val="0"/>
              <w:widowControl/>
              <w:jc w:val="center"/>
              <w:rPr>
                <w:rFonts w:ascii="Cambria" w:hAnsi="Cambria" w:cs="Calibri"/>
                <w:color w:val="000000"/>
                <w:sz w:val="20"/>
                <w:lang w:val="es-ES"/>
              </w:rPr>
            </w:pPr>
            <w:r w:rsidRPr="00750BCD">
              <w:rPr>
                <w:rFonts w:ascii="Cambria" w:hAnsi="Cambria" w:cs="Calibri"/>
                <w:color w:val="000000"/>
                <w:sz w:val="20"/>
                <w:lang w:val="es-ES"/>
              </w:rPr>
              <w:t>1</w:t>
            </w:r>
            <w:r w:rsidR="008E66C5">
              <w:rPr>
                <w:rFonts w:ascii="Cambria" w:hAnsi="Cambria" w:cs="Calibri"/>
                <w:color w:val="000000"/>
                <w:sz w:val="20"/>
                <w:lang w:val="es-ES"/>
              </w:rPr>
              <w:t>8</w:t>
            </w:r>
          </w:p>
        </w:tc>
        <w:tc>
          <w:tcPr>
            <w:tcW w:w="1134" w:type="dxa"/>
            <w:tcBorders>
              <w:top w:val="nil"/>
              <w:left w:val="nil"/>
              <w:bottom w:val="nil"/>
              <w:right w:val="single" w:sz="8" w:space="0" w:color="auto"/>
            </w:tcBorders>
            <w:shd w:val="clear" w:color="auto" w:fill="auto"/>
            <w:vAlign w:val="center"/>
            <w:hideMark/>
          </w:tcPr>
          <w:p w14:paraId="1EC9EAB1" w14:textId="6E4E2FA4" w:rsidR="00D3457D" w:rsidRPr="00750BCD" w:rsidRDefault="00750BCD" w:rsidP="00D3457D">
            <w:pPr>
              <w:keepLines w:val="0"/>
              <w:widowControl/>
              <w:jc w:val="right"/>
              <w:rPr>
                <w:rFonts w:ascii="Cambria" w:hAnsi="Cambria" w:cs="Calibri"/>
                <w:color w:val="000000"/>
                <w:sz w:val="20"/>
                <w:lang w:val="es-ES"/>
              </w:rPr>
            </w:pPr>
            <w:r w:rsidRPr="00750BCD">
              <w:rPr>
                <w:rFonts w:ascii="Cambria" w:hAnsi="Cambria" w:cs="Calibri"/>
                <w:color w:val="000000"/>
                <w:sz w:val="20"/>
                <w:lang w:val="es-ES"/>
              </w:rPr>
              <w:t>4</w:t>
            </w:r>
            <w:r w:rsidR="008E66C5">
              <w:rPr>
                <w:rFonts w:ascii="Cambria" w:hAnsi="Cambria" w:cs="Calibri"/>
                <w:color w:val="000000"/>
                <w:sz w:val="20"/>
                <w:lang w:val="es-ES"/>
              </w:rPr>
              <w:t>40</w:t>
            </w:r>
          </w:p>
        </w:tc>
      </w:tr>
      <w:tr w:rsidR="00D3457D" w:rsidRPr="00F8465B" w14:paraId="18531E77" w14:textId="77777777" w:rsidTr="00D3457D">
        <w:trPr>
          <w:trHeight w:hRule="exact" w:val="312"/>
        </w:trPr>
        <w:tc>
          <w:tcPr>
            <w:tcW w:w="3969" w:type="dxa"/>
            <w:tcBorders>
              <w:top w:val="nil"/>
              <w:left w:val="single" w:sz="8" w:space="0" w:color="auto"/>
              <w:bottom w:val="single" w:sz="4" w:space="0" w:color="auto"/>
              <w:right w:val="single" w:sz="8" w:space="0" w:color="auto"/>
            </w:tcBorders>
            <w:shd w:val="clear" w:color="auto" w:fill="auto"/>
            <w:vAlign w:val="center"/>
            <w:hideMark/>
          </w:tcPr>
          <w:p w14:paraId="20D47FD4" w14:textId="77777777" w:rsidR="00D3457D" w:rsidRPr="00F8465B" w:rsidRDefault="00D3457D" w:rsidP="00D3457D">
            <w:pPr>
              <w:keepLines w:val="0"/>
              <w:widowControl/>
              <w:jc w:val="left"/>
              <w:rPr>
                <w:rFonts w:ascii="Cambria" w:hAnsi="Cambria" w:cs="Calibri"/>
                <w:color w:val="000000"/>
                <w:sz w:val="20"/>
                <w:lang w:val="es-ES"/>
              </w:rPr>
            </w:pPr>
            <w:r>
              <w:rPr>
                <w:rFonts w:ascii="Cambria" w:hAnsi="Cambria" w:cs="Calibri"/>
                <w:color w:val="000000"/>
                <w:sz w:val="20"/>
                <w:lang w:val="es-ES"/>
              </w:rPr>
              <w:t>Deterioro</w:t>
            </w:r>
          </w:p>
        </w:tc>
        <w:tc>
          <w:tcPr>
            <w:tcW w:w="1134" w:type="dxa"/>
            <w:tcBorders>
              <w:top w:val="nil"/>
              <w:left w:val="nil"/>
              <w:bottom w:val="single" w:sz="4" w:space="0" w:color="auto"/>
              <w:right w:val="nil"/>
            </w:tcBorders>
            <w:vAlign w:val="center"/>
          </w:tcPr>
          <w:p w14:paraId="3113E497" w14:textId="66DCF77C" w:rsidR="00D3457D" w:rsidRPr="00750BCD" w:rsidRDefault="00D3457D" w:rsidP="00D3457D">
            <w:pPr>
              <w:keepLines w:val="0"/>
              <w:widowControl/>
              <w:jc w:val="right"/>
              <w:rPr>
                <w:rFonts w:ascii="Cambria" w:hAnsi="Cambria" w:cs="Calibri"/>
                <w:color w:val="000000"/>
                <w:sz w:val="20"/>
                <w:lang w:val="es-ES"/>
              </w:rPr>
            </w:pPr>
            <w:r w:rsidRPr="00750BCD">
              <w:rPr>
                <w:rFonts w:ascii="Cambria" w:hAnsi="Cambria" w:cs="Calibri"/>
                <w:color w:val="000000"/>
                <w:sz w:val="20"/>
                <w:lang w:val="es-ES"/>
              </w:rPr>
              <w:t>(721)</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7E363C7E" w14:textId="77777777" w:rsidR="00D3457D" w:rsidRPr="00750BCD" w:rsidRDefault="00D3457D" w:rsidP="00D3457D">
            <w:pPr>
              <w:keepLines w:val="0"/>
              <w:widowControl/>
              <w:jc w:val="center"/>
              <w:rPr>
                <w:rFonts w:ascii="Cambria" w:hAnsi="Cambria" w:cs="Calibri"/>
                <w:color w:val="000000"/>
                <w:sz w:val="20"/>
                <w:lang w:val="es-ES"/>
              </w:rPr>
            </w:pPr>
            <w:r w:rsidRPr="00750BCD">
              <w:rPr>
                <w:rFonts w:ascii="Cambria" w:hAnsi="Cambria" w:cs="Calibri"/>
                <w:color w:val="000000"/>
                <w:sz w:val="20"/>
                <w:lang w:val="es-ES"/>
              </w:rPr>
              <w:t>-</w:t>
            </w:r>
          </w:p>
        </w:tc>
        <w:tc>
          <w:tcPr>
            <w:tcW w:w="1134" w:type="dxa"/>
            <w:tcBorders>
              <w:top w:val="nil"/>
              <w:left w:val="nil"/>
              <w:bottom w:val="single" w:sz="4" w:space="0" w:color="auto"/>
              <w:right w:val="single" w:sz="8" w:space="0" w:color="auto"/>
            </w:tcBorders>
            <w:shd w:val="clear" w:color="auto" w:fill="auto"/>
            <w:vAlign w:val="center"/>
            <w:hideMark/>
          </w:tcPr>
          <w:p w14:paraId="01BBAFC7" w14:textId="77777777" w:rsidR="00D3457D" w:rsidRPr="00750BCD" w:rsidRDefault="00D3457D" w:rsidP="00D3457D">
            <w:pPr>
              <w:keepLines w:val="0"/>
              <w:widowControl/>
              <w:jc w:val="right"/>
              <w:rPr>
                <w:rFonts w:ascii="Cambria" w:hAnsi="Cambria" w:cs="Calibri"/>
                <w:color w:val="000000"/>
                <w:sz w:val="20"/>
                <w:lang w:val="es-ES"/>
              </w:rPr>
            </w:pPr>
            <w:r w:rsidRPr="00750BCD">
              <w:rPr>
                <w:rFonts w:ascii="Cambria" w:hAnsi="Cambria" w:cs="Calibri"/>
                <w:color w:val="000000"/>
                <w:sz w:val="20"/>
                <w:lang w:val="es-ES"/>
              </w:rPr>
              <w:t>(721)</w:t>
            </w:r>
          </w:p>
        </w:tc>
      </w:tr>
      <w:tr w:rsidR="00D3457D" w:rsidRPr="00F8465B" w14:paraId="36409A86" w14:textId="77777777" w:rsidTr="00D3457D">
        <w:trPr>
          <w:trHeight w:val="315"/>
        </w:trPr>
        <w:tc>
          <w:tcPr>
            <w:tcW w:w="3969"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7C48569" w14:textId="77777777" w:rsidR="00D3457D" w:rsidRPr="00F8465B" w:rsidRDefault="00D3457D" w:rsidP="00D3457D">
            <w:pPr>
              <w:keepLines w:val="0"/>
              <w:widowControl/>
              <w:jc w:val="left"/>
              <w:rPr>
                <w:rFonts w:ascii="Cambria" w:hAnsi="Cambria" w:cs="Calibri"/>
                <w:b/>
                <w:bCs/>
                <w:color w:val="000000"/>
                <w:sz w:val="20"/>
                <w:lang w:val="es-ES"/>
              </w:rPr>
            </w:pPr>
            <w:r>
              <w:rPr>
                <w:rFonts w:ascii="Cambria" w:hAnsi="Cambria" w:cs="Calibri"/>
                <w:b/>
                <w:bCs/>
                <w:color w:val="000000"/>
                <w:sz w:val="20"/>
                <w:lang w:val="es-ES"/>
              </w:rPr>
              <w:t>INVERSIONES INMOBILIARIAS</w:t>
            </w:r>
          </w:p>
        </w:tc>
        <w:tc>
          <w:tcPr>
            <w:tcW w:w="1134" w:type="dxa"/>
            <w:tcBorders>
              <w:top w:val="single" w:sz="4" w:space="0" w:color="auto"/>
              <w:left w:val="nil"/>
              <w:bottom w:val="single" w:sz="4" w:space="0" w:color="auto"/>
              <w:right w:val="nil"/>
            </w:tcBorders>
            <w:vAlign w:val="center"/>
          </w:tcPr>
          <w:p w14:paraId="0AB4E6E8" w14:textId="460F36DA" w:rsidR="00D3457D" w:rsidRPr="00750BCD" w:rsidRDefault="00D3457D" w:rsidP="00D3457D">
            <w:pPr>
              <w:keepLines w:val="0"/>
              <w:widowControl/>
              <w:jc w:val="right"/>
              <w:rPr>
                <w:rFonts w:ascii="Cambria" w:hAnsi="Cambria" w:cs="Arial"/>
                <w:b/>
                <w:bCs/>
                <w:color w:val="000000"/>
                <w:sz w:val="20"/>
              </w:rPr>
            </w:pPr>
            <w:r w:rsidRPr="00750BCD">
              <w:rPr>
                <w:rFonts w:ascii="Cambria" w:hAnsi="Cambria" w:cs="Arial"/>
                <w:b/>
                <w:bCs/>
                <w:color w:val="000000"/>
                <w:sz w:val="20"/>
              </w:rPr>
              <w:t>177</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F9FE727" w14:textId="16BEE260" w:rsidR="00D3457D" w:rsidRPr="00750BCD" w:rsidRDefault="00750BCD" w:rsidP="00D3457D">
            <w:pPr>
              <w:keepLines w:val="0"/>
              <w:widowControl/>
              <w:jc w:val="center"/>
              <w:rPr>
                <w:rFonts w:ascii="Cambria" w:hAnsi="Cambria" w:cs="Calibri"/>
                <w:b/>
                <w:bCs/>
                <w:color w:val="000000"/>
                <w:sz w:val="20"/>
                <w:lang w:val="es-ES"/>
              </w:rPr>
            </w:pPr>
            <w:r w:rsidRPr="00750BCD">
              <w:rPr>
                <w:rFonts w:ascii="Cambria" w:hAnsi="Cambria" w:cs="Calibri"/>
                <w:b/>
                <w:bCs/>
                <w:color w:val="000000"/>
                <w:sz w:val="20"/>
                <w:lang w:val="es-ES"/>
              </w:rPr>
              <w:t>1</w:t>
            </w:r>
            <w:r w:rsidR="008E66C5">
              <w:rPr>
                <w:rFonts w:ascii="Cambria" w:hAnsi="Cambria" w:cs="Calibri"/>
                <w:b/>
                <w:bCs/>
                <w:color w:val="000000"/>
                <w:sz w:val="20"/>
                <w:lang w:val="es-ES"/>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73B703" w14:textId="22B42D6E" w:rsidR="00D3457D" w:rsidRPr="00750BCD" w:rsidRDefault="00750BCD" w:rsidP="00D3457D">
            <w:pPr>
              <w:keepLines w:val="0"/>
              <w:widowControl/>
              <w:jc w:val="right"/>
              <w:rPr>
                <w:rFonts w:ascii="Cambria" w:hAnsi="Cambria" w:cs="Calibri"/>
                <w:b/>
                <w:bCs/>
                <w:color w:val="000000"/>
                <w:sz w:val="20"/>
                <w:lang w:val="es-ES"/>
              </w:rPr>
            </w:pPr>
            <w:r>
              <w:rPr>
                <w:rFonts w:ascii="Cambria" w:hAnsi="Cambria" w:cs="Arial"/>
                <w:b/>
                <w:bCs/>
                <w:color w:val="000000"/>
                <w:sz w:val="20"/>
              </w:rPr>
              <w:t>19</w:t>
            </w:r>
            <w:r w:rsidR="008E66C5">
              <w:rPr>
                <w:rFonts w:ascii="Cambria" w:hAnsi="Cambria" w:cs="Arial"/>
                <w:b/>
                <w:bCs/>
                <w:color w:val="000000"/>
                <w:sz w:val="20"/>
              </w:rPr>
              <w:t>5</w:t>
            </w:r>
          </w:p>
        </w:tc>
      </w:tr>
    </w:tbl>
    <w:p w14:paraId="0DC1323C" w14:textId="77777777" w:rsidR="004677FD" w:rsidRDefault="004677FD" w:rsidP="004677FD">
      <w:pPr>
        <w:ind w:left="567"/>
        <w:rPr>
          <w:rFonts w:ascii="Cambria" w:hAnsi="Cambria"/>
          <w:b/>
          <w:sz w:val="24"/>
          <w:szCs w:val="24"/>
          <w:u w:val="single"/>
        </w:rPr>
      </w:pPr>
    </w:p>
    <w:p w14:paraId="47B0E28A" w14:textId="77777777" w:rsidR="004677FD" w:rsidRDefault="004677FD" w:rsidP="004677FD">
      <w:pPr>
        <w:ind w:left="567"/>
        <w:rPr>
          <w:rFonts w:ascii="Cambria" w:hAnsi="Cambria"/>
          <w:b/>
          <w:sz w:val="24"/>
          <w:szCs w:val="24"/>
          <w:u w:val="single"/>
        </w:rPr>
      </w:pPr>
      <w:r>
        <w:rPr>
          <w:rFonts w:ascii="Cambria" w:hAnsi="Cambria"/>
          <w:b/>
          <w:sz w:val="24"/>
          <w:szCs w:val="24"/>
          <w:u w:val="single"/>
        </w:rPr>
        <w:t>Ejercicio 2019</w:t>
      </w:r>
      <w:r w:rsidRPr="00325223">
        <w:rPr>
          <w:rFonts w:ascii="Cambria" w:hAnsi="Cambria"/>
          <w:b/>
          <w:sz w:val="24"/>
          <w:szCs w:val="24"/>
          <w:u w:val="single"/>
        </w:rPr>
        <w:t>:</w:t>
      </w:r>
    </w:p>
    <w:p w14:paraId="67EFB18E" w14:textId="77777777" w:rsidR="004677FD" w:rsidRDefault="004677FD" w:rsidP="004677FD">
      <w:pPr>
        <w:ind w:left="567"/>
        <w:rPr>
          <w:rFonts w:ascii="Cambria" w:hAnsi="Cambria"/>
          <w:b/>
          <w:sz w:val="24"/>
          <w:szCs w:val="24"/>
          <w:u w:val="single"/>
        </w:rPr>
      </w:pPr>
    </w:p>
    <w:tbl>
      <w:tblPr>
        <w:tblW w:w="7371" w:type="dxa"/>
        <w:tblInd w:w="557" w:type="dxa"/>
        <w:tblCellMar>
          <w:left w:w="70" w:type="dxa"/>
          <w:right w:w="70" w:type="dxa"/>
        </w:tblCellMar>
        <w:tblLook w:val="04A0" w:firstRow="1" w:lastRow="0" w:firstColumn="1" w:lastColumn="0" w:noHBand="0" w:noVBand="1"/>
      </w:tblPr>
      <w:tblGrid>
        <w:gridCol w:w="3969"/>
        <w:gridCol w:w="1134"/>
        <w:gridCol w:w="1134"/>
        <w:gridCol w:w="1134"/>
      </w:tblGrid>
      <w:tr w:rsidR="004677FD" w:rsidRPr="00F8465B" w14:paraId="22C28AF5" w14:textId="77777777" w:rsidTr="008F10C7">
        <w:trPr>
          <w:trHeight w:val="525"/>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7B843A" w14:textId="77777777" w:rsidR="004677FD" w:rsidRPr="00F8465B" w:rsidRDefault="004677FD" w:rsidP="008F10C7">
            <w:pPr>
              <w:keepLines w:val="0"/>
              <w:widowControl/>
              <w:rPr>
                <w:rFonts w:ascii="Cambria" w:hAnsi="Cambria" w:cs="Calibri"/>
                <w:color w:val="000000"/>
                <w:sz w:val="20"/>
                <w:lang w:val="es-ES"/>
              </w:rPr>
            </w:pPr>
            <w:r w:rsidRPr="00F8465B">
              <w:rPr>
                <w:rFonts w:ascii="Cambria" w:hAnsi="Cambria" w:cs="Calibri"/>
                <w:color w:val="000000"/>
                <w:sz w:val="20"/>
                <w:lang w:val="es-ES"/>
              </w:rPr>
              <w:t> </w:t>
            </w:r>
          </w:p>
        </w:tc>
        <w:tc>
          <w:tcPr>
            <w:tcW w:w="1134" w:type="dxa"/>
            <w:tcBorders>
              <w:top w:val="single" w:sz="8" w:space="0" w:color="auto"/>
              <w:left w:val="nil"/>
              <w:bottom w:val="single" w:sz="8" w:space="0" w:color="auto"/>
              <w:right w:val="nil"/>
            </w:tcBorders>
            <w:vAlign w:val="center"/>
          </w:tcPr>
          <w:p w14:paraId="2A8C97A3" w14:textId="77777777" w:rsidR="004677FD" w:rsidRPr="00F8465B" w:rsidRDefault="004677FD" w:rsidP="008F10C7">
            <w:pPr>
              <w:keepLines w:val="0"/>
              <w:widowControl/>
              <w:jc w:val="center"/>
              <w:rPr>
                <w:rFonts w:ascii="Cambria" w:hAnsi="Cambria" w:cs="Calibri"/>
                <w:b/>
                <w:bCs/>
                <w:color w:val="000000"/>
                <w:sz w:val="20"/>
                <w:lang w:val="es-ES"/>
              </w:rPr>
            </w:pPr>
            <w:r w:rsidRPr="00F8465B">
              <w:rPr>
                <w:rFonts w:ascii="Cambria" w:hAnsi="Cambria" w:cs="Calibri"/>
                <w:b/>
                <w:bCs/>
                <w:color w:val="000000"/>
                <w:sz w:val="20"/>
                <w:lang w:val="es-ES"/>
              </w:rPr>
              <w:t>Saldo al 31.12.1</w:t>
            </w:r>
            <w:r>
              <w:rPr>
                <w:rFonts w:ascii="Cambria" w:hAnsi="Cambria" w:cs="Calibri"/>
                <w:b/>
                <w:bCs/>
                <w:color w:val="000000"/>
                <w:sz w:val="20"/>
                <w:lang w:val="es-ES"/>
              </w:rPr>
              <w:t>8</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EA217B6" w14:textId="77777777" w:rsidR="004677FD" w:rsidRPr="00F8465B" w:rsidRDefault="004677FD" w:rsidP="008F10C7">
            <w:pPr>
              <w:keepLines w:val="0"/>
              <w:widowControl/>
              <w:jc w:val="center"/>
              <w:rPr>
                <w:rFonts w:ascii="Cambria" w:hAnsi="Cambria" w:cs="Calibri"/>
                <w:b/>
                <w:bCs/>
                <w:color w:val="000000"/>
                <w:sz w:val="20"/>
                <w:lang w:val="es-ES"/>
              </w:rPr>
            </w:pPr>
            <w:r w:rsidRPr="00F8465B">
              <w:rPr>
                <w:rFonts w:ascii="Cambria" w:hAnsi="Cambria" w:cs="Calibri"/>
                <w:b/>
                <w:bCs/>
                <w:color w:val="000000"/>
                <w:sz w:val="20"/>
                <w:lang w:val="es-ES"/>
              </w:rPr>
              <w:t>Entradas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B74969A" w14:textId="77777777" w:rsidR="004677FD" w:rsidRPr="00F8465B" w:rsidRDefault="004677FD" w:rsidP="008F10C7">
            <w:pPr>
              <w:keepLines w:val="0"/>
              <w:widowControl/>
              <w:jc w:val="center"/>
              <w:rPr>
                <w:rFonts w:ascii="Cambria" w:hAnsi="Cambria" w:cs="Calibri"/>
                <w:b/>
                <w:bCs/>
                <w:color w:val="000000"/>
                <w:sz w:val="20"/>
                <w:lang w:val="es-ES"/>
              </w:rPr>
            </w:pPr>
            <w:r w:rsidRPr="00F8465B">
              <w:rPr>
                <w:rFonts w:ascii="Cambria" w:hAnsi="Cambria" w:cs="Calibri"/>
                <w:b/>
                <w:bCs/>
                <w:color w:val="000000"/>
                <w:sz w:val="20"/>
                <w:lang w:val="es-ES"/>
              </w:rPr>
              <w:t>Saldo al 31.12.1</w:t>
            </w:r>
            <w:r>
              <w:rPr>
                <w:rFonts w:ascii="Cambria" w:hAnsi="Cambria" w:cs="Calibri"/>
                <w:b/>
                <w:bCs/>
                <w:color w:val="000000"/>
                <w:sz w:val="20"/>
                <w:lang w:val="es-ES"/>
              </w:rPr>
              <w:t>9</w:t>
            </w:r>
          </w:p>
        </w:tc>
      </w:tr>
      <w:tr w:rsidR="004677FD" w:rsidRPr="00F8465B" w14:paraId="444C132B" w14:textId="77777777" w:rsidTr="008F10C7">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1C5999E5" w14:textId="77777777" w:rsidR="004677FD" w:rsidRPr="00F8465B" w:rsidRDefault="004677FD" w:rsidP="008F10C7">
            <w:pPr>
              <w:keepLines w:val="0"/>
              <w:widowControl/>
              <w:jc w:val="left"/>
              <w:rPr>
                <w:rFonts w:ascii="Cambria" w:hAnsi="Cambria" w:cs="Calibri"/>
                <w:color w:val="000000"/>
                <w:sz w:val="20"/>
                <w:lang w:val="es-ES"/>
              </w:rPr>
            </w:pPr>
            <w:r w:rsidRPr="00F8465B">
              <w:rPr>
                <w:rFonts w:ascii="Cambria" w:hAnsi="Cambria" w:cs="Calibri"/>
                <w:color w:val="000000"/>
                <w:sz w:val="20"/>
                <w:lang w:val="es-ES"/>
              </w:rPr>
              <w:t>Terrenos y bienes naturales</w:t>
            </w:r>
          </w:p>
        </w:tc>
        <w:tc>
          <w:tcPr>
            <w:tcW w:w="1134" w:type="dxa"/>
            <w:tcBorders>
              <w:top w:val="nil"/>
              <w:left w:val="nil"/>
              <w:bottom w:val="nil"/>
              <w:right w:val="nil"/>
            </w:tcBorders>
            <w:vAlign w:val="center"/>
          </w:tcPr>
          <w:p w14:paraId="3471A535" w14:textId="556C687C" w:rsidR="004677FD" w:rsidRPr="00F8465B" w:rsidRDefault="004677FD" w:rsidP="008F10C7">
            <w:pPr>
              <w:keepLines w:val="0"/>
              <w:widowControl/>
              <w:jc w:val="right"/>
              <w:rPr>
                <w:rFonts w:ascii="Cambria" w:hAnsi="Cambria" w:cs="Calibri"/>
                <w:color w:val="000000"/>
                <w:sz w:val="20"/>
                <w:lang w:val="es-ES"/>
              </w:rPr>
            </w:pPr>
            <w:r>
              <w:rPr>
                <w:rFonts w:ascii="Cambria" w:hAnsi="Cambria" w:cs="Calibri"/>
                <w:color w:val="000000"/>
                <w:sz w:val="20"/>
                <w:lang w:val="es-ES"/>
              </w:rPr>
              <w:t>476</w:t>
            </w:r>
          </w:p>
        </w:tc>
        <w:tc>
          <w:tcPr>
            <w:tcW w:w="1134" w:type="dxa"/>
            <w:tcBorders>
              <w:top w:val="nil"/>
              <w:left w:val="single" w:sz="4" w:space="0" w:color="auto"/>
              <w:bottom w:val="nil"/>
              <w:right w:val="single" w:sz="8" w:space="0" w:color="auto"/>
            </w:tcBorders>
            <w:shd w:val="clear" w:color="auto" w:fill="auto"/>
            <w:vAlign w:val="center"/>
            <w:hideMark/>
          </w:tcPr>
          <w:p w14:paraId="06DBB2E1" w14:textId="77777777" w:rsidR="004677FD" w:rsidRPr="00F8465B" w:rsidRDefault="004677FD" w:rsidP="008F10C7">
            <w:pPr>
              <w:keepLines w:val="0"/>
              <w:widowControl/>
              <w:jc w:val="center"/>
              <w:rPr>
                <w:rFonts w:ascii="Cambria" w:hAnsi="Cambria" w:cs="Calibri"/>
                <w:color w:val="000000"/>
                <w:sz w:val="20"/>
                <w:lang w:val="es-ES"/>
              </w:rPr>
            </w:pPr>
            <w:r w:rsidRPr="00F8465B">
              <w:rPr>
                <w:rFonts w:ascii="Cambria" w:hAnsi="Cambria" w:cs="Calibri"/>
                <w:color w:val="000000"/>
                <w:sz w:val="20"/>
                <w:lang w:val="es-ES"/>
              </w:rPr>
              <w:t>-</w:t>
            </w:r>
          </w:p>
        </w:tc>
        <w:tc>
          <w:tcPr>
            <w:tcW w:w="1134" w:type="dxa"/>
            <w:tcBorders>
              <w:top w:val="nil"/>
              <w:left w:val="nil"/>
              <w:bottom w:val="nil"/>
              <w:right w:val="single" w:sz="8" w:space="0" w:color="auto"/>
            </w:tcBorders>
            <w:shd w:val="clear" w:color="auto" w:fill="auto"/>
            <w:vAlign w:val="center"/>
            <w:hideMark/>
          </w:tcPr>
          <w:p w14:paraId="356A264C" w14:textId="5323F084" w:rsidR="004677FD" w:rsidRPr="00F8465B" w:rsidRDefault="004677FD" w:rsidP="008F10C7">
            <w:pPr>
              <w:keepLines w:val="0"/>
              <w:widowControl/>
              <w:jc w:val="right"/>
              <w:rPr>
                <w:rFonts w:ascii="Cambria" w:hAnsi="Cambria" w:cs="Calibri"/>
                <w:color w:val="000000"/>
                <w:sz w:val="20"/>
                <w:lang w:val="es-ES"/>
              </w:rPr>
            </w:pPr>
            <w:r>
              <w:rPr>
                <w:rFonts w:ascii="Cambria" w:hAnsi="Cambria" w:cs="Calibri"/>
                <w:color w:val="000000"/>
                <w:sz w:val="20"/>
                <w:lang w:val="es-ES"/>
              </w:rPr>
              <w:t>476</w:t>
            </w:r>
          </w:p>
        </w:tc>
      </w:tr>
      <w:tr w:rsidR="004677FD" w:rsidRPr="00F8465B" w14:paraId="0C79EDD6" w14:textId="77777777" w:rsidTr="008F10C7">
        <w:trPr>
          <w:trHeight w:hRule="exact" w:val="312"/>
        </w:trPr>
        <w:tc>
          <w:tcPr>
            <w:tcW w:w="3969" w:type="dxa"/>
            <w:tcBorders>
              <w:top w:val="nil"/>
              <w:left w:val="single" w:sz="8" w:space="0" w:color="auto"/>
              <w:bottom w:val="nil"/>
              <w:right w:val="single" w:sz="8" w:space="0" w:color="auto"/>
            </w:tcBorders>
            <w:shd w:val="clear" w:color="auto" w:fill="auto"/>
            <w:vAlign w:val="center"/>
            <w:hideMark/>
          </w:tcPr>
          <w:p w14:paraId="35881F21" w14:textId="77777777" w:rsidR="004677FD" w:rsidRPr="00F8465B" w:rsidRDefault="004677FD" w:rsidP="008F10C7">
            <w:pPr>
              <w:keepLines w:val="0"/>
              <w:widowControl/>
              <w:jc w:val="left"/>
              <w:rPr>
                <w:rFonts w:ascii="Cambria" w:hAnsi="Cambria" w:cs="Calibri"/>
                <w:color w:val="000000"/>
                <w:sz w:val="20"/>
                <w:lang w:val="es-ES"/>
              </w:rPr>
            </w:pPr>
            <w:r w:rsidRPr="00F8465B">
              <w:rPr>
                <w:rFonts w:ascii="Cambria" w:hAnsi="Cambria" w:cs="Calibri"/>
                <w:color w:val="000000"/>
                <w:sz w:val="20"/>
                <w:lang w:val="es-ES"/>
              </w:rPr>
              <w:t>Construcciones</w:t>
            </w:r>
          </w:p>
        </w:tc>
        <w:tc>
          <w:tcPr>
            <w:tcW w:w="1134" w:type="dxa"/>
            <w:tcBorders>
              <w:top w:val="nil"/>
              <w:left w:val="nil"/>
              <w:bottom w:val="nil"/>
              <w:right w:val="nil"/>
            </w:tcBorders>
            <w:vAlign w:val="center"/>
          </w:tcPr>
          <w:p w14:paraId="421F0BE8" w14:textId="21E0A4F3" w:rsidR="004677FD" w:rsidRPr="00F8465B" w:rsidRDefault="004677FD" w:rsidP="008F10C7">
            <w:pPr>
              <w:keepLines w:val="0"/>
              <w:widowControl/>
              <w:jc w:val="right"/>
              <w:rPr>
                <w:rFonts w:ascii="Cambria" w:hAnsi="Cambria" w:cs="Calibri"/>
                <w:color w:val="000000"/>
                <w:sz w:val="20"/>
                <w:lang w:val="es-ES"/>
              </w:rPr>
            </w:pPr>
            <w:r>
              <w:rPr>
                <w:rFonts w:ascii="Cambria" w:hAnsi="Cambria" w:cs="Calibri"/>
                <w:color w:val="000000"/>
                <w:sz w:val="20"/>
                <w:lang w:val="es-ES"/>
              </w:rPr>
              <w:t>414</w:t>
            </w:r>
          </w:p>
        </w:tc>
        <w:tc>
          <w:tcPr>
            <w:tcW w:w="1134" w:type="dxa"/>
            <w:tcBorders>
              <w:top w:val="nil"/>
              <w:left w:val="single" w:sz="4" w:space="0" w:color="auto"/>
              <w:bottom w:val="nil"/>
              <w:right w:val="single" w:sz="8" w:space="0" w:color="auto"/>
            </w:tcBorders>
            <w:shd w:val="clear" w:color="auto" w:fill="auto"/>
            <w:vAlign w:val="center"/>
            <w:hideMark/>
          </w:tcPr>
          <w:p w14:paraId="3C1891BB" w14:textId="0A7D5231" w:rsidR="004677FD" w:rsidRPr="00F8465B" w:rsidRDefault="004677FD" w:rsidP="008F10C7">
            <w:pPr>
              <w:keepLines w:val="0"/>
              <w:widowControl/>
              <w:jc w:val="center"/>
              <w:rPr>
                <w:rFonts w:ascii="Cambria" w:hAnsi="Cambria" w:cs="Calibri"/>
                <w:color w:val="000000"/>
                <w:sz w:val="20"/>
                <w:lang w:val="es-ES"/>
              </w:rPr>
            </w:pPr>
            <w:r>
              <w:rPr>
                <w:rFonts w:ascii="Cambria" w:hAnsi="Cambria" w:cs="Calibri"/>
                <w:color w:val="000000"/>
                <w:sz w:val="20"/>
                <w:lang w:val="es-ES"/>
              </w:rPr>
              <w:t>8</w:t>
            </w:r>
          </w:p>
        </w:tc>
        <w:tc>
          <w:tcPr>
            <w:tcW w:w="1134" w:type="dxa"/>
            <w:tcBorders>
              <w:top w:val="nil"/>
              <w:left w:val="nil"/>
              <w:bottom w:val="nil"/>
              <w:right w:val="single" w:sz="8" w:space="0" w:color="auto"/>
            </w:tcBorders>
            <w:shd w:val="clear" w:color="auto" w:fill="auto"/>
            <w:vAlign w:val="center"/>
            <w:hideMark/>
          </w:tcPr>
          <w:p w14:paraId="159B9398" w14:textId="00FDF669" w:rsidR="004677FD" w:rsidRPr="00F8465B" w:rsidRDefault="004677FD" w:rsidP="00C024E9">
            <w:pPr>
              <w:keepLines w:val="0"/>
              <w:widowControl/>
              <w:jc w:val="right"/>
              <w:rPr>
                <w:rFonts w:ascii="Cambria" w:hAnsi="Cambria" w:cs="Calibri"/>
                <w:color w:val="000000"/>
                <w:sz w:val="20"/>
                <w:lang w:val="es-ES"/>
              </w:rPr>
            </w:pPr>
            <w:r>
              <w:rPr>
                <w:rFonts w:ascii="Cambria" w:hAnsi="Cambria" w:cs="Calibri"/>
                <w:color w:val="000000"/>
                <w:sz w:val="20"/>
                <w:lang w:val="es-ES"/>
              </w:rPr>
              <w:t>42</w:t>
            </w:r>
            <w:r w:rsidR="00C024E9">
              <w:rPr>
                <w:rFonts w:ascii="Cambria" w:hAnsi="Cambria" w:cs="Calibri"/>
                <w:color w:val="000000"/>
                <w:sz w:val="20"/>
                <w:lang w:val="es-ES"/>
              </w:rPr>
              <w:t>2</w:t>
            </w:r>
          </w:p>
        </w:tc>
      </w:tr>
      <w:tr w:rsidR="004677FD" w:rsidRPr="00F8465B" w14:paraId="3A0B25D7" w14:textId="77777777" w:rsidTr="004677FD">
        <w:trPr>
          <w:trHeight w:hRule="exact" w:val="312"/>
        </w:trPr>
        <w:tc>
          <w:tcPr>
            <w:tcW w:w="3969" w:type="dxa"/>
            <w:tcBorders>
              <w:top w:val="nil"/>
              <w:left w:val="single" w:sz="8" w:space="0" w:color="auto"/>
              <w:bottom w:val="single" w:sz="4" w:space="0" w:color="auto"/>
              <w:right w:val="single" w:sz="8" w:space="0" w:color="auto"/>
            </w:tcBorders>
            <w:shd w:val="clear" w:color="auto" w:fill="auto"/>
            <w:vAlign w:val="center"/>
            <w:hideMark/>
          </w:tcPr>
          <w:p w14:paraId="67B64BA6" w14:textId="77777777" w:rsidR="004677FD" w:rsidRPr="00F8465B" w:rsidRDefault="004677FD" w:rsidP="008F10C7">
            <w:pPr>
              <w:keepLines w:val="0"/>
              <w:widowControl/>
              <w:jc w:val="left"/>
              <w:rPr>
                <w:rFonts w:ascii="Cambria" w:hAnsi="Cambria" w:cs="Calibri"/>
                <w:color w:val="000000"/>
                <w:sz w:val="20"/>
                <w:lang w:val="es-ES"/>
              </w:rPr>
            </w:pPr>
            <w:r>
              <w:rPr>
                <w:rFonts w:ascii="Cambria" w:hAnsi="Cambria" w:cs="Calibri"/>
                <w:color w:val="000000"/>
                <w:sz w:val="20"/>
                <w:lang w:val="es-ES"/>
              </w:rPr>
              <w:t>Deterioro</w:t>
            </w:r>
          </w:p>
        </w:tc>
        <w:tc>
          <w:tcPr>
            <w:tcW w:w="1134" w:type="dxa"/>
            <w:tcBorders>
              <w:top w:val="nil"/>
              <w:left w:val="nil"/>
              <w:bottom w:val="single" w:sz="4" w:space="0" w:color="auto"/>
              <w:right w:val="nil"/>
            </w:tcBorders>
            <w:vAlign w:val="center"/>
          </w:tcPr>
          <w:p w14:paraId="57810C8D" w14:textId="22AF276A" w:rsidR="004677FD" w:rsidRPr="00F8465B" w:rsidRDefault="004677FD" w:rsidP="004677FD">
            <w:pPr>
              <w:keepLines w:val="0"/>
              <w:widowControl/>
              <w:jc w:val="right"/>
              <w:rPr>
                <w:rFonts w:ascii="Cambria" w:hAnsi="Cambria" w:cs="Calibri"/>
                <w:color w:val="000000"/>
                <w:sz w:val="20"/>
                <w:lang w:val="es-ES"/>
              </w:rPr>
            </w:pPr>
            <w:r>
              <w:rPr>
                <w:rFonts w:ascii="Cambria" w:hAnsi="Cambria" w:cs="Calibri"/>
                <w:color w:val="000000"/>
                <w:sz w:val="20"/>
                <w:lang w:val="es-ES"/>
              </w:rPr>
              <w:t>(721)</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0CCB509F" w14:textId="77777777" w:rsidR="004677FD" w:rsidRPr="00F8465B" w:rsidRDefault="004677FD" w:rsidP="008F10C7">
            <w:pPr>
              <w:keepLines w:val="0"/>
              <w:widowControl/>
              <w:jc w:val="center"/>
              <w:rPr>
                <w:rFonts w:ascii="Cambria" w:hAnsi="Cambria" w:cs="Calibri"/>
                <w:color w:val="000000"/>
                <w:sz w:val="20"/>
                <w:lang w:val="es-ES"/>
              </w:rPr>
            </w:pPr>
            <w:r w:rsidRPr="00F8465B">
              <w:rPr>
                <w:rFonts w:ascii="Cambria" w:hAnsi="Cambria" w:cs="Calibri"/>
                <w:color w:val="000000"/>
                <w:sz w:val="20"/>
                <w:lang w:val="es-ES"/>
              </w:rPr>
              <w:t>-</w:t>
            </w:r>
          </w:p>
        </w:tc>
        <w:tc>
          <w:tcPr>
            <w:tcW w:w="1134" w:type="dxa"/>
            <w:tcBorders>
              <w:top w:val="nil"/>
              <w:left w:val="nil"/>
              <w:bottom w:val="single" w:sz="4" w:space="0" w:color="auto"/>
              <w:right w:val="single" w:sz="8" w:space="0" w:color="auto"/>
            </w:tcBorders>
            <w:shd w:val="clear" w:color="auto" w:fill="auto"/>
            <w:vAlign w:val="center"/>
            <w:hideMark/>
          </w:tcPr>
          <w:p w14:paraId="6EE09D9B" w14:textId="7B703005" w:rsidR="004677FD" w:rsidRPr="00F8465B" w:rsidRDefault="004677FD" w:rsidP="00C024E9">
            <w:pPr>
              <w:keepLines w:val="0"/>
              <w:widowControl/>
              <w:jc w:val="right"/>
              <w:rPr>
                <w:rFonts w:ascii="Cambria" w:hAnsi="Cambria" w:cs="Calibri"/>
                <w:color w:val="000000"/>
                <w:sz w:val="20"/>
                <w:lang w:val="es-ES"/>
              </w:rPr>
            </w:pPr>
            <w:r w:rsidRPr="00F8465B">
              <w:rPr>
                <w:rFonts w:ascii="Cambria" w:hAnsi="Cambria" w:cs="Calibri"/>
                <w:color w:val="000000"/>
                <w:sz w:val="20"/>
                <w:lang w:val="es-ES"/>
              </w:rPr>
              <w:t>(</w:t>
            </w:r>
            <w:r w:rsidR="00C024E9">
              <w:rPr>
                <w:rFonts w:ascii="Cambria" w:hAnsi="Cambria" w:cs="Calibri"/>
                <w:color w:val="000000"/>
                <w:sz w:val="20"/>
                <w:lang w:val="es-ES"/>
              </w:rPr>
              <w:t>721</w:t>
            </w:r>
            <w:r w:rsidRPr="00F8465B">
              <w:rPr>
                <w:rFonts w:ascii="Cambria" w:hAnsi="Cambria" w:cs="Calibri"/>
                <w:color w:val="000000"/>
                <w:sz w:val="20"/>
                <w:lang w:val="es-ES"/>
              </w:rPr>
              <w:t>)</w:t>
            </w:r>
          </w:p>
        </w:tc>
      </w:tr>
      <w:tr w:rsidR="004677FD" w:rsidRPr="00F8465B" w14:paraId="24551FDE" w14:textId="77777777" w:rsidTr="004677FD">
        <w:trPr>
          <w:trHeight w:val="315"/>
        </w:trPr>
        <w:tc>
          <w:tcPr>
            <w:tcW w:w="3969"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FEAE342" w14:textId="34B7B6DF" w:rsidR="004677FD" w:rsidRPr="00F8465B" w:rsidRDefault="004677FD" w:rsidP="008F10C7">
            <w:pPr>
              <w:keepLines w:val="0"/>
              <w:widowControl/>
              <w:jc w:val="left"/>
              <w:rPr>
                <w:rFonts w:ascii="Cambria" w:hAnsi="Cambria" w:cs="Calibri"/>
                <w:b/>
                <w:bCs/>
                <w:color w:val="000000"/>
                <w:sz w:val="20"/>
                <w:lang w:val="es-ES"/>
              </w:rPr>
            </w:pPr>
            <w:r>
              <w:rPr>
                <w:rFonts w:ascii="Cambria" w:hAnsi="Cambria" w:cs="Calibri"/>
                <w:b/>
                <w:bCs/>
                <w:color w:val="000000"/>
                <w:sz w:val="20"/>
                <w:lang w:val="es-ES"/>
              </w:rPr>
              <w:t>INVERSIONES INMOBILIARIAS</w:t>
            </w:r>
          </w:p>
        </w:tc>
        <w:tc>
          <w:tcPr>
            <w:tcW w:w="1134" w:type="dxa"/>
            <w:tcBorders>
              <w:top w:val="single" w:sz="4" w:space="0" w:color="auto"/>
              <w:left w:val="nil"/>
              <w:bottom w:val="single" w:sz="4" w:space="0" w:color="auto"/>
              <w:right w:val="nil"/>
            </w:tcBorders>
            <w:vAlign w:val="center"/>
          </w:tcPr>
          <w:p w14:paraId="311D1EB7" w14:textId="09CB9BB7" w:rsidR="004677FD" w:rsidRPr="00F8465B" w:rsidRDefault="004677FD" w:rsidP="008F10C7">
            <w:pPr>
              <w:keepLines w:val="0"/>
              <w:widowControl/>
              <w:jc w:val="right"/>
              <w:rPr>
                <w:rFonts w:ascii="Cambria" w:hAnsi="Cambria" w:cs="Calibri"/>
                <w:b/>
                <w:bCs/>
                <w:color w:val="000000"/>
                <w:sz w:val="20"/>
                <w:lang w:val="es-ES"/>
              </w:rPr>
            </w:pPr>
            <w:r>
              <w:rPr>
                <w:rFonts w:ascii="Cambria" w:hAnsi="Cambria" w:cs="Arial"/>
                <w:b/>
                <w:bCs/>
                <w:color w:val="000000"/>
                <w:sz w:val="20"/>
              </w:rPr>
              <w:t>169</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5300DC0" w14:textId="59D72323" w:rsidR="004677FD" w:rsidRPr="00F8465B" w:rsidRDefault="004677FD" w:rsidP="004677FD">
            <w:pPr>
              <w:keepLines w:val="0"/>
              <w:widowControl/>
              <w:jc w:val="center"/>
              <w:rPr>
                <w:rFonts w:ascii="Cambria" w:hAnsi="Cambria" w:cs="Calibri"/>
                <w:b/>
                <w:bCs/>
                <w:color w:val="000000"/>
                <w:sz w:val="20"/>
                <w:lang w:val="es-ES"/>
              </w:rPr>
            </w:pPr>
            <w:r>
              <w:rPr>
                <w:rFonts w:ascii="Cambria" w:hAnsi="Cambria" w:cs="Calibri"/>
                <w:b/>
                <w:bCs/>
                <w:color w:val="000000"/>
                <w:sz w:val="20"/>
                <w:lang w:val="es-ES"/>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8C4C39" w14:textId="3AAC3398" w:rsidR="004677FD" w:rsidRPr="00F8465B" w:rsidRDefault="004677FD" w:rsidP="004677FD">
            <w:pPr>
              <w:keepLines w:val="0"/>
              <w:widowControl/>
              <w:jc w:val="right"/>
              <w:rPr>
                <w:rFonts w:ascii="Cambria" w:hAnsi="Cambria" w:cs="Calibri"/>
                <w:b/>
                <w:bCs/>
                <w:color w:val="000000"/>
                <w:sz w:val="20"/>
                <w:lang w:val="es-ES"/>
              </w:rPr>
            </w:pPr>
            <w:r>
              <w:rPr>
                <w:rFonts w:ascii="Cambria" w:hAnsi="Cambria" w:cs="Arial"/>
                <w:b/>
                <w:bCs/>
                <w:color w:val="000000"/>
                <w:sz w:val="20"/>
              </w:rPr>
              <w:t>17</w:t>
            </w:r>
            <w:r w:rsidR="00C024E9">
              <w:rPr>
                <w:rFonts w:ascii="Cambria" w:hAnsi="Cambria" w:cs="Arial"/>
                <w:b/>
                <w:bCs/>
                <w:color w:val="000000"/>
                <w:sz w:val="20"/>
              </w:rPr>
              <w:t>7</w:t>
            </w:r>
          </w:p>
        </w:tc>
      </w:tr>
    </w:tbl>
    <w:p w14:paraId="2358C172" w14:textId="77777777" w:rsidR="0052024E" w:rsidRDefault="0052024E" w:rsidP="004E3529">
      <w:pPr>
        <w:ind w:left="567"/>
        <w:rPr>
          <w:rFonts w:ascii="Cambria" w:hAnsi="Cambria"/>
          <w:sz w:val="24"/>
          <w:szCs w:val="24"/>
        </w:rPr>
      </w:pPr>
    </w:p>
    <w:p w14:paraId="712C3908" w14:textId="2D5DFB4C" w:rsidR="009075A2" w:rsidRDefault="009623BC" w:rsidP="004E3529">
      <w:pPr>
        <w:ind w:left="567"/>
        <w:rPr>
          <w:rFonts w:ascii="Cambria" w:hAnsi="Cambria"/>
          <w:sz w:val="24"/>
          <w:szCs w:val="24"/>
        </w:rPr>
      </w:pPr>
      <w:r w:rsidRPr="005B29DF">
        <w:rPr>
          <w:rFonts w:ascii="Cambria" w:hAnsi="Cambria"/>
          <w:sz w:val="24"/>
          <w:szCs w:val="24"/>
        </w:rPr>
        <w:t>Los inmuebles recogid</w:t>
      </w:r>
      <w:r w:rsidR="00033FA0">
        <w:rPr>
          <w:rFonts w:ascii="Cambria" w:hAnsi="Cambria"/>
          <w:sz w:val="24"/>
          <w:szCs w:val="24"/>
        </w:rPr>
        <w:t>os en este epígrafe corresponden</w:t>
      </w:r>
      <w:r w:rsidRPr="005B29DF">
        <w:rPr>
          <w:rFonts w:ascii="Cambria" w:hAnsi="Cambria"/>
          <w:sz w:val="24"/>
          <w:szCs w:val="24"/>
        </w:rPr>
        <w:t xml:space="preserve"> a los adquiridos a su </w:t>
      </w:r>
      <w:r w:rsidR="002D3E79" w:rsidRPr="005B29DF">
        <w:rPr>
          <w:rFonts w:ascii="Cambria" w:hAnsi="Cambria"/>
          <w:sz w:val="24"/>
          <w:szCs w:val="24"/>
        </w:rPr>
        <w:t xml:space="preserve">antigua </w:t>
      </w:r>
      <w:r w:rsidRPr="005B29DF">
        <w:rPr>
          <w:rFonts w:ascii="Cambria" w:hAnsi="Cambria"/>
          <w:sz w:val="24"/>
          <w:szCs w:val="24"/>
        </w:rPr>
        <w:t xml:space="preserve">filial </w:t>
      </w:r>
      <w:r w:rsidR="00975649" w:rsidRPr="005B29DF">
        <w:rPr>
          <w:rFonts w:ascii="Cambria" w:hAnsi="Cambria"/>
          <w:sz w:val="24"/>
          <w:szCs w:val="24"/>
        </w:rPr>
        <w:t>S</w:t>
      </w:r>
      <w:r w:rsidR="00975649">
        <w:rPr>
          <w:rFonts w:ascii="Cambria" w:hAnsi="Cambria"/>
          <w:sz w:val="24"/>
          <w:szCs w:val="24"/>
        </w:rPr>
        <w:t>ODIAN</w:t>
      </w:r>
      <w:r w:rsidR="00975649" w:rsidRPr="005B29DF">
        <w:rPr>
          <w:rFonts w:ascii="Cambria" w:hAnsi="Cambria"/>
          <w:sz w:val="24"/>
          <w:szCs w:val="24"/>
        </w:rPr>
        <w:t xml:space="preserve"> </w:t>
      </w:r>
      <w:r w:rsidR="0086688D" w:rsidRPr="005B29DF">
        <w:rPr>
          <w:rFonts w:ascii="Cambria" w:hAnsi="Cambria"/>
          <w:sz w:val="24"/>
          <w:szCs w:val="24"/>
        </w:rPr>
        <w:t>para</w:t>
      </w:r>
      <w:r w:rsidR="004677FD">
        <w:rPr>
          <w:rFonts w:ascii="Cambria" w:hAnsi="Cambria"/>
          <w:sz w:val="24"/>
          <w:szCs w:val="24"/>
        </w:rPr>
        <w:t xml:space="preserve"> posibilitar así su </w:t>
      </w:r>
      <w:r w:rsidR="005D704C">
        <w:rPr>
          <w:rFonts w:ascii="Cambria" w:hAnsi="Cambria"/>
          <w:sz w:val="24"/>
          <w:szCs w:val="24"/>
        </w:rPr>
        <w:t>liquidación. L</w:t>
      </w:r>
      <w:r w:rsidR="0031695C">
        <w:rPr>
          <w:rFonts w:ascii="Cambria" w:hAnsi="Cambria"/>
          <w:sz w:val="24"/>
          <w:szCs w:val="24"/>
        </w:rPr>
        <w:t>os movimientos habido</w:t>
      </w:r>
      <w:r w:rsidR="005D704C">
        <w:rPr>
          <w:rFonts w:ascii="Cambria" w:hAnsi="Cambria"/>
          <w:sz w:val="24"/>
          <w:szCs w:val="24"/>
        </w:rPr>
        <w:t>s</w:t>
      </w:r>
      <w:r w:rsidR="0031695C">
        <w:rPr>
          <w:rFonts w:ascii="Cambria" w:hAnsi="Cambria"/>
          <w:sz w:val="24"/>
          <w:szCs w:val="24"/>
        </w:rPr>
        <w:t xml:space="preserve"> en </w:t>
      </w:r>
      <w:r w:rsidR="000344C9">
        <w:rPr>
          <w:rFonts w:ascii="Cambria" w:hAnsi="Cambria"/>
          <w:sz w:val="24"/>
          <w:szCs w:val="24"/>
        </w:rPr>
        <w:t xml:space="preserve">los </w:t>
      </w:r>
      <w:r w:rsidR="0031695C">
        <w:rPr>
          <w:rFonts w:ascii="Cambria" w:hAnsi="Cambria"/>
          <w:sz w:val="24"/>
          <w:szCs w:val="24"/>
        </w:rPr>
        <w:t>ejercicio</w:t>
      </w:r>
      <w:r w:rsidR="000344C9">
        <w:rPr>
          <w:rFonts w:ascii="Cambria" w:hAnsi="Cambria"/>
          <w:sz w:val="24"/>
          <w:szCs w:val="24"/>
        </w:rPr>
        <w:t>s</w:t>
      </w:r>
      <w:r w:rsidR="0031695C">
        <w:rPr>
          <w:rFonts w:ascii="Cambria" w:hAnsi="Cambria"/>
          <w:sz w:val="24"/>
          <w:szCs w:val="24"/>
        </w:rPr>
        <w:t xml:space="preserve"> </w:t>
      </w:r>
      <w:r w:rsidR="000344C9">
        <w:rPr>
          <w:rFonts w:ascii="Cambria" w:hAnsi="Cambria"/>
          <w:sz w:val="24"/>
          <w:szCs w:val="24"/>
        </w:rPr>
        <w:t xml:space="preserve">2020 y </w:t>
      </w:r>
      <w:r w:rsidR="0031695C">
        <w:rPr>
          <w:rFonts w:ascii="Cambria" w:hAnsi="Cambria"/>
          <w:sz w:val="24"/>
          <w:szCs w:val="24"/>
        </w:rPr>
        <w:t xml:space="preserve">2019 corresponden a los costes asumidos por COFIVACASA en la urbanización del </w:t>
      </w:r>
      <w:r w:rsidR="0031695C" w:rsidRPr="0031695C">
        <w:rPr>
          <w:rFonts w:ascii="Cambria" w:hAnsi="Cambria"/>
          <w:sz w:val="24"/>
          <w:szCs w:val="24"/>
        </w:rPr>
        <w:t>PAI de la UA-5 del PGOU de Sagunto</w:t>
      </w:r>
      <w:r w:rsidR="0031695C">
        <w:rPr>
          <w:rFonts w:ascii="Cambria" w:hAnsi="Cambria"/>
          <w:sz w:val="24"/>
          <w:szCs w:val="24"/>
        </w:rPr>
        <w:t xml:space="preserve">. </w:t>
      </w:r>
    </w:p>
    <w:p w14:paraId="0427BDA2" w14:textId="77777777" w:rsidR="0031695C" w:rsidRPr="004E3529" w:rsidRDefault="0031695C" w:rsidP="004E3529">
      <w:pPr>
        <w:ind w:left="567"/>
        <w:rPr>
          <w:rFonts w:ascii="Cambria" w:hAnsi="Cambria"/>
          <w:sz w:val="24"/>
          <w:szCs w:val="24"/>
        </w:rPr>
      </w:pPr>
    </w:p>
    <w:p w14:paraId="7A89B6C5" w14:textId="678C3A82" w:rsidR="0031695C" w:rsidRPr="0031695C" w:rsidRDefault="005D704C" w:rsidP="00DA4445">
      <w:pPr>
        <w:pStyle w:val="Ttulo1a"/>
        <w:ind w:left="567"/>
        <w:rPr>
          <w:rFonts w:ascii="Cambria" w:hAnsi="Cambria"/>
          <w:sz w:val="24"/>
          <w:szCs w:val="24"/>
        </w:rPr>
      </w:pPr>
      <w:r>
        <w:rPr>
          <w:rFonts w:ascii="Cambria" w:hAnsi="Cambria"/>
          <w:sz w:val="24"/>
          <w:szCs w:val="24"/>
        </w:rPr>
        <w:t>En 2018 la Sociedad</w:t>
      </w:r>
      <w:r w:rsidR="0031695C" w:rsidRPr="0031695C">
        <w:rPr>
          <w:rFonts w:ascii="Cambria" w:hAnsi="Cambria"/>
          <w:sz w:val="24"/>
          <w:szCs w:val="24"/>
        </w:rPr>
        <w:t xml:space="preserve"> recibió comunicación del Agente Urbanizador del PAI</w:t>
      </w:r>
      <w:r w:rsidR="0031695C">
        <w:rPr>
          <w:rFonts w:ascii="Cambria" w:hAnsi="Cambria"/>
          <w:sz w:val="24"/>
          <w:szCs w:val="24"/>
        </w:rPr>
        <w:t xml:space="preserve"> de la UA-5 del PGOU de Sagunto</w:t>
      </w:r>
      <w:r w:rsidR="005919C1">
        <w:rPr>
          <w:rFonts w:ascii="Cambria" w:hAnsi="Cambria"/>
          <w:sz w:val="24"/>
          <w:szCs w:val="24"/>
        </w:rPr>
        <w:t xml:space="preserve">. </w:t>
      </w:r>
      <w:r>
        <w:rPr>
          <w:rFonts w:ascii="Cambria" w:hAnsi="Cambria"/>
          <w:sz w:val="24"/>
          <w:szCs w:val="24"/>
        </w:rPr>
        <w:t xml:space="preserve"> </w:t>
      </w:r>
      <w:r w:rsidR="005919C1">
        <w:rPr>
          <w:rFonts w:ascii="Cambria" w:hAnsi="Cambria"/>
          <w:sz w:val="24"/>
          <w:szCs w:val="24"/>
        </w:rPr>
        <w:t>E</w:t>
      </w:r>
      <w:r>
        <w:rPr>
          <w:rFonts w:ascii="Cambria" w:hAnsi="Cambria"/>
          <w:sz w:val="24"/>
          <w:szCs w:val="24"/>
        </w:rPr>
        <w:t xml:space="preserve">n base a la misma, </w:t>
      </w:r>
      <w:r w:rsidR="0031695C" w:rsidRPr="0031695C">
        <w:rPr>
          <w:rFonts w:ascii="Cambria" w:hAnsi="Cambria"/>
          <w:sz w:val="24"/>
          <w:szCs w:val="24"/>
        </w:rPr>
        <w:t xml:space="preserve">COFIVACASA comunicó al Ayuntamiento que </w:t>
      </w:r>
      <w:r w:rsidR="0031695C">
        <w:rPr>
          <w:rFonts w:ascii="Cambria" w:hAnsi="Cambria"/>
          <w:sz w:val="24"/>
          <w:szCs w:val="24"/>
        </w:rPr>
        <w:t xml:space="preserve"> p</w:t>
      </w:r>
      <w:r w:rsidR="0031695C" w:rsidRPr="0031695C">
        <w:rPr>
          <w:rFonts w:ascii="Cambria" w:hAnsi="Cambria"/>
          <w:sz w:val="24"/>
          <w:szCs w:val="24"/>
        </w:rPr>
        <w:t>articiparía mediante la opción de pago de las cuotas en metálico.</w:t>
      </w:r>
      <w:r>
        <w:rPr>
          <w:rFonts w:ascii="Cambria" w:hAnsi="Cambria"/>
          <w:sz w:val="24"/>
          <w:szCs w:val="24"/>
        </w:rPr>
        <w:t xml:space="preserve"> La S</w:t>
      </w:r>
      <w:r w:rsidR="0031695C">
        <w:rPr>
          <w:rFonts w:ascii="Cambria" w:hAnsi="Cambria"/>
          <w:sz w:val="24"/>
          <w:szCs w:val="24"/>
        </w:rPr>
        <w:t xml:space="preserve">ociedad ha registrado </w:t>
      </w:r>
      <w:r w:rsidR="0031695C" w:rsidRPr="0031695C">
        <w:rPr>
          <w:rFonts w:ascii="Cambria" w:hAnsi="Cambria"/>
          <w:sz w:val="24"/>
          <w:szCs w:val="24"/>
        </w:rPr>
        <w:t xml:space="preserve">como </w:t>
      </w:r>
      <w:r w:rsidR="0031695C">
        <w:rPr>
          <w:rFonts w:ascii="Cambria" w:hAnsi="Cambria"/>
          <w:sz w:val="24"/>
          <w:szCs w:val="24"/>
        </w:rPr>
        <w:t xml:space="preserve">inversión inmobiliaria </w:t>
      </w:r>
      <w:r w:rsidR="0031695C" w:rsidRPr="0031695C">
        <w:rPr>
          <w:rFonts w:ascii="Cambria" w:hAnsi="Cambria"/>
          <w:sz w:val="24"/>
          <w:szCs w:val="24"/>
        </w:rPr>
        <w:t>las cuotas abonadas, ya que la urbanización en curso contribuye a la revalorización del bien.</w:t>
      </w:r>
    </w:p>
    <w:p w14:paraId="33B3A484" w14:textId="5C0774CF" w:rsidR="00250A81" w:rsidRPr="00F8465B" w:rsidRDefault="009F48E6" w:rsidP="0094281F">
      <w:pPr>
        <w:keepLines w:val="0"/>
        <w:widowControl/>
        <w:jc w:val="left"/>
        <w:rPr>
          <w:rFonts w:ascii="Cambria" w:hAnsi="Cambria"/>
          <w:sz w:val="24"/>
          <w:szCs w:val="24"/>
        </w:rPr>
      </w:pPr>
      <w:r>
        <w:rPr>
          <w:rFonts w:ascii="Cambria" w:hAnsi="Cambria"/>
          <w:b/>
          <w:sz w:val="16"/>
          <w:szCs w:val="16"/>
          <w:u w:val="single"/>
          <w:lang w:val="es-ES"/>
        </w:rPr>
        <w:t xml:space="preserve">   </w:t>
      </w:r>
    </w:p>
    <w:p w14:paraId="596E37EE" w14:textId="77777777" w:rsidR="007038E3" w:rsidRDefault="007038E3" w:rsidP="007038E3">
      <w:pPr>
        <w:pStyle w:val="Ttulo4"/>
        <w:widowControl/>
        <w:tabs>
          <w:tab w:val="left" w:pos="-448"/>
        </w:tabs>
        <w:spacing w:before="0" w:after="0"/>
        <w:ind w:left="567" w:right="-1"/>
        <w:rPr>
          <w:rFonts w:ascii="Cambria" w:hAnsi="Cambria"/>
          <w:kern w:val="28"/>
          <w:sz w:val="24"/>
          <w:szCs w:val="24"/>
          <w:u w:val="single"/>
          <w:lang w:val="es-ES" w:eastAsia="en-US"/>
        </w:rPr>
      </w:pPr>
    </w:p>
    <w:p w14:paraId="0DBB30B3" w14:textId="6C998AC9" w:rsidR="00F16C05" w:rsidRPr="00DA43D5" w:rsidRDefault="00F16C05" w:rsidP="00900794">
      <w:pPr>
        <w:pStyle w:val="Ttulo4"/>
        <w:widowControl/>
        <w:numPr>
          <w:ilvl w:val="0"/>
          <w:numId w:val="3"/>
        </w:numPr>
        <w:tabs>
          <w:tab w:val="clear" w:pos="360"/>
          <w:tab w:val="left" w:pos="-448"/>
          <w:tab w:val="num" w:pos="567"/>
        </w:tabs>
        <w:spacing w:before="0" w:after="0"/>
        <w:ind w:left="567" w:right="-1" w:hanging="567"/>
        <w:rPr>
          <w:rFonts w:ascii="Cambria" w:hAnsi="Cambria"/>
          <w:kern w:val="28"/>
          <w:sz w:val="24"/>
          <w:szCs w:val="24"/>
          <w:u w:val="single"/>
          <w:lang w:val="es-ES" w:eastAsia="en-US"/>
        </w:rPr>
      </w:pPr>
      <w:r w:rsidRPr="00DA43D5">
        <w:rPr>
          <w:rFonts w:ascii="Cambria" w:hAnsi="Cambria"/>
          <w:kern w:val="28"/>
          <w:sz w:val="24"/>
          <w:szCs w:val="24"/>
          <w:u w:val="single"/>
          <w:lang w:val="es-ES" w:eastAsia="en-US"/>
        </w:rPr>
        <w:t xml:space="preserve">Inversiones financieras </w:t>
      </w:r>
    </w:p>
    <w:p w14:paraId="61480736" w14:textId="77777777" w:rsidR="000656A5" w:rsidRPr="00DA43D5" w:rsidRDefault="000656A5" w:rsidP="0024783F">
      <w:pPr>
        <w:pStyle w:val="Ttulo1a"/>
        <w:rPr>
          <w:rFonts w:ascii="Cambria" w:hAnsi="Cambria"/>
          <w:sz w:val="24"/>
          <w:szCs w:val="24"/>
        </w:rPr>
      </w:pPr>
    </w:p>
    <w:p w14:paraId="234987B3" w14:textId="7F560E18" w:rsidR="003C349D" w:rsidRPr="00F8465B" w:rsidRDefault="003C349D" w:rsidP="00900794">
      <w:pPr>
        <w:pStyle w:val="Ttulo1a"/>
        <w:ind w:left="567"/>
        <w:rPr>
          <w:rFonts w:ascii="Cambria" w:hAnsi="Cambria"/>
          <w:sz w:val="24"/>
          <w:szCs w:val="24"/>
        </w:rPr>
      </w:pPr>
      <w:r w:rsidRPr="00DA43D5">
        <w:rPr>
          <w:rFonts w:ascii="Cambria" w:hAnsi="Cambria"/>
          <w:sz w:val="24"/>
          <w:szCs w:val="24"/>
        </w:rPr>
        <w:t>El detalle de los saldos que componen este epígrafe del balance de situación</w:t>
      </w:r>
      <w:r w:rsidR="00B34974" w:rsidRPr="00DA43D5">
        <w:rPr>
          <w:rFonts w:ascii="Cambria" w:hAnsi="Cambria"/>
          <w:sz w:val="24"/>
          <w:szCs w:val="24"/>
        </w:rPr>
        <w:t>,</w:t>
      </w:r>
      <w:r w:rsidRPr="00DA43D5">
        <w:rPr>
          <w:rFonts w:ascii="Cambria" w:hAnsi="Cambria"/>
          <w:sz w:val="24"/>
          <w:szCs w:val="24"/>
        </w:rPr>
        <w:t xml:space="preserve"> al 31 de diciembre de 20</w:t>
      </w:r>
      <w:r w:rsidR="009F514E" w:rsidRPr="00DA43D5">
        <w:rPr>
          <w:rFonts w:ascii="Cambria" w:hAnsi="Cambria"/>
          <w:sz w:val="24"/>
          <w:szCs w:val="24"/>
        </w:rPr>
        <w:t>20</w:t>
      </w:r>
      <w:r w:rsidRPr="00DA43D5">
        <w:rPr>
          <w:rFonts w:ascii="Cambria" w:hAnsi="Cambria"/>
          <w:sz w:val="24"/>
          <w:szCs w:val="24"/>
        </w:rPr>
        <w:t xml:space="preserve"> y 20</w:t>
      </w:r>
      <w:r w:rsidR="009E4656" w:rsidRPr="00DA43D5">
        <w:rPr>
          <w:rFonts w:ascii="Cambria" w:hAnsi="Cambria"/>
          <w:sz w:val="24"/>
          <w:szCs w:val="24"/>
        </w:rPr>
        <w:t>1</w:t>
      </w:r>
      <w:r w:rsidR="009F514E" w:rsidRPr="00DA43D5">
        <w:rPr>
          <w:rFonts w:ascii="Cambria" w:hAnsi="Cambria"/>
          <w:sz w:val="24"/>
          <w:szCs w:val="24"/>
        </w:rPr>
        <w:t>9</w:t>
      </w:r>
      <w:r w:rsidR="00B34974" w:rsidRPr="00DA43D5">
        <w:rPr>
          <w:rFonts w:ascii="Cambria" w:hAnsi="Cambria"/>
          <w:sz w:val="24"/>
          <w:szCs w:val="24"/>
        </w:rPr>
        <w:t>,</w:t>
      </w:r>
      <w:r w:rsidRPr="00DA43D5">
        <w:rPr>
          <w:rFonts w:ascii="Cambria" w:hAnsi="Cambria"/>
          <w:sz w:val="24"/>
          <w:szCs w:val="24"/>
        </w:rPr>
        <w:t xml:space="preserve"> se presenta en los siguientes cuadros</w:t>
      </w:r>
      <w:r w:rsidR="0073352C" w:rsidRPr="00DA43D5">
        <w:rPr>
          <w:rFonts w:ascii="Cambria" w:hAnsi="Cambria"/>
          <w:sz w:val="24"/>
          <w:szCs w:val="24"/>
        </w:rPr>
        <w:t xml:space="preserve"> en miles de euros</w:t>
      </w:r>
      <w:r w:rsidRPr="00DA43D5">
        <w:rPr>
          <w:rFonts w:ascii="Cambria" w:hAnsi="Cambria"/>
          <w:sz w:val="24"/>
          <w:szCs w:val="24"/>
        </w:rPr>
        <w:t>:</w:t>
      </w:r>
    </w:p>
    <w:p w14:paraId="56E792C7" w14:textId="144F9302" w:rsidR="008C0D8E" w:rsidRDefault="008C0D8E">
      <w:pPr>
        <w:keepLines w:val="0"/>
        <w:widowControl/>
        <w:jc w:val="left"/>
        <w:rPr>
          <w:rFonts w:ascii="Cambria" w:hAnsi="Cambria"/>
          <w:sz w:val="24"/>
          <w:szCs w:val="24"/>
        </w:rPr>
      </w:pPr>
    </w:p>
    <w:p w14:paraId="0CF6B157" w14:textId="77777777" w:rsidR="000656A5" w:rsidRPr="00F8465B" w:rsidRDefault="00085F51" w:rsidP="00900794">
      <w:pPr>
        <w:pStyle w:val="Ttulo3"/>
        <w:numPr>
          <w:ilvl w:val="1"/>
          <w:numId w:val="11"/>
        </w:numPr>
        <w:tabs>
          <w:tab w:val="clear" w:pos="720"/>
          <w:tab w:val="num" w:pos="851"/>
        </w:tabs>
        <w:ind w:left="851" w:hanging="284"/>
        <w:rPr>
          <w:rFonts w:ascii="Cambria" w:hAnsi="Cambria"/>
          <w:b/>
          <w:sz w:val="24"/>
          <w:szCs w:val="24"/>
        </w:rPr>
      </w:pPr>
      <w:r w:rsidRPr="00F8465B">
        <w:rPr>
          <w:rFonts w:ascii="Cambria" w:hAnsi="Cambria"/>
          <w:b/>
          <w:sz w:val="24"/>
          <w:szCs w:val="24"/>
        </w:rPr>
        <w:t xml:space="preserve"> </w:t>
      </w:r>
      <w:r w:rsidR="000656A5" w:rsidRPr="00F8465B">
        <w:rPr>
          <w:rFonts w:ascii="Cambria" w:hAnsi="Cambria"/>
          <w:b/>
          <w:sz w:val="24"/>
          <w:szCs w:val="24"/>
        </w:rPr>
        <w:t>Créditos a terceros</w:t>
      </w:r>
    </w:p>
    <w:p w14:paraId="6EFE104C" w14:textId="77777777" w:rsidR="000656A5" w:rsidRPr="00F8465B" w:rsidRDefault="000656A5" w:rsidP="004210D0">
      <w:pPr>
        <w:pStyle w:val="Ttulo1a"/>
        <w:ind w:left="426"/>
        <w:rPr>
          <w:rFonts w:ascii="Cambria" w:hAnsi="Cambria"/>
          <w:sz w:val="24"/>
          <w:szCs w:val="24"/>
        </w:rPr>
      </w:pPr>
    </w:p>
    <w:p w14:paraId="23C42E92" w14:textId="0D6663F0" w:rsidR="003858E0" w:rsidRDefault="003858E0" w:rsidP="00900794">
      <w:pPr>
        <w:pStyle w:val="Ttulo1a"/>
        <w:ind w:left="567"/>
        <w:rPr>
          <w:rFonts w:ascii="Cambria" w:hAnsi="Cambria"/>
          <w:sz w:val="24"/>
          <w:szCs w:val="24"/>
        </w:rPr>
      </w:pPr>
      <w:r w:rsidRPr="00F8465B">
        <w:rPr>
          <w:rFonts w:ascii="Cambria" w:hAnsi="Cambria"/>
          <w:sz w:val="24"/>
          <w:szCs w:val="24"/>
        </w:rPr>
        <w:t>El movimiento habido, en los ejercicios 20</w:t>
      </w:r>
      <w:r w:rsidR="009F514E">
        <w:rPr>
          <w:rFonts w:ascii="Cambria" w:hAnsi="Cambria"/>
          <w:sz w:val="24"/>
          <w:szCs w:val="24"/>
        </w:rPr>
        <w:t>20</w:t>
      </w:r>
      <w:r w:rsidRPr="00F8465B">
        <w:rPr>
          <w:rFonts w:ascii="Cambria" w:hAnsi="Cambria"/>
          <w:sz w:val="24"/>
          <w:szCs w:val="24"/>
        </w:rPr>
        <w:t xml:space="preserve"> y 201</w:t>
      </w:r>
      <w:r w:rsidR="009F514E">
        <w:rPr>
          <w:rFonts w:ascii="Cambria" w:hAnsi="Cambria"/>
          <w:sz w:val="24"/>
          <w:szCs w:val="24"/>
        </w:rPr>
        <w:t>9</w:t>
      </w:r>
      <w:r w:rsidRPr="00F8465B">
        <w:rPr>
          <w:rFonts w:ascii="Cambria" w:hAnsi="Cambria"/>
          <w:sz w:val="24"/>
          <w:szCs w:val="24"/>
        </w:rPr>
        <w:t>, ha sido el siguiente (en miles de euros):</w:t>
      </w:r>
    </w:p>
    <w:p w14:paraId="383B4D5D" w14:textId="77777777" w:rsidR="00930308" w:rsidRPr="00C407D3" w:rsidRDefault="00930308" w:rsidP="00C407D3"/>
    <w:p w14:paraId="5613B6B6" w14:textId="2FE5FD24" w:rsidR="00930308" w:rsidRDefault="00C024E9" w:rsidP="00930308">
      <w:pPr>
        <w:ind w:left="567"/>
        <w:rPr>
          <w:rFonts w:ascii="Cambria" w:hAnsi="Cambria"/>
          <w:b/>
          <w:sz w:val="24"/>
          <w:szCs w:val="24"/>
          <w:u w:val="single"/>
        </w:rPr>
      </w:pPr>
      <w:r>
        <w:rPr>
          <w:rFonts w:ascii="Cambria" w:hAnsi="Cambria"/>
          <w:b/>
          <w:sz w:val="24"/>
          <w:szCs w:val="24"/>
          <w:u w:val="single"/>
        </w:rPr>
        <w:t>Ejercicio 20</w:t>
      </w:r>
      <w:r w:rsidR="009F514E">
        <w:rPr>
          <w:rFonts w:ascii="Cambria" w:hAnsi="Cambria"/>
          <w:b/>
          <w:sz w:val="24"/>
          <w:szCs w:val="24"/>
          <w:u w:val="single"/>
        </w:rPr>
        <w:t>20</w:t>
      </w:r>
    </w:p>
    <w:p w14:paraId="4D553A5C" w14:textId="77777777" w:rsidR="00D91FF9" w:rsidRDefault="00D91FF9" w:rsidP="00930308">
      <w:pPr>
        <w:ind w:left="567"/>
        <w:rPr>
          <w:rFonts w:ascii="Cambria" w:hAnsi="Cambria"/>
          <w:b/>
          <w:sz w:val="24"/>
          <w:szCs w:val="24"/>
          <w:u w:val="single"/>
        </w:rPr>
      </w:pPr>
    </w:p>
    <w:tbl>
      <w:tblPr>
        <w:tblW w:w="7627" w:type="dxa"/>
        <w:tblInd w:w="562" w:type="dxa"/>
        <w:tblLayout w:type="fixed"/>
        <w:tblCellMar>
          <w:left w:w="70" w:type="dxa"/>
          <w:right w:w="70" w:type="dxa"/>
        </w:tblCellMar>
        <w:tblLook w:val="0000" w:firstRow="0" w:lastRow="0" w:firstColumn="0" w:lastColumn="0" w:noHBand="0" w:noVBand="0"/>
      </w:tblPr>
      <w:tblGrid>
        <w:gridCol w:w="1399"/>
        <w:gridCol w:w="1280"/>
        <w:gridCol w:w="1398"/>
        <w:gridCol w:w="1135"/>
        <w:gridCol w:w="1272"/>
        <w:gridCol w:w="1143"/>
      </w:tblGrid>
      <w:tr w:rsidR="009F514E" w:rsidRPr="00F8465B" w14:paraId="2421D582" w14:textId="77777777" w:rsidTr="009F514E">
        <w:trPr>
          <w:trHeight w:val="862"/>
        </w:trPr>
        <w:tc>
          <w:tcPr>
            <w:tcW w:w="1399" w:type="dxa"/>
            <w:tcBorders>
              <w:top w:val="single" w:sz="4" w:space="0" w:color="auto"/>
              <w:left w:val="single" w:sz="4" w:space="0" w:color="auto"/>
              <w:bottom w:val="single" w:sz="4" w:space="0" w:color="000000"/>
              <w:right w:val="single" w:sz="4" w:space="0" w:color="auto"/>
            </w:tcBorders>
            <w:shd w:val="clear" w:color="auto" w:fill="auto"/>
            <w:vAlign w:val="bottom"/>
          </w:tcPr>
          <w:p w14:paraId="59ACB7E2" w14:textId="77777777" w:rsidR="009F514E" w:rsidRPr="00236671" w:rsidRDefault="009F514E" w:rsidP="009F514E">
            <w:pPr>
              <w:rPr>
                <w:rFonts w:ascii="Cambria" w:hAnsi="Cambria"/>
                <w:b/>
                <w:sz w:val="20"/>
              </w:rPr>
            </w:pPr>
          </w:p>
        </w:tc>
        <w:tc>
          <w:tcPr>
            <w:tcW w:w="1280" w:type="dxa"/>
            <w:tcBorders>
              <w:top w:val="single" w:sz="4" w:space="0" w:color="auto"/>
              <w:left w:val="single" w:sz="4" w:space="0" w:color="auto"/>
              <w:bottom w:val="single" w:sz="4" w:space="0" w:color="000000"/>
              <w:right w:val="single" w:sz="4" w:space="0" w:color="auto"/>
            </w:tcBorders>
            <w:vAlign w:val="center"/>
          </w:tcPr>
          <w:p w14:paraId="4B941451" w14:textId="73B78817" w:rsidR="009F514E" w:rsidRPr="00236671" w:rsidRDefault="009F514E" w:rsidP="009F514E">
            <w:pPr>
              <w:jc w:val="center"/>
              <w:rPr>
                <w:rFonts w:ascii="Cambria" w:hAnsi="Cambria"/>
                <w:b/>
                <w:sz w:val="20"/>
                <w:lang w:val="es-ES"/>
              </w:rPr>
            </w:pPr>
            <w:r w:rsidRPr="00236671">
              <w:rPr>
                <w:rFonts w:ascii="Cambria" w:hAnsi="Cambria"/>
                <w:b/>
                <w:sz w:val="20"/>
                <w:lang w:val="es-ES"/>
              </w:rPr>
              <w:t>Saldo al 31.12.19</w:t>
            </w:r>
          </w:p>
        </w:tc>
        <w:tc>
          <w:tcPr>
            <w:tcW w:w="1398" w:type="dxa"/>
            <w:tcBorders>
              <w:top w:val="single" w:sz="4" w:space="0" w:color="auto"/>
              <w:left w:val="single" w:sz="4" w:space="0" w:color="auto"/>
              <w:bottom w:val="single" w:sz="4" w:space="0" w:color="000000"/>
              <w:right w:val="single" w:sz="4" w:space="0" w:color="auto"/>
            </w:tcBorders>
            <w:shd w:val="clear" w:color="auto" w:fill="auto"/>
            <w:vAlign w:val="center"/>
          </w:tcPr>
          <w:p w14:paraId="5FDECFA7" w14:textId="77777777" w:rsidR="009F514E" w:rsidRPr="00236671" w:rsidRDefault="009F514E" w:rsidP="009F514E">
            <w:pPr>
              <w:jc w:val="center"/>
              <w:rPr>
                <w:rFonts w:ascii="Cambria" w:hAnsi="Cambria"/>
                <w:b/>
                <w:sz w:val="20"/>
              </w:rPr>
            </w:pPr>
            <w:r w:rsidRPr="00236671">
              <w:rPr>
                <w:rFonts w:ascii="Cambria" w:hAnsi="Cambria"/>
                <w:b/>
                <w:sz w:val="20"/>
              </w:rPr>
              <w:t xml:space="preserve">Intereses devengados </w:t>
            </w:r>
          </w:p>
          <w:p w14:paraId="01D11502" w14:textId="77777777" w:rsidR="009F514E" w:rsidRPr="00236671" w:rsidRDefault="009F514E" w:rsidP="009F514E">
            <w:pPr>
              <w:jc w:val="center"/>
              <w:rPr>
                <w:rFonts w:ascii="Cambria" w:hAnsi="Cambria"/>
                <w:b/>
                <w:sz w:val="20"/>
              </w:rPr>
            </w:pPr>
            <w:r w:rsidRPr="00236671">
              <w:rPr>
                <w:rFonts w:ascii="Cambria" w:hAnsi="Cambria"/>
                <w:b/>
                <w:sz w:val="20"/>
                <w:lang w:val="es-ES"/>
              </w:rPr>
              <w:t>(Nota 13.4)</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14:paraId="4D1FB150" w14:textId="77777777" w:rsidR="009F514E" w:rsidRPr="00236671" w:rsidRDefault="009F514E" w:rsidP="009F514E">
            <w:pPr>
              <w:jc w:val="center"/>
              <w:rPr>
                <w:rFonts w:ascii="Cambria" w:hAnsi="Cambria"/>
                <w:b/>
                <w:sz w:val="20"/>
              </w:rPr>
            </w:pPr>
            <w:r w:rsidRPr="00236671">
              <w:rPr>
                <w:rFonts w:ascii="Cambria" w:hAnsi="Cambria"/>
                <w:b/>
                <w:sz w:val="20"/>
              </w:rPr>
              <w:t>Retiros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3E21DC2" w14:textId="77777777" w:rsidR="009F514E" w:rsidRPr="00236671" w:rsidRDefault="009F514E" w:rsidP="009F514E">
            <w:pPr>
              <w:jc w:val="center"/>
              <w:rPr>
                <w:rFonts w:ascii="Cambria" w:hAnsi="Cambria"/>
                <w:sz w:val="20"/>
              </w:rPr>
            </w:pPr>
            <w:r w:rsidRPr="00236671">
              <w:rPr>
                <w:rFonts w:ascii="Cambria" w:hAnsi="Cambria"/>
                <w:b/>
                <w:sz w:val="20"/>
              </w:rPr>
              <w:t>Traspaso</w:t>
            </w:r>
          </w:p>
        </w:tc>
        <w:tc>
          <w:tcPr>
            <w:tcW w:w="1143" w:type="dxa"/>
            <w:tcBorders>
              <w:top w:val="single" w:sz="4" w:space="0" w:color="auto"/>
              <w:left w:val="single" w:sz="4" w:space="0" w:color="auto"/>
              <w:bottom w:val="single" w:sz="4" w:space="0" w:color="000000"/>
              <w:right w:val="single" w:sz="4" w:space="0" w:color="auto"/>
            </w:tcBorders>
            <w:shd w:val="clear" w:color="auto" w:fill="auto"/>
            <w:vAlign w:val="center"/>
          </w:tcPr>
          <w:p w14:paraId="249C8833" w14:textId="5720EC52" w:rsidR="009F514E" w:rsidRPr="00236671" w:rsidRDefault="009F514E" w:rsidP="009F514E">
            <w:pPr>
              <w:jc w:val="center"/>
              <w:rPr>
                <w:rFonts w:ascii="Cambria" w:hAnsi="Cambria"/>
                <w:b/>
                <w:sz w:val="20"/>
              </w:rPr>
            </w:pPr>
            <w:r w:rsidRPr="00236671">
              <w:rPr>
                <w:rFonts w:ascii="Cambria" w:hAnsi="Cambria"/>
                <w:b/>
                <w:sz w:val="20"/>
                <w:lang w:val="es-ES"/>
              </w:rPr>
              <w:t>Saldo al 31.12.20</w:t>
            </w:r>
          </w:p>
        </w:tc>
      </w:tr>
      <w:tr w:rsidR="009F514E" w:rsidRPr="009F48E6" w14:paraId="0B08196C" w14:textId="77777777" w:rsidTr="009F514E">
        <w:trPr>
          <w:trHeight w:val="279"/>
        </w:trPr>
        <w:tc>
          <w:tcPr>
            <w:tcW w:w="1399" w:type="dxa"/>
            <w:tcBorders>
              <w:top w:val="nil"/>
              <w:left w:val="single" w:sz="4" w:space="0" w:color="auto"/>
              <w:bottom w:val="single" w:sz="4" w:space="0" w:color="auto"/>
              <w:right w:val="single" w:sz="4" w:space="0" w:color="auto"/>
            </w:tcBorders>
            <w:shd w:val="clear" w:color="auto" w:fill="auto"/>
            <w:vAlign w:val="center"/>
          </w:tcPr>
          <w:p w14:paraId="4108B2EB" w14:textId="77777777" w:rsidR="009F514E" w:rsidRPr="00236671" w:rsidRDefault="009F514E" w:rsidP="009F514E">
            <w:pPr>
              <w:rPr>
                <w:rFonts w:ascii="Cambria" w:hAnsi="Cambria"/>
                <w:sz w:val="20"/>
              </w:rPr>
            </w:pPr>
            <w:r w:rsidRPr="00236671">
              <w:rPr>
                <w:rFonts w:ascii="Cambria" w:hAnsi="Cambria"/>
                <w:sz w:val="20"/>
              </w:rPr>
              <w:t>Largo Plazo</w:t>
            </w:r>
          </w:p>
        </w:tc>
        <w:tc>
          <w:tcPr>
            <w:tcW w:w="1280" w:type="dxa"/>
            <w:tcBorders>
              <w:top w:val="nil"/>
              <w:left w:val="nil"/>
              <w:bottom w:val="single" w:sz="4" w:space="0" w:color="auto"/>
              <w:right w:val="nil"/>
            </w:tcBorders>
            <w:vAlign w:val="center"/>
          </w:tcPr>
          <w:p w14:paraId="41477948" w14:textId="62ECDDC7" w:rsidR="009F514E" w:rsidRPr="00236671" w:rsidRDefault="009F514E" w:rsidP="009F514E">
            <w:pPr>
              <w:ind w:firstLineChars="100" w:firstLine="200"/>
              <w:jc w:val="right"/>
              <w:rPr>
                <w:rFonts w:ascii="Cambria" w:hAnsi="Cambria"/>
                <w:sz w:val="20"/>
              </w:rPr>
            </w:pPr>
            <w:r w:rsidRPr="00236671">
              <w:rPr>
                <w:rFonts w:ascii="Cambria" w:hAnsi="Cambria"/>
                <w:sz w:val="20"/>
              </w:rPr>
              <w:t>2.684</w:t>
            </w:r>
          </w:p>
        </w:tc>
        <w:tc>
          <w:tcPr>
            <w:tcW w:w="1398" w:type="dxa"/>
            <w:tcBorders>
              <w:top w:val="nil"/>
              <w:left w:val="single" w:sz="4" w:space="0" w:color="auto"/>
              <w:bottom w:val="single" w:sz="4" w:space="0" w:color="auto"/>
              <w:right w:val="single" w:sz="4" w:space="0" w:color="auto"/>
            </w:tcBorders>
            <w:shd w:val="clear" w:color="auto" w:fill="auto"/>
            <w:vAlign w:val="center"/>
          </w:tcPr>
          <w:p w14:paraId="6837ADD0" w14:textId="4141C1D1" w:rsidR="009F514E" w:rsidRPr="00236671" w:rsidRDefault="009F514E" w:rsidP="009F514E">
            <w:pPr>
              <w:ind w:firstLineChars="100" w:firstLine="200"/>
              <w:jc w:val="center"/>
              <w:rPr>
                <w:rFonts w:ascii="Cambria" w:hAnsi="Cambria"/>
                <w:sz w:val="20"/>
              </w:rPr>
            </w:pPr>
            <w:r w:rsidRPr="00236671">
              <w:rPr>
                <w:rFonts w:ascii="Cambria" w:hAnsi="Cambria"/>
                <w:sz w:val="20"/>
              </w:rPr>
              <w:t>-</w:t>
            </w:r>
          </w:p>
        </w:tc>
        <w:tc>
          <w:tcPr>
            <w:tcW w:w="1135" w:type="dxa"/>
            <w:tcBorders>
              <w:top w:val="nil"/>
              <w:left w:val="nil"/>
              <w:bottom w:val="single" w:sz="4" w:space="0" w:color="auto"/>
              <w:right w:val="single" w:sz="4" w:space="0" w:color="auto"/>
            </w:tcBorders>
            <w:shd w:val="clear" w:color="auto" w:fill="auto"/>
            <w:noWrap/>
            <w:vAlign w:val="center"/>
          </w:tcPr>
          <w:p w14:paraId="3B13E96B" w14:textId="12B5579B" w:rsidR="009F514E" w:rsidRPr="00236671" w:rsidRDefault="009F514E" w:rsidP="009F514E">
            <w:pPr>
              <w:ind w:firstLineChars="100" w:firstLine="200"/>
              <w:jc w:val="center"/>
              <w:rPr>
                <w:rFonts w:ascii="Cambria" w:hAnsi="Cambria"/>
                <w:sz w:val="20"/>
              </w:rPr>
            </w:pPr>
            <w:r w:rsidRPr="00236671">
              <w:rPr>
                <w:rFonts w:ascii="Cambria" w:hAnsi="Cambria"/>
                <w:sz w:val="20"/>
              </w:rPr>
              <w:t>-</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E7415" w14:textId="6EEC3A6D" w:rsidR="009F514E" w:rsidRPr="00236671" w:rsidRDefault="009F514E" w:rsidP="009F514E">
            <w:pPr>
              <w:ind w:leftChars="-31" w:left="2" w:hangingChars="35" w:hanging="70"/>
              <w:jc w:val="right"/>
              <w:rPr>
                <w:rFonts w:ascii="Cambria" w:hAnsi="Cambria"/>
                <w:sz w:val="20"/>
              </w:rPr>
            </w:pPr>
            <w:r w:rsidRPr="00236671">
              <w:rPr>
                <w:rFonts w:ascii="Cambria" w:hAnsi="Cambria"/>
                <w:sz w:val="20"/>
              </w:rPr>
              <w:t>(</w:t>
            </w:r>
            <w:r w:rsidR="00236671" w:rsidRPr="00236671">
              <w:rPr>
                <w:rFonts w:ascii="Cambria" w:hAnsi="Cambria"/>
                <w:sz w:val="20"/>
              </w:rPr>
              <w:t>365</w:t>
            </w:r>
            <w:r w:rsidRPr="00236671">
              <w:rPr>
                <w:rFonts w:ascii="Cambria" w:hAnsi="Cambria"/>
                <w:sz w:val="20"/>
              </w:rPr>
              <w:t>)</w:t>
            </w:r>
          </w:p>
        </w:tc>
        <w:tc>
          <w:tcPr>
            <w:tcW w:w="1143" w:type="dxa"/>
            <w:tcBorders>
              <w:top w:val="nil"/>
              <w:left w:val="nil"/>
              <w:bottom w:val="single" w:sz="4" w:space="0" w:color="auto"/>
              <w:right w:val="single" w:sz="4" w:space="0" w:color="auto"/>
            </w:tcBorders>
            <w:shd w:val="clear" w:color="auto" w:fill="auto"/>
            <w:vAlign w:val="center"/>
          </w:tcPr>
          <w:p w14:paraId="27E804AD" w14:textId="7890010A" w:rsidR="009F514E" w:rsidRPr="00236671" w:rsidRDefault="00236671" w:rsidP="009F514E">
            <w:pPr>
              <w:ind w:firstLineChars="100" w:firstLine="200"/>
              <w:jc w:val="right"/>
              <w:rPr>
                <w:rFonts w:ascii="Cambria" w:hAnsi="Cambria"/>
                <w:sz w:val="20"/>
              </w:rPr>
            </w:pPr>
            <w:r>
              <w:rPr>
                <w:rFonts w:ascii="Cambria" w:hAnsi="Cambria"/>
                <w:sz w:val="20"/>
              </w:rPr>
              <w:t>2.319</w:t>
            </w:r>
          </w:p>
        </w:tc>
      </w:tr>
      <w:tr w:rsidR="009F514E" w:rsidRPr="001538C0" w14:paraId="248963FD" w14:textId="77777777" w:rsidTr="009F514E">
        <w:trPr>
          <w:trHeight w:val="279"/>
        </w:trPr>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50C3FD08" w14:textId="77777777" w:rsidR="009F514E" w:rsidRPr="00236671" w:rsidRDefault="009F514E" w:rsidP="009F514E">
            <w:pPr>
              <w:rPr>
                <w:rFonts w:ascii="Cambria" w:hAnsi="Cambria"/>
                <w:sz w:val="20"/>
              </w:rPr>
            </w:pPr>
            <w:r w:rsidRPr="00236671">
              <w:rPr>
                <w:rFonts w:ascii="Cambria" w:hAnsi="Cambria"/>
                <w:sz w:val="20"/>
              </w:rPr>
              <w:t>Corto Plazo</w:t>
            </w:r>
          </w:p>
        </w:tc>
        <w:tc>
          <w:tcPr>
            <w:tcW w:w="1280" w:type="dxa"/>
            <w:tcBorders>
              <w:top w:val="single" w:sz="4" w:space="0" w:color="auto"/>
              <w:left w:val="nil"/>
              <w:bottom w:val="single" w:sz="4" w:space="0" w:color="auto"/>
              <w:right w:val="nil"/>
            </w:tcBorders>
            <w:vAlign w:val="center"/>
          </w:tcPr>
          <w:p w14:paraId="3F071BFC" w14:textId="34050C36" w:rsidR="009F514E" w:rsidRPr="00236671" w:rsidRDefault="009F514E" w:rsidP="009F514E">
            <w:pPr>
              <w:jc w:val="right"/>
              <w:rPr>
                <w:rFonts w:ascii="Cambria" w:hAnsi="Cambria"/>
                <w:sz w:val="20"/>
              </w:rPr>
            </w:pPr>
            <w:r w:rsidRPr="00236671">
              <w:rPr>
                <w:rFonts w:ascii="Cambria" w:hAnsi="Cambria"/>
                <w:sz w:val="20"/>
              </w:rPr>
              <w:t>1.700</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1E4C702" w14:textId="201EC408" w:rsidR="009F514E" w:rsidRPr="00236671" w:rsidRDefault="009F514E" w:rsidP="009F514E">
            <w:pPr>
              <w:jc w:val="right"/>
              <w:rPr>
                <w:rFonts w:ascii="Cambria" w:hAnsi="Cambria"/>
                <w:sz w:val="20"/>
              </w:rPr>
            </w:pPr>
            <w:r w:rsidRPr="00236671">
              <w:rPr>
                <w:rFonts w:ascii="Cambria" w:hAnsi="Cambria"/>
                <w:sz w:val="20"/>
              </w:rPr>
              <w:t>12</w:t>
            </w:r>
            <w:r w:rsidR="003D5843">
              <w:rPr>
                <w:rFonts w:ascii="Cambria" w:hAnsi="Cambria"/>
                <w:sz w:val="20"/>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20B3808E" w14:textId="2DE24857" w:rsidR="009F514E" w:rsidRPr="00236671" w:rsidRDefault="009F514E" w:rsidP="009F514E">
            <w:pPr>
              <w:jc w:val="right"/>
              <w:rPr>
                <w:rFonts w:ascii="Cambria" w:hAnsi="Cambria"/>
                <w:sz w:val="20"/>
              </w:rPr>
            </w:pPr>
            <w:r w:rsidRPr="00236671">
              <w:rPr>
                <w:rFonts w:ascii="Cambria" w:hAnsi="Cambria"/>
                <w:sz w:val="20"/>
              </w:rPr>
              <w:t>(</w:t>
            </w:r>
            <w:r w:rsidR="00030BB9" w:rsidRPr="00236671">
              <w:rPr>
                <w:rFonts w:ascii="Cambria" w:hAnsi="Cambria"/>
                <w:sz w:val="20"/>
              </w:rPr>
              <w:t>1.</w:t>
            </w:r>
            <w:r w:rsidR="00236671">
              <w:rPr>
                <w:rFonts w:ascii="Cambria" w:hAnsi="Cambria"/>
                <w:sz w:val="20"/>
              </w:rPr>
              <w:t>18</w:t>
            </w:r>
            <w:r w:rsidR="003D5843">
              <w:rPr>
                <w:rFonts w:ascii="Cambria" w:hAnsi="Cambria"/>
                <w:sz w:val="20"/>
              </w:rPr>
              <w:t>2</w:t>
            </w:r>
            <w:r w:rsidRPr="00236671">
              <w:rPr>
                <w:rFonts w:ascii="Cambria" w:hAnsi="Cambria"/>
                <w:sz w:val="20"/>
              </w:rPr>
              <w:t>)</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1577F7C" w14:textId="1DCF33E2" w:rsidR="009F514E" w:rsidRPr="00236671" w:rsidRDefault="00236671" w:rsidP="009F514E">
            <w:pPr>
              <w:jc w:val="right"/>
              <w:rPr>
                <w:rFonts w:ascii="Cambria" w:hAnsi="Cambria"/>
                <w:sz w:val="20"/>
              </w:rPr>
            </w:pPr>
            <w:r w:rsidRPr="00236671">
              <w:rPr>
                <w:rFonts w:ascii="Cambria" w:hAnsi="Cambria"/>
                <w:sz w:val="20"/>
              </w:rPr>
              <w:t>365</w:t>
            </w:r>
          </w:p>
        </w:tc>
        <w:tc>
          <w:tcPr>
            <w:tcW w:w="1143" w:type="dxa"/>
            <w:tcBorders>
              <w:top w:val="single" w:sz="4" w:space="0" w:color="auto"/>
              <w:left w:val="nil"/>
              <w:bottom w:val="single" w:sz="4" w:space="0" w:color="auto"/>
              <w:right w:val="single" w:sz="4" w:space="0" w:color="auto"/>
            </w:tcBorders>
            <w:shd w:val="clear" w:color="auto" w:fill="auto"/>
            <w:vAlign w:val="center"/>
          </w:tcPr>
          <w:p w14:paraId="34C27EDB" w14:textId="152752D6" w:rsidR="009F514E" w:rsidRPr="00236671" w:rsidRDefault="00CA083B" w:rsidP="009F514E">
            <w:pPr>
              <w:jc w:val="right"/>
              <w:rPr>
                <w:rFonts w:ascii="Cambria" w:hAnsi="Cambria"/>
                <w:sz w:val="20"/>
              </w:rPr>
            </w:pPr>
            <w:r w:rsidRPr="00236671">
              <w:rPr>
                <w:rFonts w:ascii="Cambria" w:hAnsi="Cambria"/>
                <w:sz w:val="20"/>
              </w:rPr>
              <w:t>1.0</w:t>
            </w:r>
            <w:r w:rsidR="00030BB9" w:rsidRPr="00236671">
              <w:rPr>
                <w:rFonts w:ascii="Cambria" w:hAnsi="Cambria"/>
                <w:sz w:val="20"/>
              </w:rPr>
              <w:t>0</w:t>
            </w:r>
            <w:r w:rsidR="003D5843">
              <w:rPr>
                <w:rFonts w:ascii="Cambria" w:hAnsi="Cambria"/>
                <w:sz w:val="20"/>
              </w:rPr>
              <w:t>3</w:t>
            </w:r>
          </w:p>
        </w:tc>
      </w:tr>
    </w:tbl>
    <w:p w14:paraId="45CD9EE0" w14:textId="77777777" w:rsidR="00D91FF9" w:rsidRPr="00F8465B" w:rsidRDefault="00D91FF9" w:rsidP="00930308">
      <w:pPr>
        <w:ind w:left="567"/>
        <w:rPr>
          <w:rFonts w:ascii="Cambria" w:hAnsi="Cambria"/>
          <w:b/>
          <w:sz w:val="24"/>
          <w:szCs w:val="24"/>
          <w:u w:val="single"/>
        </w:rPr>
      </w:pPr>
    </w:p>
    <w:p w14:paraId="3C1413AF" w14:textId="57A2C4B8" w:rsidR="00C024E9" w:rsidRDefault="00C024E9" w:rsidP="00380156">
      <w:pPr>
        <w:keepLines w:val="0"/>
        <w:widowControl/>
        <w:ind w:left="567"/>
        <w:jc w:val="left"/>
        <w:rPr>
          <w:rFonts w:ascii="Cambria" w:hAnsi="Cambria"/>
          <w:b/>
          <w:sz w:val="24"/>
          <w:szCs w:val="24"/>
          <w:u w:val="single"/>
        </w:rPr>
      </w:pPr>
      <w:r w:rsidRPr="00D91FF9">
        <w:rPr>
          <w:rFonts w:ascii="Cambria" w:hAnsi="Cambria"/>
          <w:b/>
          <w:sz w:val="24"/>
          <w:szCs w:val="24"/>
          <w:u w:val="single"/>
        </w:rPr>
        <w:t>Ejercicio 201</w:t>
      </w:r>
      <w:r w:rsidR="009F514E">
        <w:rPr>
          <w:rFonts w:ascii="Cambria" w:hAnsi="Cambria"/>
          <w:b/>
          <w:sz w:val="24"/>
          <w:szCs w:val="24"/>
          <w:u w:val="single"/>
        </w:rPr>
        <w:t>9</w:t>
      </w:r>
    </w:p>
    <w:p w14:paraId="6943F132" w14:textId="77777777" w:rsidR="00C024E9" w:rsidRDefault="00C024E9" w:rsidP="00C024E9">
      <w:pPr>
        <w:ind w:left="567"/>
        <w:rPr>
          <w:rFonts w:ascii="Cambria" w:hAnsi="Cambria"/>
          <w:b/>
          <w:sz w:val="24"/>
          <w:szCs w:val="24"/>
          <w:u w:val="single"/>
        </w:rPr>
      </w:pPr>
    </w:p>
    <w:tbl>
      <w:tblPr>
        <w:tblW w:w="7627" w:type="dxa"/>
        <w:tblInd w:w="562" w:type="dxa"/>
        <w:tblLayout w:type="fixed"/>
        <w:tblCellMar>
          <w:left w:w="70" w:type="dxa"/>
          <w:right w:w="70" w:type="dxa"/>
        </w:tblCellMar>
        <w:tblLook w:val="0000" w:firstRow="0" w:lastRow="0" w:firstColumn="0" w:lastColumn="0" w:noHBand="0" w:noVBand="0"/>
      </w:tblPr>
      <w:tblGrid>
        <w:gridCol w:w="1399"/>
        <w:gridCol w:w="1280"/>
        <w:gridCol w:w="1398"/>
        <w:gridCol w:w="1135"/>
        <w:gridCol w:w="1272"/>
        <w:gridCol w:w="1143"/>
      </w:tblGrid>
      <w:tr w:rsidR="009F514E" w:rsidRPr="00F8465B" w14:paraId="3E18CDC5" w14:textId="77777777" w:rsidTr="008F10C7">
        <w:trPr>
          <w:trHeight w:val="862"/>
        </w:trPr>
        <w:tc>
          <w:tcPr>
            <w:tcW w:w="1399" w:type="dxa"/>
            <w:tcBorders>
              <w:top w:val="single" w:sz="4" w:space="0" w:color="auto"/>
              <w:left w:val="single" w:sz="4" w:space="0" w:color="auto"/>
              <w:bottom w:val="single" w:sz="4" w:space="0" w:color="000000"/>
              <w:right w:val="single" w:sz="4" w:space="0" w:color="auto"/>
            </w:tcBorders>
            <w:shd w:val="clear" w:color="auto" w:fill="auto"/>
            <w:vAlign w:val="bottom"/>
          </w:tcPr>
          <w:p w14:paraId="6E88F616" w14:textId="77777777" w:rsidR="009F514E" w:rsidRPr="00F8465B" w:rsidRDefault="009F514E" w:rsidP="009F514E">
            <w:pPr>
              <w:rPr>
                <w:rFonts w:ascii="Cambria" w:hAnsi="Cambria"/>
                <w:b/>
                <w:sz w:val="20"/>
              </w:rPr>
            </w:pPr>
          </w:p>
        </w:tc>
        <w:tc>
          <w:tcPr>
            <w:tcW w:w="1280" w:type="dxa"/>
            <w:tcBorders>
              <w:top w:val="single" w:sz="4" w:space="0" w:color="auto"/>
              <w:left w:val="single" w:sz="4" w:space="0" w:color="auto"/>
              <w:bottom w:val="single" w:sz="4" w:space="0" w:color="000000"/>
              <w:right w:val="single" w:sz="4" w:space="0" w:color="auto"/>
            </w:tcBorders>
            <w:vAlign w:val="center"/>
          </w:tcPr>
          <w:p w14:paraId="17558B8D" w14:textId="60FEA4B9" w:rsidR="009F514E" w:rsidRPr="00F8465B" w:rsidRDefault="009F514E" w:rsidP="009F514E">
            <w:pPr>
              <w:jc w:val="center"/>
              <w:rPr>
                <w:rFonts w:ascii="Cambria" w:hAnsi="Cambria"/>
                <w:b/>
                <w:sz w:val="20"/>
                <w:lang w:val="es-ES"/>
              </w:rPr>
            </w:pPr>
            <w:r w:rsidRPr="00F8465B">
              <w:rPr>
                <w:rFonts w:ascii="Cambria" w:hAnsi="Cambria"/>
                <w:b/>
                <w:sz w:val="20"/>
                <w:lang w:val="es-ES"/>
              </w:rPr>
              <w:t>Saldo al 31.12.1</w:t>
            </w:r>
            <w:r>
              <w:rPr>
                <w:rFonts w:ascii="Cambria" w:hAnsi="Cambria"/>
                <w:b/>
                <w:sz w:val="20"/>
                <w:lang w:val="es-ES"/>
              </w:rPr>
              <w:t>8</w:t>
            </w:r>
          </w:p>
        </w:tc>
        <w:tc>
          <w:tcPr>
            <w:tcW w:w="1398" w:type="dxa"/>
            <w:tcBorders>
              <w:top w:val="single" w:sz="4" w:space="0" w:color="auto"/>
              <w:left w:val="single" w:sz="4" w:space="0" w:color="auto"/>
              <w:bottom w:val="single" w:sz="4" w:space="0" w:color="000000"/>
              <w:right w:val="single" w:sz="4" w:space="0" w:color="auto"/>
            </w:tcBorders>
            <w:shd w:val="clear" w:color="auto" w:fill="auto"/>
            <w:vAlign w:val="center"/>
          </w:tcPr>
          <w:p w14:paraId="06CDED6A" w14:textId="77777777" w:rsidR="009F514E" w:rsidRDefault="009F514E" w:rsidP="009F514E">
            <w:pPr>
              <w:jc w:val="center"/>
              <w:rPr>
                <w:rFonts w:ascii="Cambria" w:hAnsi="Cambria"/>
                <w:b/>
                <w:sz w:val="20"/>
              </w:rPr>
            </w:pPr>
            <w:r w:rsidRPr="00F8465B">
              <w:rPr>
                <w:rFonts w:ascii="Cambria" w:hAnsi="Cambria"/>
                <w:b/>
                <w:sz w:val="20"/>
              </w:rPr>
              <w:t xml:space="preserve">Intereses devengados </w:t>
            </w:r>
          </w:p>
          <w:p w14:paraId="2D92AA98" w14:textId="2519C0E5" w:rsidR="009F514E" w:rsidRPr="00F8465B" w:rsidRDefault="009F514E" w:rsidP="009F514E">
            <w:pPr>
              <w:jc w:val="center"/>
              <w:rPr>
                <w:rFonts w:ascii="Cambria" w:hAnsi="Cambria"/>
                <w:b/>
                <w:sz w:val="20"/>
              </w:rPr>
            </w:pPr>
            <w:r w:rsidRPr="00F8465B">
              <w:rPr>
                <w:rFonts w:ascii="Cambria" w:hAnsi="Cambria"/>
                <w:b/>
                <w:sz w:val="20"/>
                <w:lang w:val="es-ES"/>
              </w:rPr>
              <w:t>(Nota 13.4)</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14:paraId="6EA74F6D" w14:textId="5AEFD89A" w:rsidR="009F514E" w:rsidRPr="00F8465B" w:rsidRDefault="009F514E" w:rsidP="009F514E">
            <w:pPr>
              <w:jc w:val="center"/>
              <w:rPr>
                <w:rFonts w:ascii="Cambria" w:hAnsi="Cambria"/>
                <w:b/>
                <w:sz w:val="20"/>
              </w:rPr>
            </w:pPr>
            <w:r w:rsidRPr="00F8465B">
              <w:rPr>
                <w:rFonts w:ascii="Cambria" w:hAnsi="Cambria"/>
                <w:b/>
                <w:sz w:val="20"/>
              </w:rPr>
              <w:t>Retiros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39EEA02" w14:textId="6D5C9F9F" w:rsidR="009F514E" w:rsidRPr="00F8465B" w:rsidRDefault="009F514E" w:rsidP="009F514E">
            <w:pPr>
              <w:jc w:val="center"/>
              <w:rPr>
                <w:rFonts w:ascii="Cambria" w:hAnsi="Cambria"/>
                <w:sz w:val="20"/>
              </w:rPr>
            </w:pPr>
            <w:r w:rsidRPr="00F8465B">
              <w:rPr>
                <w:rFonts w:ascii="Cambria" w:hAnsi="Cambria"/>
                <w:b/>
                <w:sz w:val="20"/>
              </w:rPr>
              <w:t>Traspaso</w:t>
            </w:r>
          </w:p>
        </w:tc>
        <w:tc>
          <w:tcPr>
            <w:tcW w:w="1143" w:type="dxa"/>
            <w:tcBorders>
              <w:top w:val="single" w:sz="4" w:space="0" w:color="auto"/>
              <w:left w:val="single" w:sz="4" w:space="0" w:color="auto"/>
              <w:bottom w:val="single" w:sz="4" w:space="0" w:color="000000"/>
              <w:right w:val="single" w:sz="4" w:space="0" w:color="auto"/>
            </w:tcBorders>
            <w:shd w:val="clear" w:color="auto" w:fill="auto"/>
            <w:vAlign w:val="center"/>
          </w:tcPr>
          <w:p w14:paraId="2284074D" w14:textId="4ACD43D8" w:rsidR="009F514E" w:rsidRPr="00F8465B" w:rsidRDefault="009F514E" w:rsidP="009F514E">
            <w:pPr>
              <w:jc w:val="center"/>
              <w:rPr>
                <w:rFonts w:ascii="Cambria" w:hAnsi="Cambria"/>
                <w:b/>
                <w:sz w:val="20"/>
              </w:rPr>
            </w:pPr>
            <w:r w:rsidRPr="00F8465B">
              <w:rPr>
                <w:rFonts w:ascii="Cambria" w:hAnsi="Cambria"/>
                <w:b/>
                <w:sz w:val="20"/>
                <w:lang w:val="es-ES"/>
              </w:rPr>
              <w:t>Saldo al 31.12.1</w:t>
            </w:r>
            <w:r>
              <w:rPr>
                <w:rFonts w:ascii="Cambria" w:hAnsi="Cambria"/>
                <w:b/>
                <w:sz w:val="20"/>
                <w:lang w:val="es-ES"/>
              </w:rPr>
              <w:t>9</w:t>
            </w:r>
          </w:p>
        </w:tc>
      </w:tr>
      <w:tr w:rsidR="009F514E" w:rsidRPr="009F48E6" w14:paraId="6A39E529" w14:textId="77777777" w:rsidTr="008F10C7">
        <w:trPr>
          <w:trHeight w:val="279"/>
        </w:trPr>
        <w:tc>
          <w:tcPr>
            <w:tcW w:w="1399" w:type="dxa"/>
            <w:tcBorders>
              <w:top w:val="nil"/>
              <w:left w:val="single" w:sz="4" w:space="0" w:color="auto"/>
              <w:bottom w:val="single" w:sz="4" w:space="0" w:color="auto"/>
              <w:right w:val="single" w:sz="4" w:space="0" w:color="auto"/>
            </w:tcBorders>
            <w:shd w:val="clear" w:color="auto" w:fill="auto"/>
            <w:vAlign w:val="center"/>
          </w:tcPr>
          <w:p w14:paraId="589ACC44" w14:textId="7573647A" w:rsidR="009F514E" w:rsidRPr="00F8465B" w:rsidRDefault="009F514E" w:rsidP="009F514E">
            <w:pPr>
              <w:rPr>
                <w:rFonts w:ascii="Cambria" w:hAnsi="Cambria"/>
                <w:sz w:val="20"/>
              </w:rPr>
            </w:pPr>
            <w:r w:rsidRPr="00F8465B">
              <w:rPr>
                <w:rFonts w:ascii="Cambria" w:hAnsi="Cambria"/>
                <w:sz w:val="20"/>
              </w:rPr>
              <w:t>Largo Plazo</w:t>
            </w:r>
          </w:p>
        </w:tc>
        <w:tc>
          <w:tcPr>
            <w:tcW w:w="1280" w:type="dxa"/>
            <w:tcBorders>
              <w:top w:val="nil"/>
              <w:left w:val="nil"/>
              <w:bottom w:val="single" w:sz="4" w:space="0" w:color="auto"/>
              <w:right w:val="nil"/>
            </w:tcBorders>
            <w:vAlign w:val="center"/>
          </w:tcPr>
          <w:p w14:paraId="459B3467" w14:textId="1E76342F" w:rsidR="009F514E" w:rsidRPr="00F8465B" w:rsidRDefault="009F514E" w:rsidP="009F514E">
            <w:pPr>
              <w:ind w:firstLineChars="100" w:firstLine="200"/>
              <w:jc w:val="right"/>
              <w:rPr>
                <w:rFonts w:ascii="Cambria" w:hAnsi="Cambria"/>
                <w:sz w:val="20"/>
              </w:rPr>
            </w:pPr>
            <w:r w:rsidRPr="00471ADD">
              <w:rPr>
                <w:rFonts w:ascii="Cambria" w:hAnsi="Cambria"/>
                <w:sz w:val="20"/>
              </w:rPr>
              <w:t>3.779</w:t>
            </w:r>
          </w:p>
        </w:tc>
        <w:tc>
          <w:tcPr>
            <w:tcW w:w="1398" w:type="dxa"/>
            <w:tcBorders>
              <w:top w:val="nil"/>
              <w:left w:val="single" w:sz="4" w:space="0" w:color="auto"/>
              <w:bottom w:val="single" w:sz="4" w:space="0" w:color="auto"/>
              <w:right w:val="single" w:sz="4" w:space="0" w:color="auto"/>
            </w:tcBorders>
            <w:shd w:val="clear" w:color="auto" w:fill="auto"/>
            <w:vAlign w:val="center"/>
          </w:tcPr>
          <w:p w14:paraId="6E363C3D" w14:textId="5F01BB5C" w:rsidR="009F514E" w:rsidRPr="00F8465B" w:rsidRDefault="009F514E" w:rsidP="009F514E">
            <w:pPr>
              <w:ind w:firstLineChars="100" w:firstLine="200"/>
              <w:jc w:val="center"/>
              <w:rPr>
                <w:rFonts w:ascii="Cambria" w:hAnsi="Cambria"/>
                <w:sz w:val="20"/>
              </w:rPr>
            </w:pPr>
            <w:r w:rsidRPr="00471ADD">
              <w:rPr>
                <w:rFonts w:ascii="Cambria" w:hAnsi="Cambria"/>
                <w:sz w:val="20"/>
              </w:rPr>
              <w:t>-</w:t>
            </w:r>
          </w:p>
        </w:tc>
        <w:tc>
          <w:tcPr>
            <w:tcW w:w="1135" w:type="dxa"/>
            <w:tcBorders>
              <w:top w:val="nil"/>
              <w:left w:val="nil"/>
              <w:bottom w:val="single" w:sz="4" w:space="0" w:color="auto"/>
              <w:right w:val="single" w:sz="4" w:space="0" w:color="auto"/>
            </w:tcBorders>
            <w:shd w:val="clear" w:color="auto" w:fill="auto"/>
            <w:noWrap/>
            <w:vAlign w:val="center"/>
          </w:tcPr>
          <w:p w14:paraId="31B1F4C9" w14:textId="513D8E03" w:rsidR="009F514E" w:rsidRPr="00F8465B" w:rsidRDefault="009F514E" w:rsidP="009F514E">
            <w:pPr>
              <w:ind w:firstLineChars="100" w:firstLine="200"/>
              <w:jc w:val="center"/>
              <w:rPr>
                <w:rFonts w:ascii="Cambria" w:hAnsi="Cambria"/>
                <w:sz w:val="20"/>
              </w:rPr>
            </w:pPr>
            <w:r w:rsidRPr="00471ADD">
              <w:rPr>
                <w:rFonts w:ascii="Cambria" w:hAnsi="Cambria"/>
                <w:sz w:val="20"/>
              </w:rPr>
              <w:t>-</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889FB" w14:textId="183216B6" w:rsidR="009F514E" w:rsidRPr="00F8465B" w:rsidRDefault="009F514E" w:rsidP="009F514E">
            <w:pPr>
              <w:ind w:leftChars="-31" w:left="2" w:hangingChars="35" w:hanging="70"/>
              <w:jc w:val="right"/>
              <w:rPr>
                <w:rFonts w:ascii="Cambria" w:hAnsi="Cambria"/>
                <w:sz w:val="20"/>
              </w:rPr>
            </w:pPr>
            <w:r w:rsidRPr="00471ADD">
              <w:rPr>
                <w:rFonts w:ascii="Cambria" w:hAnsi="Cambria"/>
                <w:sz w:val="20"/>
              </w:rPr>
              <w:t>(</w:t>
            </w:r>
            <w:r>
              <w:rPr>
                <w:rFonts w:ascii="Cambria" w:hAnsi="Cambria"/>
                <w:sz w:val="20"/>
              </w:rPr>
              <w:t>1.095</w:t>
            </w:r>
            <w:r w:rsidRPr="00471ADD">
              <w:rPr>
                <w:rFonts w:ascii="Cambria" w:hAnsi="Cambria"/>
                <w:sz w:val="20"/>
              </w:rPr>
              <w:t>)</w:t>
            </w:r>
          </w:p>
        </w:tc>
        <w:tc>
          <w:tcPr>
            <w:tcW w:w="1143" w:type="dxa"/>
            <w:tcBorders>
              <w:top w:val="nil"/>
              <w:left w:val="nil"/>
              <w:bottom w:val="single" w:sz="4" w:space="0" w:color="auto"/>
              <w:right w:val="single" w:sz="4" w:space="0" w:color="auto"/>
            </w:tcBorders>
            <w:shd w:val="clear" w:color="auto" w:fill="auto"/>
            <w:vAlign w:val="center"/>
          </w:tcPr>
          <w:p w14:paraId="49A2162F" w14:textId="4A86BB85" w:rsidR="009F514E" w:rsidRPr="009F48E6" w:rsidRDefault="009F514E" w:rsidP="009F514E">
            <w:pPr>
              <w:ind w:firstLineChars="100" w:firstLine="200"/>
              <w:jc w:val="right"/>
              <w:rPr>
                <w:rFonts w:ascii="Cambria" w:hAnsi="Cambria"/>
                <w:sz w:val="20"/>
                <w:highlight w:val="yellow"/>
              </w:rPr>
            </w:pPr>
            <w:r>
              <w:rPr>
                <w:rFonts w:ascii="Cambria" w:hAnsi="Cambria"/>
                <w:sz w:val="20"/>
              </w:rPr>
              <w:t>2.684</w:t>
            </w:r>
          </w:p>
        </w:tc>
      </w:tr>
      <w:tr w:rsidR="009F514E" w:rsidRPr="009F48E6" w14:paraId="288C444C" w14:textId="77777777" w:rsidTr="008F10C7">
        <w:trPr>
          <w:trHeight w:val="279"/>
        </w:trPr>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A1938CD" w14:textId="5663559B" w:rsidR="009F514E" w:rsidRPr="00F8465B" w:rsidRDefault="009F514E" w:rsidP="009F514E">
            <w:pPr>
              <w:rPr>
                <w:rFonts w:ascii="Cambria" w:hAnsi="Cambria"/>
                <w:sz w:val="20"/>
              </w:rPr>
            </w:pPr>
            <w:r w:rsidRPr="001538C0">
              <w:rPr>
                <w:rFonts w:ascii="Cambria" w:hAnsi="Cambria"/>
                <w:sz w:val="20"/>
              </w:rPr>
              <w:t>Corto Plazo</w:t>
            </w:r>
          </w:p>
        </w:tc>
        <w:tc>
          <w:tcPr>
            <w:tcW w:w="1280" w:type="dxa"/>
            <w:tcBorders>
              <w:top w:val="single" w:sz="4" w:space="0" w:color="auto"/>
              <w:left w:val="nil"/>
              <w:bottom w:val="single" w:sz="4" w:space="0" w:color="auto"/>
              <w:right w:val="nil"/>
            </w:tcBorders>
            <w:vAlign w:val="center"/>
          </w:tcPr>
          <w:p w14:paraId="44A4E152" w14:textId="672C613E" w:rsidR="009F514E" w:rsidRPr="00F8465B" w:rsidRDefault="009F514E" w:rsidP="009F514E">
            <w:pPr>
              <w:jc w:val="right"/>
              <w:rPr>
                <w:rFonts w:ascii="Cambria" w:hAnsi="Cambria"/>
                <w:sz w:val="20"/>
              </w:rPr>
            </w:pPr>
            <w:r w:rsidRPr="001538C0">
              <w:rPr>
                <w:rFonts w:ascii="Cambria" w:hAnsi="Cambria"/>
                <w:sz w:val="20"/>
              </w:rPr>
              <w:t>1.105</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464E042" w14:textId="61B08A69" w:rsidR="009F514E" w:rsidRPr="00F8465B" w:rsidRDefault="009F514E" w:rsidP="009F514E">
            <w:pPr>
              <w:jc w:val="right"/>
              <w:rPr>
                <w:rFonts w:ascii="Cambria" w:hAnsi="Cambria"/>
                <w:sz w:val="20"/>
              </w:rPr>
            </w:pPr>
            <w:r w:rsidRPr="001538C0">
              <w:rPr>
                <w:rFonts w:ascii="Cambria" w:hAnsi="Cambria"/>
                <w:sz w:val="20"/>
              </w:rPr>
              <w:t>47</w:t>
            </w:r>
          </w:p>
        </w:tc>
        <w:tc>
          <w:tcPr>
            <w:tcW w:w="1135" w:type="dxa"/>
            <w:tcBorders>
              <w:top w:val="single" w:sz="4" w:space="0" w:color="auto"/>
              <w:left w:val="nil"/>
              <w:bottom w:val="single" w:sz="4" w:space="0" w:color="auto"/>
              <w:right w:val="single" w:sz="4" w:space="0" w:color="auto"/>
            </w:tcBorders>
            <w:shd w:val="clear" w:color="auto" w:fill="auto"/>
            <w:vAlign w:val="center"/>
          </w:tcPr>
          <w:p w14:paraId="2CFBF2CF" w14:textId="342259D9" w:rsidR="009F514E" w:rsidRPr="00F8465B" w:rsidRDefault="009F514E" w:rsidP="009F514E">
            <w:pPr>
              <w:jc w:val="right"/>
              <w:rPr>
                <w:rFonts w:ascii="Cambria" w:hAnsi="Cambria"/>
                <w:sz w:val="20"/>
              </w:rPr>
            </w:pPr>
            <w:r w:rsidRPr="001538C0">
              <w:rPr>
                <w:rFonts w:ascii="Cambria" w:hAnsi="Cambria"/>
                <w:sz w:val="20"/>
              </w:rPr>
              <w:t>(547)</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89EB6D4" w14:textId="64D5E699" w:rsidR="009F514E" w:rsidRPr="00F8465B" w:rsidRDefault="009F514E" w:rsidP="009F514E">
            <w:pPr>
              <w:jc w:val="right"/>
              <w:rPr>
                <w:rFonts w:ascii="Cambria" w:hAnsi="Cambria"/>
                <w:sz w:val="20"/>
              </w:rPr>
            </w:pPr>
            <w:r w:rsidRPr="001538C0">
              <w:rPr>
                <w:rFonts w:ascii="Cambria" w:hAnsi="Cambria"/>
                <w:sz w:val="20"/>
              </w:rPr>
              <w:t>1.095</w:t>
            </w:r>
          </w:p>
        </w:tc>
        <w:tc>
          <w:tcPr>
            <w:tcW w:w="1143" w:type="dxa"/>
            <w:tcBorders>
              <w:top w:val="single" w:sz="4" w:space="0" w:color="auto"/>
              <w:left w:val="nil"/>
              <w:bottom w:val="single" w:sz="4" w:space="0" w:color="auto"/>
              <w:right w:val="single" w:sz="4" w:space="0" w:color="auto"/>
            </w:tcBorders>
            <w:shd w:val="clear" w:color="auto" w:fill="auto"/>
            <w:vAlign w:val="center"/>
          </w:tcPr>
          <w:p w14:paraId="5BD8D5BB" w14:textId="7BB8901D" w:rsidR="009F514E" w:rsidRPr="009F48E6" w:rsidRDefault="009F514E" w:rsidP="009F514E">
            <w:pPr>
              <w:jc w:val="right"/>
              <w:rPr>
                <w:rFonts w:ascii="Cambria" w:hAnsi="Cambria"/>
                <w:sz w:val="20"/>
              </w:rPr>
            </w:pPr>
            <w:r w:rsidRPr="001538C0">
              <w:rPr>
                <w:rFonts w:ascii="Cambria" w:hAnsi="Cambria"/>
                <w:sz w:val="20"/>
              </w:rPr>
              <w:t>1.700</w:t>
            </w:r>
          </w:p>
        </w:tc>
      </w:tr>
    </w:tbl>
    <w:p w14:paraId="75114081" w14:textId="77777777" w:rsidR="000917B4" w:rsidRDefault="000917B4" w:rsidP="00900794">
      <w:pPr>
        <w:pStyle w:val="Ttulo1a"/>
        <w:ind w:left="567"/>
        <w:rPr>
          <w:rFonts w:ascii="Cambria" w:hAnsi="Cambria"/>
          <w:sz w:val="24"/>
          <w:szCs w:val="24"/>
        </w:rPr>
      </w:pPr>
    </w:p>
    <w:p w14:paraId="2A558338" w14:textId="04CD0B0E" w:rsidR="00452A4E" w:rsidRPr="00F8465B" w:rsidRDefault="00452A4E" w:rsidP="00900794">
      <w:pPr>
        <w:pStyle w:val="Ttulo1a"/>
        <w:ind w:left="567"/>
        <w:rPr>
          <w:rFonts w:ascii="Cambria" w:hAnsi="Cambria"/>
          <w:sz w:val="24"/>
          <w:szCs w:val="24"/>
        </w:rPr>
      </w:pPr>
      <w:r w:rsidRPr="00F8465B">
        <w:rPr>
          <w:rFonts w:ascii="Cambria" w:hAnsi="Cambria"/>
          <w:sz w:val="24"/>
          <w:szCs w:val="24"/>
        </w:rPr>
        <w:t xml:space="preserve">El </w:t>
      </w:r>
      <w:r w:rsidR="00D40ADE" w:rsidRPr="00F8465B">
        <w:rPr>
          <w:rFonts w:ascii="Cambria" w:hAnsi="Cambria"/>
          <w:sz w:val="24"/>
          <w:szCs w:val="24"/>
        </w:rPr>
        <w:t>nominal</w:t>
      </w:r>
      <w:r w:rsidRPr="00F8465B">
        <w:rPr>
          <w:rFonts w:ascii="Cambria" w:hAnsi="Cambria"/>
          <w:sz w:val="24"/>
          <w:szCs w:val="24"/>
        </w:rPr>
        <w:t xml:space="preserve"> vivo de los préstamos concedidos a terceros, a 31 de diciembre de 20</w:t>
      </w:r>
      <w:r w:rsidR="00030BB9">
        <w:rPr>
          <w:rFonts w:ascii="Cambria" w:hAnsi="Cambria"/>
          <w:sz w:val="24"/>
          <w:szCs w:val="24"/>
        </w:rPr>
        <w:t>20</w:t>
      </w:r>
      <w:r w:rsidR="006008B8" w:rsidRPr="00F8465B">
        <w:rPr>
          <w:rFonts w:ascii="Cambria" w:hAnsi="Cambria"/>
          <w:sz w:val="24"/>
          <w:szCs w:val="24"/>
        </w:rPr>
        <w:t xml:space="preserve"> y 201</w:t>
      </w:r>
      <w:r w:rsidR="00030BB9">
        <w:rPr>
          <w:rFonts w:ascii="Cambria" w:hAnsi="Cambria"/>
          <w:sz w:val="24"/>
          <w:szCs w:val="24"/>
        </w:rPr>
        <w:t>9</w:t>
      </w:r>
      <w:r w:rsidR="00137996" w:rsidRPr="00F8465B">
        <w:rPr>
          <w:rFonts w:ascii="Cambria" w:hAnsi="Cambria"/>
          <w:sz w:val="24"/>
          <w:szCs w:val="24"/>
        </w:rPr>
        <w:t>,</w:t>
      </w:r>
      <w:r w:rsidRPr="00F8465B">
        <w:rPr>
          <w:rFonts w:ascii="Cambria" w:hAnsi="Cambria"/>
          <w:sz w:val="24"/>
          <w:szCs w:val="24"/>
        </w:rPr>
        <w:t xml:space="preserve"> es el siguiente (en </w:t>
      </w:r>
      <w:r w:rsidR="00C84565" w:rsidRPr="00F8465B">
        <w:rPr>
          <w:rFonts w:ascii="Cambria" w:hAnsi="Cambria"/>
          <w:sz w:val="24"/>
          <w:szCs w:val="24"/>
        </w:rPr>
        <w:t xml:space="preserve">miles de </w:t>
      </w:r>
      <w:r w:rsidRPr="00F8465B">
        <w:rPr>
          <w:rFonts w:ascii="Cambria" w:hAnsi="Cambria"/>
          <w:sz w:val="24"/>
          <w:szCs w:val="24"/>
        </w:rPr>
        <w:t>euros):</w:t>
      </w:r>
    </w:p>
    <w:p w14:paraId="2D97BD82" w14:textId="4FB268CA" w:rsidR="00452A4E" w:rsidRPr="00F8465B" w:rsidRDefault="00452A4E" w:rsidP="00900794">
      <w:pPr>
        <w:pStyle w:val="Ttulo1a"/>
        <w:ind w:left="567"/>
        <w:rPr>
          <w:rFonts w:ascii="Cambria" w:hAnsi="Cambria"/>
          <w:sz w:val="24"/>
          <w:szCs w:val="24"/>
        </w:rPr>
      </w:pPr>
    </w:p>
    <w:tbl>
      <w:tblPr>
        <w:tblW w:w="5604" w:type="dxa"/>
        <w:jc w:val="center"/>
        <w:tblCellMar>
          <w:left w:w="70" w:type="dxa"/>
          <w:right w:w="70" w:type="dxa"/>
        </w:tblCellMar>
        <w:tblLook w:val="0000" w:firstRow="0" w:lastRow="0" w:firstColumn="0" w:lastColumn="0" w:noHBand="0" w:noVBand="0"/>
      </w:tblPr>
      <w:tblGrid>
        <w:gridCol w:w="3240"/>
        <w:gridCol w:w="1182"/>
        <w:gridCol w:w="1182"/>
      </w:tblGrid>
      <w:tr w:rsidR="00030BB9" w:rsidRPr="00F8465B" w14:paraId="66E56A77" w14:textId="77777777" w:rsidTr="00030BB9">
        <w:trPr>
          <w:trHeight w:val="300"/>
          <w:jc w:val="center"/>
        </w:trPr>
        <w:tc>
          <w:tcPr>
            <w:tcW w:w="3240" w:type="dxa"/>
            <w:tcBorders>
              <w:top w:val="nil"/>
              <w:left w:val="nil"/>
              <w:bottom w:val="nil"/>
              <w:right w:val="nil"/>
            </w:tcBorders>
            <w:shd w:val="clear" w:color="auto" w:fill="auto"/>
            <w:noWrap/>
            <w:vAlign w:val="bottom"/>
          </w:tcPr>
          <w:p w14:paraId="314DE69D" w14:textId="77777777" w:rsidR="00030BB9" w:rsidRPr="00F8465B" w:rsidRDefault="00030BB9" w:rsidP="00030BB9">
            <w:pPr>
              <w:jc w:val="left"/>
              <w:rPr>
                <w:rFonts w:ascii="Cambria" w:hAnsi="Cambria"/>
                <w:szCs w:val="22"/>
                <w:lang w:val="es-ES"/>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bottom"/>
          </w:tcPr>
          <w:p w14:paraId="1494EC54" w14:textId="2B3D942A" w:rsidR="00030BB9" w:rsidRPr="00F8465B" w:rsidRDefault="00030BB9" w:rsidP="00030BB9">
            <w:pPr>
              <w:jc w:val="center"/>
              <w:rPr>
                <w:rFonts w:ascii="Cambria" w:hAnsi="Cambria"/>
                <w:b/>
                <w:szCs w:val="22"/>
                <w:lang w:val="es-ES"/>
              </w:rPr>
            </w:pPr>
            <w:r>
              <w:rPr>
                <w:rFonts w:ascii="Cambria" w:hAnsi="Cambria"/>
                <w:b/>
                <w:szCs w:val="22"/>
                <w:lang w:val="es-ES"/>
              </w:rPr>
              <w:t>31.12.20</w:t>
            </w:r>
          </w:p>
        </w:tc>
        <w:tc>
          <w:tcPr>
            <w:tcW w:w="1182" w:type="dxa"/>
            <w:tcBorders>
              <w:top w:val="single" w:sz="4" w:space="0" w:color="auto"/>
              <w:left w:val="single" w:sz="4" w:space="0" w:color="auto"/>
              <w:bottom w:val="single" w:sz="4" w:space="0" w:color="auto"/>
              <w:right w:val="single" w:sz="4" w:space="0" w:color="auto"/>
            </w:tcBorders>
            <w:vAlign w:val="bottom"/>
          </w:tcPr>
          <w:p w14:paraId="679D0D6D" w14:textId="55D26BCE" w:rsidR="00030BB9" w:rsidRDefault="00030BB9" w:rsidP="00030BB9">
            <w:pPr>
              <w:jc w:val="center"/>
              <w:rPr>
                <w:rFonts w:ascii="Cambria" w:hAnsi="Cambria"/>
                <w:b/>
                <w:szCs w:val="22"/>
                <w:lang w:val="es-ES"/>
              </w:rPr>
            </w:pPr>
            <w:r>
              <w:rPr>
                <w:rFonts w:ascii="Cambria" w:hAnsi="Cambria"/>
                <w:b/>
                <w:szCs w:val="22"/>
                <w:lang w:val="es-ES"/>
              </w:rPr>
              <w:t>31.12.19</w:t>
            </w:r>
          </w:p>
        </w:tc>
      </w:tr>
      <w:tr w:rsidR="00030BB9" w:rsidRPr="00F8465B" w14:paraId="7212D6DE" w14:textId="77777777" w:rsidTr="00030BB9">
        <w:trPr>
          <w:trHeight w:val="300"/>
          <w:jc w:val="center"/>
        </w:trPr>
        <w:tc>
          <w:tcPr>
            <w:tcW w:w="3240" w:type="dxa"/>
            <w:tcBorders>
              <w:top w:val="single" w:sz="4" w:space="0" w:color="auto"/>
              <w:left w:val="single" w:sz="4" w:space="0" w:color="auto"/>
              <w:right w:val="single" w:sz="4" w:space="0" w:color="auto"/>
            </w:tcBorders>
            <w:shd w:val="clear" w:color="auto" w:fill="auto"/>
            <w:noWrap/>
            <w:vAlign w:val="bottom"/>
          </w:tcPr>
          <w:p w14:paraId="0A323F16" w14:textId="77777777" w:rsidR="00030BB9" w:rsidRPr="00F8465B" w:rsidRDefault="00030BB9" w:rsidP="00030BB9">
            <w:pPr>
              <w:ind w:firstLineChars="100" w:firstLine="220"/>
              <w:jc w:val="left"/>
              <w:rPr>
                <w:rFonts w:ascii="Cambria" w:hAnsi="Cambria"/>
                <w:szCs w:val="22"/>
                <w:lang w:val="es-ES"/>
              </w:rPr>
            </w:pPr>
            <w:r w:rsidRPr="00F8465B">
              <w:rPr>
                <w:rFonts w:ascii="Cambria" w:hAnsi="Cambria"/>
                <w:szCs w:val="22"/>
                <w:lang w:val="es-ES"/>
              </w:rPr>
              <w:t>Babcock Power España, S.A.</w:t>
            </w:r>
          </w:p>
        </w:tc>
        <w:tc>
          <w:tcPr>
            <w:tcW w:w="1182" w:type="dxa"/>
            <w:tcBorders>
              <w:top w:val="nil"/>
              <w:left w:val="nil"/>
              <w:right w:val="single" w:sz="4" w:space="0" w:color="auto"/>
            </w:tcBorders>
            <w:shd w:val="clear" w:color="auto" w:fill="auto"/>
            <w:noWrap/>
            <w:vAlign w:val="bottom"/>
          </w:tcPr>
          <w:p w14:paraId="44AAD907" w14:textId="77777777" w:rsidR="00030BB9" w:rsidRPr="00F8465B" w:rsidRDefault="00030BB9" w:rsidP="00030BB9">
            <w:pPr>
              <w:ind w:firstLineChars="100" w:firstLine="220"/>
              <w:jc w:val="right"/>
              <w:rPr>
                <w:rFonts w:ascii="Cambria" w:hAnsi="Cambria"/>
                <w:szCs w:val="22"/>
                <w:lang w:val="es-ES"/>
              </w:rPr>
            </w:pPr>
            <w:r w:rsidRPr="00F8465B">
              <w:rPr>
                <w:rFonts w:ascii="Cambria" w:hAnsi="Cambria"/>
                <w:szCs w:val="22"/>
                <w:lang w:val="es-ES"/>
              </w:rPr>
              <w:t>2.404</w:t>
            </w:r>
          </w:p>
        </w:tc>
        <w:tc>
          <w:tcPr>
            <w:tcW w:w="1182" w:type="dxa"/>
            <w:tcBorders>
              <w:top w:val="single" w:sz="4" w:space="0" w:color="auto"/>
              <w:left w:val="nil"/>
              <w:right w:val="single" w:sz="4" w:space="0" w:color="auto"/>
            </w:tcBorders>
            <w:vAlign w:val="bottom"/>
          </w:tcPr>
          <w:p w14:paraId="4D31B8F9" w14:textId="047EB3DA" w:rsidR="00030BB9" w:rsidRPr="00F8465B" w:rsidRDefault="00030BB9" w:rsidP="00030BB9">
            <w:pPr>
              <w:ind w:firstLineChars="100" w:firstLine="220"/>
              <w:jc w:val="right"/>
              <w:rPr>
                <w:rFonts w:ascii="Cambria" w:hAnsi="Cambria"/>
                <w:szCs w:val="22"/>
                <w:lang w:val="es-ES"/>
              </w:rPr>
            </w:pPr>
            <w:r w:rsidRPr="00F8465B">
              <w:rPr>
                <w:rFonts w:ascii="Cambria" w:hAnsi="Cambria"/>
                <w:szCs w:val="22"/>
                <w:lang w:val="es-ES"/>
              </w:rPr>
              <w:t>2.404</w:t>
            </w:r>
          </w:p>
        </w:tc>
      </w:tr>
      <w:tr w:rsidR="00030BB9" w:rsidRPr="00F8465B" w14:paraId="4932E66F" w14:textId="77777777" w:rsidTr="00030BB9">
        <w:trPr>
          <w:trHeight w:val="300"/>
          <w:jc w:val="center"/>
        </w:trPr>
        <w:tc>
          <w:tcPr>
            <w:tcW w:w="3240" w:type="dxa"/>
            <w:tcBorders>
              <w:top w:val="nil"/>
              <w:left w:val="single" w:sz="4" w:space="0" w:color="auto"/>
              <w:right w:val="single" w:sz="4" w:space="0" w:color="auto"/>
            </w:tcBorders>
            <w:shd w:val="clear" w:color="auto" w:fill="auto"/>
            <w:noWrap/>
            <w:vAlign w:val="bottom"/>
          </w:tcPr>
          <w:p w14:paraId="57C9EE65" w14:textId="77777777" w:rsidR="00030BB9" w:rsidRPr="00F8465B" w:rsidRDefault="00030BB9" w:rsidP="00030BB9">
            <w:pPr>
              <w:ind w:firstLineChars="100" w:firstLine="220"/>
              <w:jc w:val="left"/>
              <w:rPr>
                <w:rFonts w:ascii="Cambria" w:hAnsi="Cambria"/>
                <w:szCs w:val="22"/>
                <w:lang w:val="es-ES"/>
              </w:rPr>
            </w:pPr>
            <w:r w:rsidRPr="00F8465B">
              <w:rPr>
                <w:rFonts w:ascii="Cambria" w:hAnsi="Cambria"/>
                <w:szCs w:val="22"/>
                <w:lang w:val="es-ES"/>
              </w:rPr>
              <w:t>Babcock Montajes, S.A.</w:t>
            </w:r>
          </w:p>
        </w:tc>
        <w:tc>
          <w:tcPr>
            <w:tcW w:w="1182" w:type="dxa"/>
            <w:tcBorders>
              <w:top w:val="nil"/>
              <w:left w:val="nil"/>
              <w:right w:val="single" w:sz="4" w:space="0" w:color="auto"/>
            </w:tcBorders>
            <w:shd w:val="clear" w:color="auto" w:fill="auto"/>
            <w:noWrap/>
            <w:vAlign w:val="bottom"/>
          </w:tcPr>
          <w:p w14:paraId="78CB7A52" w14:textId="7EFF2E7B" w:rsidR="00030BB9" w:rsidRPr="00F8465B" w:rsidRDefault="00C03DF3" w:rsidP="00030BB9">
            <w:pPr>
              <w:ind w:firstLineChars="100" w:firstLine="220"/>
              <w:jc w:val="right"/>
              <w:rPr>
                <w:rFonts w:ascii="Cambria" w:hAnsi="Cambria"/>
                <w:szCs w:val="22"/>
                <w:lang w:val="es-ES"/>
              </w:rPr>
            </w:pPr>
            <w:r>
              <w:rPr>
                <w:rFonts w:ascii="Cambria" w:hAnsi="Cambria"/>
                <w:szCs w:val="22"/>
                <w:lang w:val="es-ES"/>
              </w:rPr>
              <w:t>3.286</w:t>
            </w:r>
          </w:p>
        </w:tc>
        <w:tc>
          <w:tcPr>
            <w:tcW w:w="1182" w:type="dxa"/>
            <w:tcBorders>
              <w:top w:val="nil"/>
              <w:left w:val="nil"/>
              <w:right w:val="single" w:sz="4" w:space="0" w:color="auto"/>
            </w:tcBorders>
            <w:vAlign w:val="bottom"/>
          </w:tcPr>
          <w:p w14:paraId="0AF586AD" w14:textId="0BC668E5" w:rsidR="00030BB9" w:rsidRDefault="00030BB9" w:rsidP="00030BB9">
            <w:pPr>
              <w:ind w:firstLineChars="100" w:firstLine="220"/>
              <w:jc w:val="right"/>
              <w:rPr>
                <w:rFonts w:ascii="Cambria" w:hAnsi="Cambria"/>
                <w:szCs w:val="22"/>
                <w:lang w:val="es-ES"/>
              </w:rPr>
            </w:pPr>
            <w:r>
              <w:rPr>
                <w:rFonts w:ascii="Cambria" w:hAnsi="Cambria"/>
                <w:szCs w:val="22"/>
                <w:lang w:val="es-ES"/>
              </w:rPr>
              <w:t>4.259</w:t>
            </w:r>
          </w:p>
        </w:tc>
      </w:tr>
      <w:tr w:rsidR="00030BB9" w:rsidRPr="00F8465B" w14:paraId="33177654" w14:textId="77777777" w:rsidTr="00030BB9">
        <w:trPr>
          <w:trHeight w:val="300"/>
          <w:jc w:val="center"/>
        </w:trPr>
        <w:tc>
          <w:tcPr>
            <w:tcW w:w="3240" w:type="dxa"/>
            <w:tcBorders>
              <w:left w:val="single" w:sz="4" w:space="0" w:color="auto"/>
              <w:bottom w:val="single" w:sz="4" w:space="0" w:color="auto"/>
              <w:right w:val="single" w:sz="4" w:space="0" w:color="auto"/>
            </w:tcBorders>
            <w:shd w:val="clear" w:color="auto" w:fill="auto"/>
            <w:noWrap/>
            <w:vAlign w:val="bottom"/>
          </w:tcPr>
          <w:p w14:paraId="40BF0D16" w14:textId="77777777" w:rsidR="00030BB9" w:rsidRPr="008008C1" w:rsidRDefault="00030BB9" w:rsidP="00030BB9">
            <w:pPr>
              <w:ind w:firstLineChars="100" w:firstLine="220"/>
              <w:jc w:val="left"/>
              <w:rPr>
                <w:rFonts w:ascii="Cambria" w:hAnsi="Cambria"/>
                <w:szCs w:val="22"/>
                <w:lang w:val="es-ES"/>
              </w:rPr>
            </w:pPr>
            <w:r>
              <w:rPr>
                <w:rFonts w:ascii="Cambria" w:hAnsi="Cambria"/>
                <w:szCs w:val="22"/>
                <w:lang w:val="es-ES"/>
              </w:rPr>
              <w:t>Otros</w:t>
            </w:r>
          </w:p>
        </w:tc>
        <w:tc>
          <w:tcPr>
            <w:tcW w:w="1182" w:type="dxa"/>
            <w:tcBorders>
              <w:left w:val="nil"/>
              <w:bottom w:val="single" w:sz="4" w:space="0" w:color="auto"/>
              <w:right w:val="single" w:sz="4" w:space="0" w:color="auto"/>
            </w:tcBorders>
            <w:shd w:val="clear" w:color="auto" w:fill="auto"/>
            <w:noWrap/>
            <w:vAlign w:val="bottom"/>
          </w:tcPr>
          <w:p w14:paraId="7C65D9E2" w14:textId="332C51A4" w:rsidR="00030BB9" w:rsidRPr="008008C1" w:rsidRDefault="00030BB9" w:rsidP="00030BB9">
            <w:pPr>
              <w:jc w:val="right"/>
              <w:rPr>
                <w:rFonts w:ascii="Cambria" w:hAnsi="Cambria"/>
                <w:szCs w:val="22"/>
                <w:lang w:val="es-ES"/>
              </w:rPr>
            </w:pPr>
            <w:r>
              <w:rPr>
                <w:rFonts w:ascii="Cambria" w:hAnsi="Cambria"/>
                <w:szCs w:val="22"/>
                <w:lang w:val="es-ES"/>
              </w:rPr>
              <w:t>125</w:t>
            </w:r>
          </w:p>
        </w:tc>
        <w:tc>
          <w:tcPr>
            <w:tcW w:w="1182" w:type="dxa"/>
            <w:tcBorders>
              <w:left w:val="nil"/>
              <w:bottom w:val="single" w:sz="4" w:space="0" w:color="auto"/>
              <w:right w:val="single" w:sz="4" w:space="0" w:color="auto"/>
            </w:tcBorders>
            <w:vAlign w:val="bottom"/>
          </w:tcPr>
          <w:p w14:paraId="0E1106C2" w14:textId="55B2E398" w:rsidR="00030BB9" w:rsidRDefault="00030BB9" w:rsidP="00030BB9">
            <w:pPr>
              <w:jc w:val="right"/>
              <w:rPr>
                <w:rFonts w:ascii="Cambria" w:hAnsi="Cambria"/>
                <w:szCs w:val="22"/>
                <w:lang w:val="es-ES"/>
              </w:rPr>
            </w:pPr>
            <w:r>
              <w:rPr>
                <w:rFonts w:ascii="Cambria" w:hAnsi="Cambria"/>
                <w:szCs w:val="22"/>
                <w:lang w:val="es-ES"/>
              </w:rPr>
              <w:t>250</w:t>
            </w:r>
          </w:p>
        </w:tc>
      </w:tr>
      <w:tr w:rsidR="00030BB9" w:rsidRPr="00F8465B" w14:paraId="5C2250DA" w14:textId="77777777" w:rsidTr="00030BB9">
        <w:trPr>
          <w:trHeight w:val="300"/>
          <w:jc w:val="center"/>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35061" w14:textId="77777777" w:rsidR="00030BB9" w:rsidRPr="00F8465B" w:rsidRDefault="00030BB9" w:rsidP="00030BB9">
            <w:pPr>
              <w:ind w:firstLineChars="100" w:firstLine="221"/>
              <w:jc w:val="left"/>
              <w:rPr>
                <w:rFonts w:ascii="Cambria" w:hAnsi="Cambria"/>
                <w:b/>
                <w:szCs w:val="22"/>
                <w:lang w:val="es-ES"/>
              </w:rPr>
            </w:pPr>
            <w:r w:rsidRPr="00F8465B">
              <w:rPr>
                <w:rFonts w:ascii="Cambria" w:hAnsi="Cambria"/>
                <w:b/>
                <w:szCs w:val="22"/>
                <w:lang w:val="es-ES"/>
              </w:rPr>
              <w:t>TOTAL</w:t>
            </w: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33CF673D" w14:textId="412E1FFC" w:rsidR="00030BB9" w:rsidRPr="00F8465B" w:rsidRDefault="00C03DF3" w:rsidP="00030BB9">
            <w:pPr>
              <w:jc w:val="right"/>
              <w:rPr>
                <w:rFonts w:ascii="Cambria" w:hAnsi="Cambria"/>
                <w:b/>
                <w:szCs w:val="22"/>
                <w:lang w:val="es-ES"/>
              </w:rPr>
            </w:pPr>
            <w:r>
              <w:rPr>
                <w:rFonts w:ascii="Cambria" w:hAnsi="Cambria"/>
                <w:b/>
                <w:szCs w:val="22"/>
                <w:lang w:val="es-ES"/>
              </w:rPr>
              <w:t>5.815</w:t>
            </w:r>
          </w:p>
        </w:tc>
        <w:tc>
          <w:tcPr>
            <w:tcW w:w="1182" w:type="dxa"/>
            <w:tcBorders>
              <w:top w:val="single" w:sz="4" w:space="0" w:color="auto"/>
              <w:left w:val="nil"/>
              <w:bottom w:val="single" w:sz="4" w:space="0" w:color="auto"/>
              <w:right w:val="single" w:sz="4" w:space="0" w:color="auto"/>
            </w:tcBorders>
            <w:vAlign w:val="bottom"/>
          </w:tcPr>
          <w:p w14:paraId="424DF5FD" w14:textId="4AD22638" w:rsidR="00030BB9" w:rsidRDefault="00030BB9" w:rsidP="00030BB9">
            <w:pPr>
              <w:jc w:val="right"/>
              <w:rPr>
                <w:rFonts w:ascii="Cambria" w:hAnsi="Cambria"/>
                <w:b/>
                <w:szCs w:val="22"/>
                <w:lang w:val="es-ES"/>
              </w:rPr>
            </w:pPr>
            <w:r>
              <w:rPr>
                <w:rFonts w:ascii="Cambria" w:hAnsi="Cambria"/>
                <w:b/>
                <w:szCs w:val="22"/>
                <w:lang w:val="es-ES"/>
              </w:rPr>
              <w:t>6.913</w:t>
            </w:r>
          </w:p>
        </w:tc>
      </w:tr>
    </w:tbl>
    <w:p w14:paraId="2B849AF5" w14:textId="77777777" w:rsidR="006008B8" w:rsidRPr="00F8465B" w:rsidRDefault="006008B8" w:rsidP="00900794">
      <w:pPr>
        <w:pStyle w:val="Ttulo1a"/>
        <w:ind w:left="567"/>
        <w:rPr>
          <w:rFonts w:ascii="Cambria" w:hAnsi="Cambria"/>
          <w:sz w:val="24"/>
          <w:szCs w:val="24"/>
        </w:rPr>
      </w:pPr>
    </w:p>
    <w:p w14:paraId="193961BA" w14:textId="7921B6AF" w:rsidR="003B39EB" w:rsidRDefault="00A61CD2" w:rsidP="00900794">
      <w:pPr>
        <w:pStyle w:val="Ttulo1a"/>
        <w:ind w:left="567"/>
        <w:rPr>
          <w:rFonts w:ascii="Cambria" w:hAnsi="Cambria"/>
          <w:sz w:val="24"/>
          <w:szCs w:val="24"/>
        </w:rPr>
      </w:pPr>
      <w:bookmarkStart w:id="5" w:name="_Hlk64276777"/>
      <w:r w:rsidRPr="003A2AC4">
        <w:rPr>
          <w:rFonts w:ascii="Cambria" w:hAnsi="Cambria"/>
          <w:sz w:val="24"/>
          <w:szCs w:val="24"/>
        </w:rPr>
        <w:t xml:space="preserve">El préstamo de Babcock Power España asciende a </w:t>
      </w:r>
      <w:smartTag w:uri="urn:schemas-microsoft-com:office:smarttags" w:element="metricconverter">
        <w:smartTagPr>
          <w:attr w:name="ProductID" w:val="2.404 miles"/>
        </w:smartTagPr>
        <w:r w:rsidRPr="003A2AC4">
          <w:rPr>
            <w:rFonts w:ascii="Cambria" w:hAnsi="Cambria"/>
            <w:sz w:val="24"/>
            <w:szCs w:val="24"/>
          </w:rPr>
          <w:t>2.404 miles</w:t>
        </w:r>
      </w:smartTag>
      <w:r w:rsidRPr="003A2AC4">
        <w:rPr>
          <w:rFonts w:ascii="Cambria" w:hAnsi="Cambria"/>
          <w:sz w:val="24"/>
          <w:szCs w:val="24"/>
        </w:rPr>
        <w:t xml:space="preserve"> de euros, y las condiciones firmadas entre las partes incluía</w:t>
      </w:r>
      <w:r w:rsidR="006021F5" w:rsidRPr="003A2AC4">
        <w:rPr>
          <w:rFonts w:ascii="Cambria" w:hAnsi="Cambria"/>
          <w:sz w:val="24"/>
          <w:szCs w:val="24"/>
        </w:rPr>
        <w:t>n</w:t>
      </w:r>
      <w:r w:rsidRPr="003A2AC4">
        <w:rPr>
          <w:rFonts w:ascii="Cambria" w:hAnsi="Cambria"/>
          <w:sz w:val="24"/>
          <w:szCs w:val="24"/>
        </w:rPr>
        <w:t xml:space="preserve"> un tipo de interés anual </w:t>
      </w:r>
      <w:r w:rsidR="00B810C4" w:rsidRPr="003A2AC4">
        <w:rPr>
          <w:rFonts w:ascii="Cambria" w:hAnsi="Cambria"/>
          <w:sz w:val="24"/>
          <w:szCs w:val="24"/>
        </w:rPr>
        <w:t>referenciado al Euribor</w:t>
      </w:r>
      <w:r w:rsidRPr="003A2AC4">
        <w:rPr>
          <w:rFonts w:ascii="Cambria" w:hAnsi="Cambria"/>
          <w:sz w:val="24"/>
          <w:szCs w:val="24"/>
        </w:rPr>
        <w:t xml:space="preserve"> </w:t>
      </w:r>
      <w:r w:rsidR="00B810C4" w:rsidRPr="003A2AC4">
        <w:rPr>
          <w:rFonts w:ascii="Cambria" w:hAnsi="Cambria"/>
          <w:sz w:val="24"/>
          <w:szCs w:val="24"/>
        </w:rPr>
        <w:t>más</w:t>
      </w:r>
      <w:r w:rsidRPr="003A2AC4">
        <w:rPr>
          <w:rFonts w:ascii="Cambria" w:hAnsi="Cambria"/>
          <w:sz w:val="24"/>
          <w:szCs w:val="24"/>
        </w:rPr>
        <w:t xml:space="preserve"> un diferencial del 0,5% y dos amortizaciones anuales a partir del 2012. En el ejercicio 2010, </w:t>
      </w:r>
      <w:r w:rsidR="00CF0688" w:rsidRPr="003A2AC4">
        <w:rPr>
          <w:rFonts w:ascii="Cambria" w:hAnsi="Cambria"/>
          <w:sz w:val="24"/>
          <w:szCs w:val="24"/>
        </w:rPr>
        <w:t xml:space="preserve">Babcock Power España presentó </w:t>
      </w:r>
      <w:r w:rsidR="00A11B86" w:rsidRPr="003A2AC4">
        <w:rPr>
          <w:rFonts w:ascii="Cambria" w:hAnsi="Cambria"/>
          <w:sz w:val="24"/>
          <w:szCs w:val="24"/>
        </w:rPr>
        <w:t>concurso de acreedores</w:t>
      </w:r>
      <w:r w:rsidRPr="003A2AC4">
        <w:rPr>
          <w:rFonts w:ascii="Cambria" w:hAnsi="Cambria"/>
          <w:sz w:val="24"/>
          <w:szCs w:val="24"/>
        </w:rPr>
        <w:t>, desde entonces l</w:t>
      </w:r>
      <w:r w:rsidR="00CF0688" w:rsidRPr="003A2AC4">
        <w:rPr>
          <w:rFonts w:ascii="Cambria" w:hAnsi="Cambria"/>
          <w:sz w:val="24"/>
          <w:szCs w:val="24"/>
        </w:rPr>
        <w:t>a Sociedad</w:t>
      </w:r>
      <w:r w:rsidRPr="003A2AC4">
        <w:rPr>
          <w:rFonts w:ascii="Cambria" w:hAnsi="Cambria"/>
          <w:sz w:val="24"/>
          <w:szCs w:val="24"/>
        </w:rPr>
        <w:t xml:space="preserve"> detuvo el devengo de intereses y provisionó </w:t>
      </w:r>
      <w:r w:rsidR="00CF0688" w:rsidRPr="003A2AC4">
        <w:rPr>
          <w:rFonts w:ascii="Cambria" w:hAnsi="Cambria"/>
          <w:sz w:val="24"/>
          <w:szCs w:val="24"/>
        </w:rPr>
        <w:t>el importe del principal así como los intereses del cuarto trimestre de 2010.</w:t>
      </w:r>
    </w:p>
    <w:p w14:paraId="1D6A44D2" w14:textId="77777777" w:rsidR="003B39EB" w:rsidRDefault="003B39EB">
      <w:pPr>
        <w:keepLines w:val="0"/>
        <w:widowControl/>
        <w:jc w:val="left"/>
        <w:rPr>
          <w:rFonts w:ascii="Cambria" w:hAnsi="Cambria"/>
          <w:sz w:val="24"/>
          <w:szCs w:val="24"/>
        </w:rPr>
      </w:pPr>
      <w:r>
        <w:rPr>
          <w:rFonts w:ascii="Cambria" w:hAnsi="Cambria"/>
          <w:sz w:val="24"/>
          <w:szCs w:val="24"/>
        </w:rPr>
        <w:br w:type="page"/>
      </w:r>
    </w:p>
    <w:p w14:paraId="3AC02A40" w14:textId="77777777" w:rsidR="00900794" w:rsidRPr="003A2AC4" w:rsidRDefault="00900794" w:rsidP="00900794">
      <w:pPr>
        <w:pStyle w:val="Ttulo1a"/>
        <w:ind w:left="567"/>
        <w:rPr>
          <w:rFonts w:ascii="Cambria" w:hAnsi="Cambria"/>
          <w:sz w:val="24"/>
          <w:szCs w:val="24"/>
        </w:rPr>
      </w:pPr>
    </w:p>
    <w:p w14:paraId="4CA86D15" w14:textId="77777777" w:rsidR="00147207" w:rsidRDefault="00147207" w:rsidP="00E95F87">
      <w:pPr>
        <w:pStyle w:val="Ttulo1a"/>
        <w:ind w:left="567"/>
        <w:rPr>
          <w:rFonts w:ascii="Cambria" w:hAnsi="Cambria"/>
          <w:sz w:val="24"/>
          <w:szCs w:val="24"/>
        </w:rPr>
      </w:pPr>
    </w:p>
    <w:p w14:paraId="0B2AECCC" w14:textId="3384805E" w:rsidR="009B58C6" w:rsidRPr="003A2AC4" w:rsidRDefault="0060134E" w:rsidP="00E95F87">
      <w:pPr>
        <w:pStyle w:val="Ttulo1a"/>
        <w:ind w:left="567"/>
        <w:rPr>
          <w:rFonts w:ascii="Cambria" w:hAnsi="Cambria"/>
          <w:sz w:val="24"/>
          <w:szCs w:val="24"/>
        </w:rPr>
      </w:pPr>
      <w:r w:rsidRPr="00FD00B0">
        <w:rPr>
          <w:rFonts w:ascii="Cambria" w:hAnsi="Cambria"/>
          <w:sz w:val="24"/>
          <w:szCs w:val="24"/>
        </w:rPr>
        <w:t>E</w:t>
      </w:r>
      <w:r w:rsidR="00CD24D8" w:rsidRPr="00FD00B0">
        <w:rPr>
          <w:rFonts w:ascii="Cambria" w:hAnsi="Cambria"/>
          <w:sz w:val="24"/>
          <w:szCs w:val="24"/>
        </w:rPr>
        <w:t>l préstamo de Babcock Montajes, S.A</w:t>
      </w:r>
      <w:r w:rsidRPr="00C03DF3">
        <w:rPr>
          <w:rFonts w:ascii="Cambria" w:hAnsi="Cambria"/>
          <w:sz w:val="24"/>
          <w:szCs w:val="24"/>
        </w:rPr>
        <w:t>.</w:t>
      </w:r>
      <w:r w:rsidR="00452A4E" w:rsidRPr="00C03DF3">
        <w:rPr>
          <w:rFonts w:ascii="Cambria" w:hAnsi="Cambria"/>
          <w:sz w:val="24"/>
          <w:szCs w:val="24"/>
        </w:rPr>
        <w:t xml:space="preserve"> </w:t>
      </w:r>
      <w:r w:rsidR="00CD24D8" w:rsidRPr="00C03DF3">
        <w:rPr>
          <w:rFonts w:ascii="Cambria" w:hAnsi="Cambria"/>
          <w:sz w:val="24"/>
          <w:szCs w:val="24"/>
        </w:rPr>
        <w:t xml:space="preserve">asciende a </w:t>
      </w:r>
      <w:r w:rsidR="00C03DF3" w:rsidRPr="00C03DF3">
        <w:rPr>
          <w:rFonts w:ascii="Cambria" w:hAnsi="Cambria"/>
          <w:sz w:val="24"/>
          <w:szCs w:val="24"/>
        </w:rPr>
        <w:t>3.286</w:t>
      </w:r>
      <w:r w:rsidR="00CF1063" w:rsidRPr="00C03DF3">
        <w:rPr>
          <w:rFonts w:ascii="Cambria" w:hAnsi="Cambria"/>
          <w:sz w:val="24"/>
          <w:szCs w:val="24"/>
        </w:rPr>
        <w:t xml:space="preserve"> </w:t>
      </w:r>
      <w:r w:rsidR="00CD24D8" w:rsidRPr="00C03DF3">
        <w:rPr>
          <w:rFonts w:ascii="Cambria" w:hAnsi="Cambria"/>
          <w:sz w:val="24"/>
          <w:szCs w:val="24"/>
        </w:rPr>
        <w:t>miles</w:t>
      </w:r>
      <w:r w:rsidR="00CD24D8" w:rsidRPr="00FD00B0">
        <w:rPr>
          <w:rFonts w:ascii="Cambria" w:hAnsi="Cambria"/>
          <w:sz w:val="24"/>
          <w:szCs w:val="24"/>
        </w:rPr>
        <w:t xml:space="preserve"> d</w:t>
      </w:r>
      <w:r w:rsidR="00651ADD" w:rsidRPr="00FD00B0">
        <w:rPr>
          <w:rFonts w:ascii="Cambria" w:hAnsi="Cambria"/>
          <w:sz w:val="24"/>
          <w:szCs w:val="24"/>
        </w:rPr>
        <w:t>e euros</w:t>
      </w:r>
      <w:r w:rsidR="00526042" w:rsidRPr="00FD00B0">
        <w:rPr>
          <w:rFonts w:ascii="Cambria" w:hAnsi="Cambria"/>
          <w:sz w:val="24"/>
          <w:szCs w:val="24"/>
        </w:rPr>
        <w:t xml:space="preserve"> (</w:t>
      </w:r>
      <w:r w:rsidR="003A2AC4" w:rsidRPr="00FD00B0">
        <w:rPr>
          <w:rFonts w:ascii="Cambria" w:hAnsi="Cambria"/>
          <w:sz w:val="24"/>
          <w:szCs w:val="24"/>
        </w:rPr>
        <w:t>4.</w:t>
      </w:r>
      <w:r w:rsidR="00030BB9">
        <w:rPr>
          <w:rFonts w:ascii="Cambria" w:hAnsi="Cambria"/>
          <w:sz w:val="24"/>
          <w:szCs w:val="24"/>
        </w:rPr>
        <w:t>259</w:t>
      </w:r>
      <w:r w:rsidR="00526042" w:rsidRPr="00FD00B0">
        <w:rPr>
          <w:rFonts w:ascii="Cambria" w:hAnsi="Cambria"/>
          <w:sz w:val="24"/>
          <w:szCs w:val="24"/>
        </w:rPr>
        <w:t xml:space="preserve"> mi</w:t>
      </w:r>
      <w:r w:rsidR="001428C5" w:rsidRPr="00FD00B0">
        <w:rPr>
          <w:rFonts w:ascii="Cambria" w:hAnsi="Cambria"/>
          <w:sz w:val="24"/>
          <w:szCs w:val="24"/>
        </w:rPr>
        <w:t>l</w:t>
      </w:r>
      <w:r w:rsidR="00526042" w:rsidRPr="00FD00B0">
        <w:rPr>
          <w:rFonts w:ascii="Cambria" w:hAnsi="Cambria"/>
          <w:sz w:val="24"/>
          <w:szCs w:val="24"/>
        </w:rPr>
        <w:t>es de euros a 31 de diciembre de 201</w:t>
      </w:r>
      <w:r w:rsidR="00030BB9">
        <w:rPr>
          <w:rFonts w:ascii="Cambria" w:hAnsi="Cambria"/>
          <w:sz w:val="24"/>
          <w:szCs w:val="24"/>
        </w:rPr>
        <w:t>9</w:t>
      </w:r>
      <w:r w:rsidR="00526042" w:rsidRPr="00FD00B0">
        <w:rPr>
          <w:rFonts w:ascii="Cambria" w:hAnsi="Cambria"/>
          <w:sz w:val="24"/>
          <w:szCs w:val="24"/>
        </w:rPr>
        <w:t>)</w:t>
      </w:r>
      <w:r w:rsidR="00651ADD" w:rsidRPr="00FD00B0">
        <w:rPr>
          <w:rFonts w:ascii="Cambria" w:hAnsi="Cambria"/>
          <w:sz w:val="24"/>
          <w:szCs w:val="24"/>
        </w:rPr>
        <w:t xml:space="preserve">. </w:t>
      </w:r>
      <w:r w:rsidR="009B58C6" w:rsidRPr="00FD00B0">
        <w:rPr>
          <w:rFonts w:ascii="Cambria" w:hAnsi="Cambria"/>
          <w:sz w:val="24"/>
          <w:szCs w:val="24"/>
        </w:rPr>
        <w:t xml:space="preserve">Con fecha 22 de junio de 2017 las mercantiles del Grupo Isastur, entre las que se incluye </w:t>
      </w:r>
      <w:r w:rsidRPr="00FD00B0">
        <w:rPr>
          <w:rFonts w:ascii="Cambria" w:hAnsi="Cambria"/>
          <w:sz w:val="24"/>
          <w:szCs w:val="24"/>
        </w:rPr>
        <w:t>Babcock Montajes, S.A.</w:t>
      </w:r>
      <w:r w:rsidR="009B58C6" w:rsidRPr="00FD00B0">
        <w:rPr>
          <w:rFonts w:ascii="Cambria" w:hAnsi="Cambria"/>
          <w:sz w:val="24"/>
          <w:szCs w:val="24"/>
        </w:rPr>
        <w:t xml:space="preserve">, firmaron un acuerdo de reestructuración de deuda. </w:t>
      </w:r>
      <w:r w:rsidRPr="00FD00B0">
        <w:rPr>
          <w:rFonts w:ascii="Cambria" w:hAnsi="Cambria"/>
          <w:sz w:val="24"/>
          <w:szCs w:val="24"/>
        </w:rPr>
        <w:t>P</w:t>
      </w:r>
      <w:r w:rsidR="009B58C6" w:rsidRPr="00FD00B0">
        <w:rPr>
          <w:rFonts w:ascii="Cambria" w:hAnsi="Cambria"/>
          <w:sz w:val="24"/>
          <w:szCs w:val="24"/>
        </w:rPr>
        <w:t>or auto del Juzgado Mercantil nº 1 de Oviedo se acordó la homologación judicial del citado acuerdo y su extensión a las Entidades no participantes entre las que se encuentra COFIVACASA. Esta información fue publicada por edicto en el BOE de 6 de noviembre de 2017, pág. 80269.</w:t>
      </w:r>
    </w:p>
    <w:p w14:paraId="08CB1033" w14:textId="77777777" w:rsidR="0070420C" w:rsidRPr="003A2AC4" w:rsidRDefault="0070420C" w:rsidP="002D6127"/>
    <w:p w14:paraId="71392FF1" w14:textId="77777777" w:rsidR="009E06ED" w:rsidRPr="003A2AC4" w:rsidRDefault="009E06ED" w:rsidP="009E06ED">
      <w:pPr>
        <w:pStyle w:val="Ttulo1a"/>
        <w:ind w:left="567"/>
        <w:rPr>
          <w:rFonts w:ascii="Cambria" w:hAnsi="Cambria"/>
          <w:sz w:val="24"/>
          <w:szCs w:val="24"/>
        </w:rPr>
      </w:pPr>
      <w:r w:rsidRPr="003A2AC4">
        <w:rPr>
          <w:rFonts w:ascii="Cambria" w:hAnsi="Cambria"/>
          <w:sz w:val="24"/>
          <w:szCs w:val="24"/>
        </w:rPr>
        <w:t>Las condiciones recogidas en el acuerdo de reestructuración son las siguientes:</w:t>
      </w:r>
    </w:p>
    <w:p w14:paraId="39F13254" w14:textId="77777777" w:rsidR="008540FA" w:rsidRPr="003A2AC4" w:rsidRDefault="008540FA" w:rsidP="0070420C">
      <w:pPr>
        <w:spacing w:line="276" w:lineRule="auto"/>
        <w:rPr>
          <w:rFonts w:ascii="Cambria" w:hAnsi="Cambria"/>
          <w:color w:val="FF0000"/>
          <w:sz w:val="24"/>
          <w:szCs w:val="24"/>
        </w:rPr>
      </w:pPr>
    </w:p>
    <w:p w14:paraId="75248B11" w14:textId="77777777" w:rsidR="008540FA" w:rsidRPr="003A2AC4" w:rsidRDefault="0070420C" w:rsidP="0060571A">
      <w:pPr>
        <w:pStyle w:val="Ttulo1a"/>
        <w:numPr>
          <w:ilvl w:val="1"/>
          <w:numId w:val="15"/>
        </w:numPr>
        <w:tabs>
          <w:tab w:val="clear" w:pos="1506"/>
          <w:tab w:val="num" w:pos="993"/>
        </w:tabs>
        <w:ind w:left="993" w:hanging="426"/>
        <w:rPr>
          <w:rFonts w:ascii="Cambria" w:hAnsi="Cambria"/>
          <w:sz w:val="24"/>
          <w:szCs w:val="24"/>
        </w:rPr>
      </w:pPr>
      <w:r w:rsidRPr="003A2AC4">
        <w:rPr>
          <w:rFonts w:ascii="Cambria" w:hAnsi="Cambria"/>
          <w:sz w:val="24"/>
          <w:szCs w:val="24"/>
        </w:rPr>
        <w:t>Amortizaciones trimestrales</w:t>
      </w:r>
      <w:r w:rsidR="008540FA" w:rsidRPr="003A2AC4">
        <w:rPr>
          <w:rFonts w:ascii="Cambria" w:hAnsi="Cambria"/>
          <w:sz w:val="24"/>
          <w:szCs w:val="24"/>
        </w:rPr>
        <w:t xml:space="preserve"> de la deuda reconocida, 5.030 miles de euros en </w:t>
      </w:r>
      <w:r w:rsidRPr="003A2AC4">
        <w:rPr>
          <w:rFonts w:ascii="Cambria" w:hAnsi="Cambria"/>
          <w:sz w:val="24"/>
          <w:szCs w:val="24"/>
        </w:rPr>
        <w:t xml:space="preserve"> </w:t>
      </w:r>
      <w:r w:rsidR="008540FA" w:rsidRPr="003A2AC4">
        <w:rPr>
          <w:rFonts w:ascii="Cambria" w:hAnsi="Cambria"/>
          <w:sz w:val="24"/>
          <w:szCs w:val="24"/>
        </w:rPr>
        <w:t>25 cuotas</w:t>
      </w:r>
      <w:r w:rsidRPr="003A2AC4">
        <w:rPr>
          <w:rFonts w:ascii="Cambria" w:hAnsi="Cambria"/>
          <w:sz w:val="24"/>
          <w:szCs w:val="24"/>
        </w:rPr>
        <w:t xml:space="preserve"> trimestral</w:t>
      </w:r>
      <w:r w:rsidR="008540FA" w:rsidRPr="003A2AC4">
        <w:rPr>
          <w:rFonts w:ascii="Cambria" w:hAnsi="Cambria"/>
          <w:sz w:val="24"/>
          <w:szCs w:val="24"/>
        </w:rPr>
        <w:t>es, realizándose</w:t>
      </w:r>
      <w:r w:rsidR="009E06ED" w:rsidRPr="003A2AC4">
        <w:rPr>
          <w:rFonts w:ascii="Cambria" w:hAnsi="Cambria"/>
          <w:sz w:val="24"/>
          <w:szCs w:val="24"/>
        </w:rPr>
        <w:t xml:space="preserve"> el pago de la primera en </w:t>
      </w:r>
      <w:r w:rsidR="008540FA" w:rsidRPr="003A2AC4">
        <w:rPr>
          <w:rFonts w:ascii="Cambria" w:hAnsi="Cambria"/>
          <w:sz w:val="24"/>
          <w:szCs w:val="24"/>
        </w:rPr>
        <w:t>marzo de 2018 y</w:t>
      </w:r>
      <w:r w:rsidR="009E06ED" w:rsidRPr="003A2AC4">
        <w:rPr>
          <w:rFonts w:ascii="Cambria" w:hAnsi="Cambria"/>
          <w:sz w:val="24"/>
          <w:szCs w:val="24"/>
        </w:rPr>
        <w:t xml:space="preserve"> el de la última cuota en </w:t>
      </w:r>
      <w:r w:rsidR="008540FA" w:rsidRPr="003A2AC4">
        <w:rPr>
          <w:rFonts w:ascii="Cambria" w:hAnsi="Cambria"/>
          <w:sz w:val="24"/>
          <w:szCs w:val="24"/>
        </w:rPr>
        <w:t>diciembre de 2023.</w:t>
      </w:r>
      <w:r w:rsidRPr="003A2AC4">
        <w:rPr>
          <w:rFonts w:ascii="Cambria" w:hAnsi="Cambria"/>
          <w:sz w:val="24"/>
          <w:szCs w:val="24"/>
        </w:rPr>
        <w:t xml:space="preserve"> </w:t>
      </w:r>
    </w:p>
    <w:p w14:paraId="15F8011E" w14:textId="6A76C1DC" w:rsidR="0070420C" w:rsidRDefault="008540FA" w:rsidP="0060571A">
      <w:pPr>
        <w:pStyle w:val="Ttulo1a"/>
        <w:numPr>
          <w:ilvl w:val="1"/>
          <w:numId w:val="15"/>
        </w:numPr>
        <w:tabs>
          <w:tab w:val="clear" w:pos="1506"/>
          <w:tab w:val="num" w:pos="993"/>
        </w:tabs>
        <w:ind w:left="993" w:hanging="426"/>
        <w:rPr>
          <w:rFonts w:ascii="Cambria" w:hAnsi="Cambria"/>
          <w:sz w:val="24"/>
          <w:szCs w:val="24"/>
        </w:rPr>
      </w:pPr>
      <w:r w:rsidRPr="003A2AC4">
        <w:rPr>
          <w:rFonts w:ascii="Cambria" w:hAnsi="Cambria"/>
          <w:sz w:val="24"/>
          <w:szCs w:val="24"/>
        </w:rPr>
        <w:t xml:space="preserve">El principal de la deuda devengará trimestralmente intereses iguales al Euribor más el 2,5 por ciento. </w:t>
      </w:r>
      <w:r w:rsidR="009E06ED" w:rsidRPr="003A2AC4">
        <w:rPr>
          <w:rFonts w:ascii="Cambria" w:hAnsi="Cambria"/>
          <w:sz w:val="24"/>
          <w:szCs w:val="24"/>
        </w:rPr>
        <w:t>El interés será objeto de revisión trimestral.</w:t>
      </w:r>
    </w:p>
    <w:p w14:paraId="68F8004B" w14:textId="222A81CA" w:rsidR="00075148" w:rsidRDefault="00075148" w:rsidP="00075148"/>
    <w:p w14:paraId="17BE9146" w14:textId="2581F18E" w:rsidR="004C4B51" w:rsidRPr="004C4B51" w:rsidRDefault="004C4B51" w:rsidP="004C4B51">
      <w:pPr>
        <w:pStyle w:val="Ttulo1a"/>
        <w:ind w:left="567"/>
        <w:rPr>
          <w:rFonts w:ascii="Cambria" w:hAnsi="Cambria"/>
          <w:sz w:val="24"/>
          <w:szCs w:val="24"/>
        </w:rPr>
      </w:pPr>
      <w:bookmarkStart w:id="6" w:name="_Hlk64284702"/>
      <w:r>
        <w:rPr>
          <w:rFonts w:ascii="Cambria" w:hAnsi="Cambria"/>
          <w:sz w:val="24"/>
          <w:szCs w:val="24"/>
        </w:rPr>
        <w:t>L</w:t>
      </w:r>
      <w:r w:rsidRPr="004C4B51">
        <w:rPr>
          <w:rFonts w:ascii="Cambria" w:hAnsi="Cambria"/>
          <w:sz w:val="24"/>
          <w:szCs w:val="24"/>
        </w:rPr>
        <w:t>a situación de</w:t>
      </w:r>
      <w:r>
        <w:rPr>
          <w:rFonts w:ascii="Cambria" w:hAnsi="Cambria"/>
          <w:sz w:val="24"/>
          <w:szCs w:val="24"/>
        </w:rPr>
        <w:t>rivada del</w:t>
      </w:r>
      <w:r w:rsidRPr="004C4B51">
        <w:rPr>
          <w:rFonts w:ascii="Cambria" w:hAnsi="Cambria"/>
          <w:sz w:val="24"/>
          <w:szCs w:val="24"/>
        </w:rPr>
        <w:t xml:space="preserve"> COVID-19 </w:t>
      </w:r>
      <w:r>
        <w:rPr>
          <w:rFonts w:ascii="Cambria" w:hAnsi="Cambria"/>
          <w:sz w:val="24"/>
          <w:szCs w:val="24"/>
        </w:rPr>
        <w:t xml:space="preserve">ha obligado al Grupo Isastur </w:t>
      </w:r>
      <w:r w:rsidRPr="004C4B51">
        <w:rPr>
          <w:rFonts w:ascii="Cambria" w:hAnsi="Cambria"/>
          <w:sz w:val="24"/>
          <w:szCs w:val="24"/>
        </w:rPr>
        <w:t>a interrumpir los pagos del convenio, debido a la dificultad de obtener suministros y al cierre de algunas obras.</w:t>
      </w:r>
      <w:r>
        <w:rPr>
          <w:rFonts w:ascii="Cambria" w:hAnsi="Cambria"/>
          <w:sz w:val="24"/>
          <w:szCs w:val="24"/>
        </w:rPr>
        <w:t xml:space="preserve"> Por dicha razón, Isastur </w:t>
      </w:r>
      <w:r w:rsidR="00327B13">
        <w:rPr>
          <w:rFonts w:ascii="Cambria" w:hAnsi="Cambria"/>
          <w:sz w:val="24"/>
          <w:szCs w:val="24"/>
        </w:rPr>
        <w:t xml:space="preserve">y </w:t>
      </w:r>
      <w:r>
        <w:rPr>
          <w:rFonts w:ascii="Cambria" w:hAnsi="Cambria"/>
          <w:sz w:val="24"/>
          <w:szCs w:val="24"/>
        </w:rPr>
        <w:t>Babcock Montajes</w:t>
      </w:r>
      <w:r w:rsidRPr="004C4B51">
        <w:rPr>
          <w:rFonts w:ascii="Cambria" w:hAnsi="Cambria"/>
          <w:sz w:val="24"/>
          <w:szCs w:val="24"/>
        </w:rPr>
        <w:t xml:space="preserve"> ha</w:t>
      </w:r>
      <w:r w:rsidR="00327B13">
        <w:rPr>
          <w:rFonts w:ascii="Cambria" w:hAnsi="Cambria"/>
          <w:sz w:val="24"/>
          <w:szCs w:val="24"/>
        </w:rPr>
        <w:t>n</w:t>
      </w:r>
      <w:r w:rsidRPr="004C4B51">
        <w:rPr>
          <w:rFonts w:ascii="Cambria" w:hAnsi="Cambria"/>
          <w:sz w:val="24"/>
          <w:szCs w:val="24"/>
        </w:rPr>
        <w:t xml:space="preserve"> solicitado la reestructuración del préstamo</w:t>
      </w:r>
      <w:r>
        <w:rPr>
          <w:rFonts w:ascii="Cambria" w:hAnsi="Cambria"/>
          <w:sz w:val="24"/>
          <w:szCs w:val="24"/>
        </w:rPr>
        <w:t xml:space="preserve">, </w:t>
      </w:r>
      <w:r w:rsidR="00327B13">
        <w:rPr>
          <w:rFonts w:ascii="Cambria" w:hAnsi="Cambria"/>
          <w:sz w:val="24"/>
          <w:szCs w:val="24"/>
        </w:rPr>
        <w:t>aplazando</w:t>
      </w:r>
      <w:r w:rsidRPr="004C4B51">
        <w:rPr>
          <w:rFonts w:ascii="Cambria" w:hAnsi="Cambria"/>
          <w:sz w:val="24"/>
          <w:szCs w:val="24"/>
        </w:rPr>
        <w:t xml:space="preserve"> los tres vencimientos pendientes de 2020, mediante su prorrateo </w:t>
      </w:r>
      <w:r w:rsidR="004413E2">
        <w:rPr>
          <w:rFonts w:ascii="Cambria" w:hAnsi="Cambria"/>
          <w:sz w:val="24"/>
          <w:szCs w:val="24"/>
        </w:rPr>
        <w:t xml:space="preserve">de forma lineal </w:t>
      </w:r>
      <w:r w:rsidRPr="004C4B51">
        <w:rPr>
          <w:rFonts w:ascii="Cambria" w:hAnsi="Cambria"/>
          <w:sz w:val="24"/>
          <w:szCs w:val="24"/>
        </w:rPr>
        <w:t xml:space="preserve">en </w:t>
      </w:r>
      <w:r w:rsidR="00327B13">
        <w:rPr>
          <w:rFonts w:ascii="Cambria" w:hAnsi="Cambria"/>
          <w:sz w:val="24"/>
          <w:szCs w:val="24"/>
        </w:rPr>
        <w:t xml:space="preserve">las cuotas a pagar entre </w:t>
      </w:r>
      <w:r w:rsidRPr="004C4B51">
        <w:rPr>
          <w:rFonts w:ascii="Cambria" w:hAnsi="Cambria"/>
          <w:sz w:val="24"/>
          <w:szCs w:val="24"/>
        </w:rPr>
        <w:t xml:space="preserve">marzo </w:t>
      </w:r>
      <w:r>
        <w:rPr>
          <w:rFonts w:ascii="Cambria" w:hAnsi="Cambria"/>
          <w:sz w:val="24"/>
          <w:szCs w:val="24"/>
        </w:rPr>
        <w:t xml:space="preserve">de </w:t>
      </w:r>
      <w:r w:rsidRPr="004C4B51">
        <w:rPr>
          <w:rFonts w:ascii="Cambria" w:hAnsi="Cambria"/>
          <w:sz w:val="24"/>
          <w:szCs w:val="24"/>
        </w:rPr>
        <w:t xml:space="preserve">2022 y </w:t>
      </w:r>
      <w:r>
        <w:rPr>
          <w:rFonts w:ascii="Cambria" w:hAnsi="Cambria"/>
          <w:sz w:val="24"/>
          <w:szCs w:val="24"/>
        </w:rPr>
        <w:t xml:space="preserve">hasta </w:t>
      </w:r>
      <w:r w:rsidRPr="004C4B51">
        <w:rPr>
          <w:rFonts w:ascii="Cambria" w:hAnsi="Cambria"/>
          <w:sz w:val="24"/>
          <w:szCs w:val="24"/>
        </w:rPr>
        <w:t>septiembre de 2024</w:t>
      </w:r>
      <w:r w:rsidRPr="00755CBB">
        <w:rPr>
          <w:rFonts w:ascii="Cambria" w:hAnsi="Cambria"/>
          <w:sz w:val="24"/>
          <w:szCs w:val="24"/>
        </w:rPr>
        <w:t xml:space="preserve">. </w:t>
      </w:r>
      <w:r w:rsidR="00327B13" w:rsidRPr="00755CBB">
        <w:rPr>
          <w:rFonts w:ascii="Cambria" w:hAnsi="Cambria"/>
          <w:sz w:val="24"/>
          <w:szCs w:val="24"/>
        </w:rPr>
        <w:t xml:space="preserve">Con fecha </w:t>
      </w:r>
      <w:r w:rsidR="00755CBB" w:rsidRPr="00755CBB">
        <w:rPr>
          <w:rFonts w:ascii="Cambria" w:hAnsi="Cambria"/>
          <w:sz w:val="24"/>
          <w:szCs w:val="24"/>
        </w:rPr>
        <w:t>5 de noviembre de 2020</w:t>
      </w:r>
      <w:r w:rsidR="00327B13" w:rsidRPr="00755CBB">
        <w:rPr>
          <w:rFonts w:ascii="Cambria" w:hAnsi="Cambria"/>
          <w:sz w:val="24"/>
          <w:szCs w:val="24"/>
        </w:rPr>
        <w:t xml:space="preserve"> </w:t>
      </w:r>
      <w:r w:rsidRPr="00755CBB">
        <w:rPr>
          <w:rFonts w:ascii="Cambria" w:hAnsi="Cambria"/>
          <w:sz w:val="24"/>
          <w:szCs w:val="24"/>
        </w:rPr>
        <w:t xml:space="preserve">COFIVACASA ha firmado </w:t>
      </w:r>
      <w:r w:rsidR="00327B13" w:rsidRPr="00755CBB">
        <w:rPr>
          <w:rFonts w:ascii="Cambria" w:hAnsi="Cambria"/>
          <w:sz w:val="24"/>
          <w:szCs w:val="24"/>
        </w:rPr>
        <w:t>un</w:t>
      </w:r>
      <w:r w:rsidRPr="00755CBB">
        <w:rPr>
          <w:rFonts w:ascii="Cambria" w:hAnsi="Cambria"/>
          <w:sz w:val="24"/>
          <w:szCs w:val="24"/>
        </w:rPr>
        <w:t xml:space="preserve"> acuerdo con Babcock Montajes</w:t>
      </w:r>
      <w:r w:rsidR="00755CBB">
        <w:rPr>
          <w:rFonts w:ascii="Cambria" w:hAnsi="Cambria"/>
          <w:sz w:val="24"/>
          <w:szCs w:val="24"/>
        </w:rPr>
        <w:t xml:space="preserve"> S.A.U.</w:t>
      </w:r>
      <w:r w:rsidR="00327B13" w:rsidRPr="00327B13">
        <w:rPr>
          <w:rFonts w:ascii="Cambria" w:hAnsi="Cambria"/>
          <w:sz w:val="24"/>
          <w:szCs w:val="24"/>
        </w:rPr>
        <w:t xml:space="preserve"> e Isastur</w:t>
      </w:r>
      <w:r w:rsidRPr="00327B13">
        <w:rPr>
          <w:rFonts w:ascii="Cambria" w:hAnsi="Cambria"/>
          <w:sz w:val="24"/>
          <w:szCs w:val="24"/>
        </w:rPr>
        <w:t xml:space="preserve"> </w:t>
      </w:r>
      <w:r w:rsidR="00327B13">
        <w:rPr>
          <w:rFonts w:ascii="Cambria" w:hAnsi="Cambria"/>
          <w:sz w:val="24"/>
          <w:szCs w:val="24"/>
        </w:rPr>
        <w:t xml:space="preserve">que recoge </w:t>
      </w:r>
      <w:r w:rsidRPr="00327B13">
        <w:rPr>
          <w:rFonts w:ascii="Cambria" w:hAnsi="Cambria"/>
          <w:sz w:val="24"/>
          <w:szCs w:val="24"/>
        </w:rPr>
        <w:t>la reestructuración del préstamo</w:t>
      </w:r>
      <w:r w:rsidR="00327B13">
        <w:rPr>
          <w:rFonts w:ascii="Cambria" w:hAnsi="Cambria"/>
          <w:sz w:val="24"/>
          <w:szCs w:val="24"/>
        </w:rPr>
        <w:t xml:space="preserve"> citada</w:t>
      </w:r>
      <w:r w:rsidRPr="00327B13">
        <w:rPr>
          <w:rFonts w:ascii="Cambria" w:hAnsi="Cambria"/>
          <w:sz w:val="24"/>
          <w:szCs w:val="24"/>
        </w:rPr>
        <w:t>, supeditado a la aprobación de los órganos</w:t>
      </w:r>
      <w:r w:rsidRPr="004C4B51">
        <w:rPr>
          <w:rFonts w:ascii="Cambria" w:hAnsi="Cambria"/>
          <w:sz w:val="24"/>
          <w:szCs w:val="24"/>
        </w:rPr>
        <w:t xml:space="preserve"> competentes de SEPI.</w:t>
      </w:r>
      <w:r>
        <w:rPr>
          <w:rFonts w:ascii="Cambria" w:hAnsi="Cambria"/>
          <w:sz w:val="24"/>
          <w:szCs w:val="24"/>
        </w:rPr>
        <w:t xml:space="preserve"> Si</w:t>
      </w:r>
      <w:r w:rsidRPr="004C4B51">
        <w:rPr>
          <w:rFonts w:ascii="Cambria" w:hAnsi="Cambria"/>
          <w:sz w:val="24"/>
          <w:szCs w:val="24"/>
        </w:rPr>
        <w:t xml:space="preserve">guiendo instrucciones de SEPI se ha solicitado aprobación de la reestructuración de la deuda a las entidades financieras que participaron en el Acuerdo Marco de Refinanciación homologado judicialmente en su día. </w:t>
      </w:r>
      <w:r w:rsidR="004413E2">
        <w:rPr>
          <w:rFonts w:ascii="Cambria" w:hAnsi="Cambria"/>
          <w:sz w:val="24"/>
          <w:szCs w:val="24"/>
        </w:rPr>
        <w:t>La aprobación está en fase de tramitación.</w:t>
      </w:r>
    </w:p>
    <w:bookmarkEnd w:id="6"/>
    <w:p w14:paraId="04D7E9E6" w14:textId="77777777" w:rsidR="004C4B51" w:rsidRDefault="004C4B51" w:rsidP="004C4B51">
      <w:pPr>
        <w:ind w:left="708"/>
        <w:rPr>
          <w:rFonts w:ascii="Cambria" w:hAnsi="Cambria"/>
          <w:b/>
        </w:rPr>
      </w:pPr>
    </w:p>
    <w:p w14:paraId="0B8EFEBF" w14:textId="77777777" w:rsidR="0060134E" w:rsidRDefault="0060134E" w:rsidP="0060134E">
      <w:pPr>
        <w:pStyle w:val="Ttulo1a"/>
        <w:ind w:left="567"/>
        <w:rPr>
          <w:rFonts w:ascii="Cambria" w:hAnsi="Cambria"/>
          <w:sz w:val="24"/>
          <w:szCs w:val="24"/>
        </w:rPr>
      </w:pPr>
      <w:bookmarkStart w:id="7" w:name="_Hlk64277381"/>
      <w:bookmarkEnd w:id="5"/>
      <w:r w:rsidRPr="003A2AC4">
        <w:rPr>
          <w:rFonts w:ascii="Cambria" w:hAnsi="Cambria"/>
          <w:sz w:val="24"/>
          <w:szCs w:val="24"/>
        </w:rPr>
        <w:t>A continuación se detallan los vencimientos del principal para los próximos años, en miles de euros:</w:t>
      </w:r>
    </w:p>
    <w:p w14:paraId="135EDA7E" w14:textId="77777777" w:rsidR="00DE1896" w:rsidRDefault="00DE1896" w:rsidP="00526042">
      <w:pPr>
        <w:ind w:left="567"/>
        <w:rPr>
          <w:rFonts w:ascii="Cambria" w:hAnsi="Cambria"/>
          <w:b/>
          <w:sz w:val="24"/>
          <w:szCs w:val="24"/>
          <w:u w:val="single"/>
        </w:rPr>
      </w:pPr>
    </w:p>
    <w:p w14:paraId="53413F98" w14:textId="0327C5B1" w:rsidR="00526042" w:rsidRPr="00075148" w:rsidRDefault="00F82E11" w:rsidP="00526042">
      <w:pPr>
        <w:ind w:left="567"/>
        <w:rPr>
          <w:rFonts w:ascii="Cambria" w:hAnsi="Cambria"/>
          <w:b/>
          <w:sz w:val="24"/>
          <w:szCs w:val="24"/>
          <w:u w:val="single"/>
        </w:rPr>
      </w:pPr>
      <w:r w:rsidRPr="00075148">
        <w:rPr>
          <w:rFonts w:ascii="Cambria" w:hAnsi="Cambria"/>
          <w:b/>
          <w:sz w:val="24"/>
          <w:szCs w:val="24"/>
          <w:u w:val="single"/>
        </w:rPr>
        <w:t>Ejercicio 20</w:t>
      </w:r>
      <w:r w:rsidR="00030BB9" w:rsidRPr="00075148">
        <w:rPr>
          <w:rFonts w:ascii="Cambria" w:hAnsi="Cambria"/>
          <w:b/>
          <w:sz w:val="24"/>
          <w:szCs w:val="24"/>
          <w:u w:val="single"/>
        </w:rPr>
        <w:t>20</w:t>
      </w:r>
    </w:p>
    <w:p w14:paraId="093198D1" w14:textId="77777777" w:rsidR="009E06ED" w:rsidRPr="00075148" w:rsidRDefault="009E06ED" w:rsidP="00B04820">
      <w:pPr>
        <w:pStyle w:val="Ttulo1a"/>
        <w:ind w:left="567"/>
        <w:rPr>
          <w:rFonts w:ascii="Cambria" w:hAnsi="Cambria"/>
          <w:sz w:val="24"/>
          <w:szCs w:val="24"/>
        </w:rPr>
      </w:pPr>
    </w:p>
    <w:tbl>
      <w:tblPr>
        <w:tblpPr w:leftFromText="141" w:rightFromText="141" w:vertAnchor="text" w:horzAnchor="margin" w:tblpXSpec="center" w:tblpY="110"/>
        <w:tblOverlap w:val="never"/>
        <w:tblW w:w="7381" w:type="dxa"/>
        <w:tblLayout w:type="fixed"/>
        <w:tblCellMar>
          <w:left w:w="70" w:type="dxa"/>
          <w:right w:w="70" w:type="dxa"/>
        </w:tblCellMar>
        <w:tblLook w:val="0000" w:firstRow="0" w:lastRow="0" w:firstColumn="0" w:lastColumn="0" w:noHBand="0" w:noVBand="0"/>
      </w:tblPr>
      <w:tblGrid>
        <w:gridCol w:w="3156"/>
        <w:gridCol w:w="845"/>
        <w:gridCol w:w="845"/>
        <w:gridCol w:w="845"/>
        <w:gridCol w:w="845"/>
        <w:gridCol w:w="845"/>
      </w:tblGrid>
      <w:tr w:rsidR="00075148" w:rsidRPr="00075148" w14:paraId="4CF4A977" w14:textId="77777777" w:rsidTr="00075148">
        <w:trPr>
          <w:trHeight w:val="315"/>
        </w:trPr>
        <w:tc>
          <w:tcPr>
            <w:tcW w:w="3156" w:type="dxa"/>
            <w:tcBorders>
              <w:bottom w:val="single" w:sz="4" w:space="0" w:color="auto"/>
              <w:right w:val="single" w:sz="4" w:space="0" w:color="auto"/>
            </w:tcBorders>
            <w:shd w:val="clear" w:color="auto" w:fill="auto"/>
            <w:noWrap/>
            <w:vAlign w:val="bottom"/>
          </w:tcPr>
          <w:p w14:paraId="0623745E" w14:textId="77777777" w:rsidR="00075148" w:rsidRPr="00075148" w:rsidRDefault="00075148" w:rsidP="00075148">
            <w:pPr>
              <w:jc w:val="left"/>
              <w:rPr>
                <w:rFonts w:ascii="Cambria" w:hAnsi="Cambria"/>
                <w:sz w:val="20"/>
                <w:lang w:val="es-ES"/>
              </w:rPr>
            </w:pPr>
          </w:p>
          <w:p w14:paraId="1933F4D2" w14:textId="77777777" w:rsidR="00075148" w:rsidRPr="00075148" w:rsidRDefault="00075148" w:rsidP="00075148">
            <w:pPr>
              <w:jc w:val="left"/>
              <w:rPr>
                <w:rFonts w:ascii="Cambria" w:hAnsi="Cambria"/>
                <w:sz w:val="20"/>
                <w:lang w:val="es-ES"/>
              </w:rPr>
            </w:pPr>
          </w:p>
        </w:tc>
        <w:tc>
          <w:tcPr>
            <w:tcW w:w="845" w:type="dxa"/>
            <w:tcBorders>
              <w:top w:val="single" w:sz="4" w:space="0" w:color="auto"/>
              <w:left w:val="single" w:sz="4" w:space="0" w:color="auto"/>
              <w:bottom w:val="single" w:sz="4" w:space="0" w:color="auto"/>
              <w:right w:val="single" w:sz="4" w:space="0" w:color="auto"/>
            </w:tcBorders>
            <w:vAlign w:val="bottom"/>
          </w:tcPr>
          <w:p w14:paraId="3AD0F501" w14:textId="77777777" w:rsidR="00075148" w:rsidRPr="00075148" w:rsidRDefault="00075148" w:rsidP="00075148">
            <w:pPr>
              <w:jc w:val="center"/>
              <w:rPr>
                <w:rFonts w:ascii="Cambria" w:hAnsi="Cambria"/>
                <w:b/>
                <w:sz w:val="20"/>
                <w:lang w:val="es-ES"/>
              </w:rPr>
            </w:pPr>
            <w:r w:rsidRPr="00075148">
              <w:rPr>
                <w:rFonts w:ascii="Cambria" w:hAnsi="Cambria"/>
                <w:b/>
                <w:sz w:val="20"/>
                <w:lang w:val="es-ES"/>
              </w:rPr>
              <w:t>2021</w:t>
            </w:r>
          </w:p>
        </w:tc>
        <w:tc>
          <w:tcPr>
            <w:tcW w:w="845" w:type="dxa"/>
            <w:tcBorders>
              <w:top w:val="single" w:sz="4" w:space="0" w:color="auto"/>
              <w:left w:val="single" w:sz="4" w:space="0" w:color="auto"/>
              <w:bottom w:val="single" w:sz="4" w:space="0" w:color="auto"/>
              <w:right w:val="single" w:sz="4" w:space="0" w:color="auto"/>
            </w:tcBorders>
          </w:tcPr>
          <w:p w14:paraId="7D53F343" w14:textId="77777777" w:rsidR="00075148" w:rsidRPr="00075148" w:rsidRDefault="00075148" w:rsidP="00075148">
            <w:pPr>
              <w:jc w:val="center"/>
              <w:rPr>
                <w:rFonts w:ascii="Cambria" w:hAnsi="Cambria"/>
                <w:b/>
                <w:sz w:val="20"/>
                <w:lang w:val="es-ES"/>
              </w:rPr>
            </w:pPr>
          </w:p>
          <w:p w14:paraId="18A8519F" w14:textId="77777777" w:rsidR="00075148" w:rsidRPr="00075148" w:rsidRDefault="00075148" w:rsidP="00075148">
            <w:pPr>
              <w:jc w:val="center"/>
              <w:rPr>
                <w:rFonts w:ascii="Cambria" w:hAnsi="Cambria"/>
                <w:b/>
                <w:sz w:val="20"/>
                <w:lang w:val="es-ES"/>
              </w:rPr>
            </w:pPr>
            <w:r w:rsidRPr="00075148">
              <w:rPr>
                <w:rFonts w:ascii="Cambria" w:hAnsi="Cambria"/>
                <w:b/>
                <w:sz w:val="20"/>
                <w:lang w:val="es-ES"/>
              </w:rPr>
              <w:t>2022</w:t>
            </w:r>
          </w:p>
        </w:tc>
        <w:tc>
          <w:tcPr>
            <w:tcW w:w="845" w:type="dxa"/>
            <w:tcBorders>
              <w:top w:val="single" w:sz="4" w:space="0" w:color="auto"/>
              <w:left w:val="single" w:sz="4" w:space="0" w:color="auto"/>
              <w:bottom w:val="single" w:sz="4" w:space="0" w:color="auto"/>
              <w:right w:val="single" w:sz="4" w:space="0" w:color="auto"/>
            </w:tcBorders>
          </w:tcPr>
          <w:p w14:paraId="0C4FF30B" w14:textId="77777777" w:rsidR="00075148" w:rsidRPr="00075148" w:rsidRDefault="00075148" w:rsidP="00075148">
            <w:pPr>
              <w:jc w:val="center"/>
              <w:rPr>
                <w:rFonts w:ascii="Cambria" w:hAnsi="Cambria"/>
                <w:b/>
                <w:sz w:val="20"/>
                <w:lang w:val="es-ES"/>
              </w:rPr>
            </w:pPr>
          </w:p>
          <w:p w14:paraId="722B9BE6" w14:textId="77777777" w:rsidR="00075148" w:rsidRPr="00075148" w:rsidRDefault="00075148" w:rsidP="00075148">
            <w:pPr>
              <w:jc w:val="center"/>
              <w:rPr>
                <w:rFonts w:ascii="Cambria" w:hAnsi="Cambria"/>
                <w:b/>
                <w:sz w:val="20"/>
                <w:lang w:val="es-ES"/>
              </w:rPr>
            </w:pPr>
            <w:r w:rsidRPr="00075148">
              <w:rPr>
                <w:rFonts w:ascii="Cambria" w:hAnsi="Cambria"/>
                <w:b/>
                <w:sz w:val="20"/>
                <w:lang w:val="es-ES"/>
              </w:rPr>
              <w:t>2023</w:t>
            </w:r>
          </w:p>
        </w:tc>
        <w:tc>
          <w:tcPr>
            <w:tcW w:w="845" w:type="dxa"/>
            <w:tcBorders>
              <w:top w:val="single" w:sz="4" w:space="0" w:color="auto"/>
              <w:left w:val="single" w:sz="4" w:space="0" w:color="auto"/>
              <w:bottom w:val="single" w:sz="4" w:space="0" w:color="auto"/>
              <w:right w:val="single" w:sz="4" w:space="0" w:color="auto"/>
            </w:tcBorders>
          </w:tcPr>
          <w:p w14:paraId="25D6E473" w14:textId="77777777" w:rsidR="00075148" w:rsidRPr="00075148" w:rsidRDefault="00075148" w:rsidP="00075148">
            <w:pPr>
              <w:jc w:val="center"/>
              <w:rPr>
                <w:rFonts w:ascii="Cambria" w:hAnsi="Cambria"/>
                <w:b/>
                <w:sz w:val="20"/>
                <w:lang w:val="es-ES"/>
              </w:rPr>
            </w:pPr>
          </w:p>
          <w:p w14:paraId="78C6D35C" w14:textId="46BD3F84" w:rsidR="00075148" w:rsidRPr="00075148" w:rsidRDefault="00075148" w:rsidP="00075148">
            <w:pPr>
              <w:jc w:val="center"/>
              <w:rPr>
                <w:rFonts w:ascii="Cambria" w:hAnsi="Cambria"/>
                <w:b/>
                <w:sz w:val="20"/>
                <w:lang w:val="es-ES"/>
              </w:rPr>
            </w:pPr>
            <w:r w:rsidRPr="00075148">
              <w:rPr>
                <w:rFonts w:ascii="Cambria" w:hAnsi="Cambria"/>
                <w:b/>
                <w:sz w:val="20"/>
                <w:lang w:val="es-ES"/>
              </w:rPr>
              <w:t>2024</w:t>
            </w:r>
          </w:p>
        </w:tc>
        <w:tc>
          <w:tcPr>
            <w:tcW w:w="845" w:type="dxa"/>
            <w:tcBorders>
              <w:top w:val="single" w:sz="4" w:space="0" w:color="auto"/>
              <w:left w:val="single" w:sz="4" w:space="0" w:color="auto"/>
              <w:bottom w:val="single" w:sz="4" w:space="0" w:color="auto"/>
              <w:right w:val="single" w:sz="4" w:space="0" w:color="auto"/>
            </w:tcBorders>
          </w:tcPr>
          <w:p w14:paraId="0E08BB85" w14:textId="791D6C0B" w:rsidR="00075148" w:rsidRPr="00075148" w:rsidRDefault="00075148" w:rsidP="00075148">
            <w:pPr>
              <w:jc w:val="center"/>
              <w:rPr>
                <w:rFonts w:ascii="Cambria" w:hAnsi="Cambria"/>
                <w:b/>
                <w:sz w:val="20"/>
                <w:lang w:val="es-ES"/>
              </w:rPr>
            </w:pPr>
          </w:p>
          <w:p w14:paraId="000EA5A0" w14:textId="77777777" w:rsidR="00075148" w:rsidRPr="00075148" w:rsidRDefault="00075148" w:rsidP="00075148">
            <w:pPr>
              <w:jc w:val="center"/>
              <w:rPr>
                <w:rFonts w:ascii="Cambria" w:hAnsi="Cambria"/>
                <w:b/>
                <w:sz w:val="20"/>
                <w:lang w:val="es-ES"/>
              </w:rPr>
            </w:pPr>
            <w:r w:rsidRPr="00075148">
              <w:rPr>
                <w:rFonts w:ascii="Cambria" w:hAnsi="Cambria"/>
                <w:b/>
                <w:sz w:val="20"/>
                <w:lang w:val="es-ES"/>
              </w:rPr>
              <w:t>Total</w:t>
            </w:r>
          </w:p>
        </w:tc>
      </w:tr>
      <w:tr w:rsidR="00075148" w:rsidRPr="00075148" w14:paraId="2BB76C26" w14:textId="77777777" w:rsidTr="00075148">
        <w:trPr>
          <w:trHeight w:val="315"/>
        </w:trPr>
        <w:tc>
          <w:tcPr>
            <w:tcW w:w="3156" w:type="dxa"/>
            <w:tcBorders>
              <w:left w:val="single" w:sz="4" w:space="0" w:color="auto"/>
              <w:bottom w:val="single" w:sz="4" w:space="0" w:color="auto"/>
              <w:right w:val="single" w:sz="4" w:space="0" w:color="auto"/>
            </w:tcBorders>
            <w:shd w:val="clear" w:color="auto" w:fill="auto"/>
            <w:noWrap/>
            <w:vAlign w:val="bottom"/>
          </w:tcPr>
          <w:p w14:paraId="611618DD" w14:textId="77777777" w:rsidR="00075148" w:rsidRPr="00075148" w:rsidRDefault="00075148" w:rsidP="00075148">
            <w:pPr>
              <w:jc w:val="left"/>
              <w:rPr>
                <w:rFonts w:ascii="Cambria" w:hAnsi="Cambria"/>
                <w:sz w:val="20"/>
                <w:lang w:val="es-ES"/>
              </w:rPr>
            </w:pPr>
            <w:r w:rsidRPr="00075148">
              <w:rPr>
                <w:rFonts w:ascii="Cambria" w:hAnsi="Cambria"/>
                <w:sz w:val="20"/>
                <w:lang w:val="es-ES"/>
              </w:rPr>
              <w:t>Babcock Montajes, S.A.</w:t>
            </w:r>
          </w:p>
        </w:tc>
        <w:tc>
          <w:tcPr>
            <w:tcW w:w="845" w:type="dxa"/>
            <w:tcBorders>
              <w:left w:val="single" w:sz="4" w:space="0" w:color="auto"/>
              <w:bottom w:val="single" w:sz="4" w:space="0" w:color="auto"/>
              <w:right w:val="single" w:sz="4" w:space="0" w:color="auto"/>
            </w:tcBorders>
            <w:vAlign w:val="bottom"/>
          </w:tcPr>
          <w:p w14:paraId="440F3A79" w14:textId="77777777" w:rsidR="00075148" w:rsidRPr="00075148" w:rsidRDefault="00075148" w:rsidP="00075148">
            <w:pPr>
              <w:jc w:val="right"/>
              <w:rPr>
                <w:rFonts w:ascii="Cambria" w:hAnsi="Cambria"/>
                <w:sz w:val="20"/>
                <w:lang w:val="es-ES"/>
              </w:rPr>
            </w:pPr>
            <w:r w:rsidRPr="00075148">
              <w:rPr>
                <w:rFonts w:ascii="Cambria" w:hAnsi="Cambria"/>
                <w:sz w:val="20"/>
                <w:lang w:val="es-ES"/>
              </w:rPr>
              <w:t>968</w:t>
            </w:r>
          </w:p>
        </w:tc>
        <w:tc>
          <w:tcPr>
            <w:tcW w:w="845" w:type="dxa"/>
            <w:tcBorders>
              <w:left w:val="single" w:sz="4" w:space="0" w:color="auto"/>
              <w:bottom w:val="single" w:sz="4" w:space="0" w:color="auto"/>
              <w:right w:val="single" w:sz="4" w:space="0" w:color="auto"/>
            </w:tcBorders>
          </w:tcPr>
          <w:p w14:paraId="05AE7786" w14:textId="77777777" w:rsidR="00075148" w:rsidRPr="00075148" w:rsidRDefault="00075148" w:rsidP="00075148">
            <w:pPr>
              <w:jc w:val="right"/>
              <w:rPr>
                <w:rFonts w:ascii="Cambria" w:hAnsi="Cambria"/>
                <w:sz w:val="20"/>
                <w:lang w:val="es-ES"/>
              </w:rPr>
            </w:pPr>
          </w:p>
          <w:p w14:paraId="0124CBEB" w14:textId="42FD2CDA" w:rsidR="00075148" w:rsidRPr="00075148" w:rsidRDefault="00075148" w:rsidP="00075148">
            <w:pPr>
              <w:jc w:val="right"/>
              <w:rPr>
                <w:rFonts w:ascii="Cambria" w:hAnsi="Cambria"/>
                <w:sz w:val="20"/>
                <w:lang w:val="es-ES"/>
              </w:rPr>
            </w:pPr>
            <w:r w:rsidRPr="00075148">
              <w:rPr>
                <w:rFonts w:ascii="Cambria" w:hAnsi="Cambria"/>
                <w:sz w:val="20"/>
                <w:lang w:val="es-ES"/>
              </w:rPr>
              <w:t>850</w:t>
            </w:r>
          </w:p>
        </w:tc>
        <w:tc>
          <w:tcPr>
            <w:tcW w:w="845" w:type="dxa"/>
            <w:tcBorders>
              <w:left w:val="single" w:sz="4" w:space="0" w:color="auto"/>
              <w:bottom w:val="single" w:sz="4" w:space="0" w:color="auto"/>
              <w:right w:val="single" w:sz="4" w:space="0" w:color="auto"/>
            </w:tcBorders>
          </w:tcPr>
          <w:p w14:paraId="7BAF98D6" w14:textId="77777777" w:rsidR="00075148" w:rsidRPr="00075148" w:rsidRDefault="00075148" w:rsidP="00075148">
            <w:pPr>
              <w:jc w:val="right"/>
              <w:rPr>
                <w:rFonts w:ascii="Cambria" w:hAnsi="Cambria"/>
                <w:sz w:val="20"/>
                <w:lang w:val="es-ES"/>
              </w:rPr>
            </w:pPr>
          </w:p>
          <w:p w14:paraId="1A8738DD" w14:textId="29169E83" w:rsidR="00075148" w:rsidRPr="00075148" w:rsidRDefault="00075148" w:rsidP="00075148">
            <w:pPr>
              <w:jc w:val="right"/>
              <w:rPr>
                <w:rFonts w:ascii="Cambria" w:hAnsi="Cambria"/>
                <w:sz w:val="20"/>
                <w:lang w:val="es-ES"/>
              </w:rPr>
            </w:pPr>
            <w:r w:rsidRPr="00075148">
              <w:rPr>
                <w:rFonts w:ascii="Cambria" w:hAnsi="Cambria"/>
                <w:sz w:val="20"/>
                <w:lang w:val="es-ES"/>
              </w:rPr>
              <w:t>1.270</w:t>
            </w:r>
          </w:p>
        </w:tc>
        <w:tc>
          <w:tcPr>
            <w:tcW w:w="845" w:type="dxa"/>
            <w:tcBorders>
              <w:left w:val="single" w:sz="4" w:space="0" w:color="auto"/>
              <w:bottom w:val="single" w:sz="4" w:space="0" w:color="auto"/>
              <w:right w:val="single" w:sz="4" w:space="0" w:color="auto"/>
            </w:tcBorders>
          </w:tcPr>
          <w:p w14:paraId="61E17F3A" w14:textId="77777777" w:rsidR="00075148" w:rsidRPr="00075148" w:rsidRDefault="00075148" w:rsidP="00075148">
            <w:pPr>
              <w:jc w:val="right"/>
              <w:rPr>
                <w:rFonts w:ascii="Cambria" w:hAnsi="Cambria"/>
                <w:b/>
                <w:sz w:val="20"/>
                <w:lang w:val="es-ES"/>
              </w:rPr>
            </w:pPr>
          </w:p>
          <w:p w14:paraId="7795C782" w14:textId="0B523C90" w:rsidR="00075148" w:rsidRPr="00C03DF3" w:rsidRDefault="00075148" w:rsidP="00075148">
            <w:pPr>
              <w:jc w:val="right"/>
              <w:rPr>
                <w:rFonts w:ascii="Cambria" w:hAnsi="Cambria"/>
                <w:bCs/>
                <w:sz w:val="20"/>
                <w:lang w:val="es-ES"/>
              </w:rPr>
            </w:pPr>
            <w:r w:rsidRPr="00C03DF3">
              <w:rPr>
                <w:rFonts w:ascii="Cambria" w:hAnsi="Cambria"/>
                <w:bCs/>
                <w:sz w:val="20"/>
                <w:lang w:val="es-ES"/>
              </w:rPr>
              <w:t>198</w:t>
            </w:r>
          </w:p>
        </w:tc>
        <w:tc>
          <w:tcPr>
            <w:tcW w:w="845" w:type="dxa"/>
            <w:tcBorders>
              <w:left w:val="single" w:sz="4" w:space="0" w:color="auto"/>
              <w:bottom w:val="single" w:sz="4" w:space="0" w:color="auto"/>
              <w:right w:val="single" w:sz="4" w:space="0" w:color="auto"/>
            </w:tcBorders>
          </w:tcPr>
          <w:p w14:paraId="509D43AF" w14:textId="7EA769E1" w:rsidR="00075148" w:rsidRPr="00075148" w:rsidRDefault="00075148" w:rsidP="00075148">
            <w:pPr>
              <w:jc w:val="right"/>
              <w:rPr>
                <w:rFonts w:ascii="Cambria" w:hAnsi="Cambria"/>
                <w:b/>
                <w:sz w:val="20"/>
                <w:lang w:val="es-ES"/>
              </w:rPr>
            </w:pPr>
          </w:p>
          <w:p w14:paraId="3C3A82C4" w14:textId="3DB0F081" w:rsidR="00075148" w:rsidRPr="00075148" w:rsidRDefault="00C03DF3" w:rsidP="00075148">
            <w:pPr>
              <w:jc w:val="right"/>
              <w:rPr>
                <w:rFonts w:ascii="Cambria" w:hAnsi="Cambria"/>
                <w:b/>
                <w:sz w:val="20"/>
                <w:lang w:val="es-ES"/>
              </w:rPr>
            </w:pPr>
            <w:r>
              <w:rPr>
                <w:rFonts w:ascii="Cambria" w:hAnsi="Cambria"/>
                <w:b/>
                <w:sz w:val="20"/>
                <w:lang w:val="es-ES"/>
              </w:rPr>
              <w:t>3.286</w:t>
            </w:r>
          </w:p>
        </w:tc>
      </w:tr>
    </w:tbl>
    <w:p w14:paraId="591C9A44" w14:textId="7DCE5A1A" w:rsidR="00215F56" w:rsidRPr="00075148" w:rsidRDefault="00215F56" w:rsidP="00380156">
      <w:pPr>
        <w:pStyle w:val="Ttulo1a"/>
        <w:ind w:left="567"/>
        <w:rPr>
          <w:rFonts w:ascii="Cambria" w:hAnsi="Cambria"/>
          <w:b/>
          <w:sz w:val="24"/>
          <w:szCs w:val="24"/>
          <w:u w:val="single"/>
        </w:rPr>
      </w:pPr>
    </w:p>
    <w:p w14:paraId="1761CE3C" w14:textId="31E21138" w:rsidR="00236671" w:rsidRDefault="00236671">
      <w:pPr>
        <w:keepLines w:val="0"/>
        <w:widowControl/>
        <w:jc w:val="left"/>
        <w:rPr>
          <w:highlight w:val="yellow"/>
        </w:rPr>
      </w:pPr>
      <w:r>
        <w:rPr>
          <w:highlight w:val="yellow"/>
        </w:rPr>
        <w:br w:type="page"/>
      </w:r>
    </w:p>
    <w:p w14:paraId="48BB5228" w14:textId="77777777" w:rsidR="00380156" w:rsidRPr="00380156" w:rsidRDefault="00380156" w:rsidP="00380156">
      <w:pPr>
        <w:rPr>
          <w:highlight w:val="yellow"/>
        </w:rPr>
      </w:pPr>
    </w:p>
    <w:p w14:paraId="09B251FB" w14:textId="77777777" w:rsidR="00030BB9" w:rsidRPr="00FD00B0" w:rsidRDefault="00030BB9" w:rsidP="00030BB9">
      <w:pPr>
        <w:ind w:left="567"/>
        <w:rPr>
          <w:rFonts w:ascii="Cambria" w:hAnsi="Cambria"/>
          <w:b/>
          <w:sz w:val="24"/>
          <w:szCs w:val="24"/>
          <w:u w:val="single"/>
        </w:rPr>
      </w:pPr>
      <w:r w:rsidRPr="00FD00B0">
        <w:rPr>
          <w:rFonts w:ascii="Cambria" w:hAnsi="Cambria"/>
          <w:b/>
          <w:sz w:val="24"/>
          <w:szCs w:val="24"/>
          <w:u w:val="single"/>
        </w:rPr>
        <w:t>Ejercicio 2019</w:t>
      </w:r>
    </w:p>
    <w:p w14:paraId="18FFC707" w14:textId="77777777" w:rsidR="00030BB9" w:rsidRPr="00C00FC8" w:rsidRDefault="00030BB9" w:rsidP="00030BB9">
      <w:pPr>
        <w:pStyle w:val="Ttulo1a"/>
        <w:ind w:left="567"/>
        <w:rPr>
          <w:rFonts w:ascii="Cambria" w:hAnsi="Cambria"/>
          <w:sz w:val="24"/>
          <w:szCs w:val="24"/>
          <w:highlight w:val="yellow"/>
        </w:rPr>
      </w:pPr>
    </w:p>
    <w:tbl>
      <w:tblPr>
        <w:tblpPr w:leftFromText="141" w:rightFromText="141" w:vertAnchor="text" w:horzAnchor="margin" w:tblpXSpec="center" w:tblpY="110"/>
        <w:tblOverlap w:val="never"/>
        <w:tblW w:w="7382" w:type="dxa"/>
        <w:tblLayout w:type="fixed"/>
        <w:tblCellMar>
          <w:left w:w="70" w:type="dxa"/>
          <w:right w:w="70" w:type="dxa"/>
        </w:tblCellMar>
        <w:tblLook w:val="0000" w:firstRow="0" w:lastRow="0" w:firstColumn="0" w:lastColumn="0" w:noHBand="0" w:noVBand="0"/>
      </w:tblPr>
      <w:tblGrid>
        <w:gridCol w:w="3156"/>
        <w:gridCol w:w="846"/>
        <w:gridCol w:w="845"/>
        <w:gridCol w:w="845"/>
        <w:gridCol w:w="845"/>
        <w:gridCol w:w="845"/>
      </w:tblGrid>
      <w:tr w:rsidR="00030BB9" w:rsidRPr="001C0FDE" w14:paraId="6F809983" w14:textId="77777777" w:rsidTr="00C1202E">
        <w:trPr>
          <w:trHeight w:val="315"/>
        </w:trPr>
        <w:tc>
          <w:tcPr>
            <w:tcW w:w="3156" w:type="dxa"/>
            <w:tcBorders>
              <w:bottom w:val="single" w:sz="4" w:space="0" w:color="auto"/>
              <w:right w:val="single" w:sz="4" w:space="0" w:color="auto"/>
            </w:tcBorders>
            <w:shd w:val="clear" w:color="auto" w:fill="auto"/>
            <w:noWrap/>
            <w:vAlign w:val="bottom"/>
          </w:tcPr>
          <w:p w14:paraId="27831DE7" w14:textId="77777777" w:rsidR="00030BB9" w:rsidRPr="00FD00B0" w:rsidRDefault="00030BB9" w:rsidP="00C1202E">
            <w:pPr>
              <w:jc w:val="left"/>
              <w:rPr>
                <w:rFonts w:ascii="Cambria" w:hAnsi="Cambria"/>
                <w:sz w:val="20"/>
                <w:lang w:val="es-ES"/>
              </w:rPr>
            </w:pPr>
          </w:p>
          <w:p w14:paraId="6C1EEFE5" w14:textId="77777777" w:rsidR="00030BB9" w:rsidRPr="00FD00B0" w:rsidRDefault="00030BB9" w:rsidP="00C1202E">
            <w:pPr>
              <w:jc w:val="left"/>
              <w:rPr>
                <w:rFonts w:ascii="Cambria" w:hAnsi="Cambria"/>
                <w:sz w:val="20"/>
                <w:lang w:val="es-ES"/>
              </w:rPr>
            </w:pPr>
          </w:p>
        </w:tc>
        <w:tc>
          <w:tcPr>
            <w:tcW w:w="846" w:type="dxa"/>
            <w:tcBorders>
              <w:top w:val="single" w:sz="4" w:space="0" w:color="auto"/>
              <w:left w:val="single" w:sz="4" w:space="0" w:color="auto"/>
              <w:bottom w:val="single" w:sz="4" w:space="0" w:color="auto"/>
              <w:right w:val="single" w:sz="4" w:space="0" w:color="auto"/>
            </w:tcBorders>
            <w:vAlign w:val="bottom"/>
          </w:tcPr>
          <w:p w14:paraId="79E6213E" w14:textId="77777777" w:rsidR="00030BB9" w:rsidRPr="00FD00B0" w:rsidRDefault="00030BB9" w:rsidP="00C1202E">
            <w:pPr>
              <w:jc w:val="center"/>
              <w:rPr>
                <w:rFonts w:ascii="Cambria" w:hAnsi="Cambria"/>
                <w:sz w:val="20"/>
                <w:lang w:val="es-ES"/>
              </w:rPr>
            </w:pPr>
            <w:r w:rsidRPr="00FD00B0">
              <w:rPr>
                <w:rFonts w:ascii="Cambria" w:hAnsi="Cambria"/>
                <w:b/>
                <w:sz w:val="20"/>
                <w:lang w:val="es-ES"/>
              </w:rPr>
              <w:t>2020</w:t>
            </w:r>
          </w:p>
        </w:tc>
        <w:tc>
          <w:tcPr>
            <w:tcW w:w="845" w:type="dxa"/>
            <w:tcBorders>
              <w:top w:val="single" w:sz="4" w:space="0" w:color="auto"/>
              <w:left w:val="single" w:sz="4" w:space="0" w:color="auto"/>
              <w:bottom w:val="single" w:sz="4" w:space="0" w:color="auto"/>
              <w:right w:val="single" w:sz="4" w:space="0" w:color="auto"/>
            </w:tcBorders>
            <w:vAlign w:val="bottom"/>
          </w:tcPr>
          <w:p w14:paraId="0C964DE0" w14:textId="77777777" w:rsidR="00030BB9" w:rsidRPr="00FD00B0" w:rsidRDefault="00030BB9" w:rsidP="00C1202E">
            <w:pPr>
              <w:jc w:val="center"/>
              <w:rPr>
                <w:rFonts w:ascii="Cambria" w:hAnsi="Cambria"/>
                <w:b/>
                <w:sz w:val="20"/>
                <w:lang w:val="es-ES"/>
              </w:rPr>
            </w:pPr>
            <w:r w:rsidRPr="00FD00B0">
              <w:rPr>
                <w:rFonts w:ascii="Cambria" w:hAnsi="Cambria"/>
                <w:b/>
                <w:sz w:val="20"/>
                <w:lang w:val="es-ES"/>
              </w:rPr>
              <w:t>2021</w:t>
            </w:r>
          </w:p>
        </w:tc>
        <w:tc>
          <w:tcPr>
            <w:tcW w:w="845" w:type="dxa"/>
            <w:tcBorders>
              <w:top w:val="single" w:sz="4" w:space="0" w:color="auto"/>
              <w:left w:val="single" w:sz="4" w:space="0" w:color="auto"/>
              <w:bottom w:val="single" w:sz="4" w:space="0" w:color="auto"/>
              <w:right w:val="single" w:sz="4" w:space="0" w:color="auto"/>
            </w:tcBorders>
          </w:tcPr>
          <w:p w14:paraId="7D3631B5" w14:textId="77777777" w:rsidR="00030BB9" w:rsidRPr="00FD00B0" w:rsidRDefault="00030BB9" w:rsidP="00C1202E">
            <w:pPr>
              <w:jc w:val="center"/>
              <w:rPr>
                <w:rFonts w:ascii="Cambria" w:hAnsi="Cambria"/>
                <w:b/>
                <w:sz w:val="20"/>
                <w:lang w:val="es-ES"/>
              </w:rPr>
            </w:pPr>
          </w:p>
          <w:p w14:paraId="231DFAD2" w14:textId="77777777" w:rsidR="00030BB9" w:rsidRPr="00FD00B0" w:rsidRDefault="00030BB9" w:rsidP="00C1202E">
            <w:pPr>
              <w:jc w:val="center"/>
              <w:rPr>
                <w:rFonts w:ascii="Cambria" w:hAnsi="Cambria"/>
                <w:b/>
                <w:sz w:val="20"/>
                <w:lang w:val="es-ES"/>
              </w:rPr>
            </w:pPr>
            <w:r w:rsidRPr="00FD00B0">
              <w:rPr>
                <w:rFonts w:ascii="Cambria" w:hAnsi="Cambria"/>
                <w:b/>
                <w:sz w:val="20"/>
                <w:lang w:val="es-ES"/>
              </w:rPr>
              <w:t>2022</w:t>
            </w:r>
          </w:p>
        </w:tc>
        <w:tc>
          <w:tcPr>
            <w:tcW w:w="845" w:type="dxa"/>
            <w:tcBorders>
              <w:top w:val="single" w:sz="4" w:space="0" w:color="auto"/>
              <w:left w:val="single" w:sz="4" w:space="0" w:color="auto"/>
              <w:bottom w:val="single" w:sz="4" w:space="0" w:color="auto"/>
              <w:right w:val="single" w:sz="4" w:space="0" w:color="auto"/>
            </w:tcBorders>
          </w:tcPr>
          <w:p w14:paraId="502C0CC0" w14:textId="77777777" w:rsidR="00030BB9" w:rsidRPr="00FD00B0" w:rsidRDefault="00030BB9" w:rsidP="00C1202E">
            <w:pPr>
              <w:jc w:val="center"/>
              <w:rPr>
                <w:rFonts w:ascii="Cambria" w:hAnsi="Cambria"/>
                <w:b/>
                <w:sz w:val="20"/>
                <w:lang w:val="es-ES"/>
              </w:rPr>
            </w:pPr>
          </w:p>
          <w:p w14:paraId="44F20003" w14:textId="77777777" w:rsidR="00030BB9" w:rsidRPr="00FD00B0" w:rsidRDefault="00030BB9" w:rsidP="00C1202E">
            <w:pPr>
              <w:jc w:val="center"/>
              <w:rPr>
                <w:rFonts w:ascii="Cambria" w:hAnsi="Cambria"/>
                <w:b/>
                <w:sz w:val="20"/>
                <w:lang w:val="es-ES"/>
              </w:rPr>
            </w:pPr>
            <w:r w:rsidRPr="00FD00B0">
              <w:rPr>
                <w:rFonts w:ascii="Cambria" w:hAnsi="Cambria"/>
                <w:b/>
                <w:sz w:val="20"/>
                <w:lang w:val="es-ES"/>
              </w:rPr>
              <w:t>2023</w:t>
            </w:r>
          </w:p>
        </w:tc>
        <w:tc>
          <w:tcPr>
            <w:tcW w:w="845" w:type="dxa"/>
            <w:tcBorders>
              <w:top w:val="single" w:sz="4" w:space="0" w:color="auto"/>
              <w:left w:val="single" w:sz="4" w:space="0" w:color="auto"/>
              <w:bottom w:val="single" w:sz="4" w:space="0" w:color="auto"/>
              <w:right w:val="single" w:sz="4" w:space="0" w:color="auto"/>
            </w:tcBorders>
          </w:tcPr>
          <w:p w14:paraId="12F739E6" w14:textId="77777777" w:rsidR="00030BB9" w:rsidRPr="00FD00B0" w:rsidRDefault="00030BB9" w:rsidP="00C1202E">
            <w:pPr>
              <w:jc w:val="center"/>
              <w:rPr>
                <w:rFonts w:ascii="Cambria" w:hAnsi="Cambria"/>
                <w:b/>
                <w:sz w:val="20"/>
                <w:lang w:val="es-ES"/>
              </w:rPr>
            </w:pPr>
          </w:p>
          <w:p w14:paraId="3174F8FC" w14:textId="77777777" w:rsidR="00030BB9" w:rsidRPr="00FD00B0" w:rsidRDefault="00030BB9" w:rsidP="00C1202E">
            <w:pPr>
              <w:jc w:val="center"/>
              <w:rPr>
                <w:rFonts w:ascii="Cambria" w:hAnsi="Cambria"/>
                <w:b/>
                <w:sz w:val="20"/>
                <w:lang w:val="es-ES"/>
              </w:rPr>
            </w:pPr>
            <w:r w:rsidRPr="00FD00B0">
              <w:rPr>
                <w:rFonts w:ascii="Cambria" w:hAnsi="Cambria"/>
                <w:b/>
                <w:sz w:val="20"/>
                <w:lang w:val="es-ES"/>
              </w:rPr>
              <w:t>Total</w:t>
            </w:r>
          </w:p>
        </w:tc>
      </w:tr>
      <w:tr w:rsidR="00030BB9" w:rsidRPr="001C0FDE" w14:paraId="350EE1F8" w14:textId="77777777" w:rsidTr="00C1202E">
        <w:trPr>
          <w:trHeight w:val="315"/>
        </w:trPr>
        <w:tc>
          <w:tcPr>
            <w:tcW w:w="3156" w:type="dxa"/>
            <w:tcBorders>
              <w:left w:val="single" w:sz="4" w:space="0" w:color="auto"/>
              <w:bottom w:val="single" w:sz="4" w:space="0" w:color="auto"/>
              <w:right w:val="single" w:sz="4" w:space="0" w:color="auto"/>
            </w:tcBorders>
            <w:shd w:val="clear" w:color="auto" w:fill="auto"/>
            <w:noWrap/>
            <w:vAlign w:val="bottom"/>
          </w:tcPr>
          <w:p w14:paraId="338E18BF" w14:textId="77777777" w:rsidR="00030BB9" w:rsidRPr="00FD00B0" w:rsidRDefault="00030BB9" w:rsidP="00C1202E">
            <w:pPr>
              <w:jc w:val="left"/>
              <w:rPr>
                <w:rFonts w:ascii="Cambria" w:hAnsi="Cambria"/>
                <w:sz w:val="20"/>
                <w:lang w:val="es-ES"/>
              </w:rPr>
            </w:pPr>
            <w:r w:rsidRPr="00FD00B0">
              <w:rPr>
                <w:rFonts w:ascii="Cambria" w:hAnsi="Cambria"/>
                <w:sz w:val="20"/>
                <w:lang w:val="es-ES"/>
              </w:rPr>
              <w:t>Babcock Montajes, S.A.</w:t>
            </w:r>
          </w:p>
        </w:tc>
        <w:tc>
          <w:tcPr>
            <w:tcW w:w="846" w:type="dxa"/>
            <w:tcBorders>
              <w:left w:val="single" w:sz="4" w:space="0" w:color="auto"/>
              <w:bottom w:val="single" w:sz="4" w:space="0" w:color="auto"/>
              <w:right w:val="single" w:sz="4" w:space="0" w:color="auto"/>
            </w:tcBorders>
            <w:vAlign w:val="bottom"/>
          </w:tcPr>
          <w:p w14:paraId="6D582F6D" w14:textId="77777777" w:rsidR="00030BB9" w:rsidRPr="00FD00B0" w:rsidRDefault="00030BB9" w:rsidP="00C1202E">
            <w:pPr>
              <w:jc w:val="right"/>
              <w:rPr>
                <w:rFonts w:ascii="Cambria" w:hAnsi="Cambria"/>
                <w:sz w:val="20"/>
                <w:lang w:val="es-ES"/>
              </w:rPr>
            </w:pPr>
            <w:r w:rsidRPr="00FD00B0">
              <w:rPr>
                <w:rFonts w:ascii="Cambria" w:hAnsi="Cambria"/>
                <w:sz w:val="20"/>
                <w:lang w:val="es-ES"/>
              </w:rPr>
              <w:t>1.700</w:t>
            </w:r>
          </w:p>
        </w:tc>
        <w:tc>
          <w:tcPr>
            <w:tcW w:w="845" w:type="dxa"/>
            <w:tcBorders>
              <w:left w:val="single" w:sz="4" w:space="0" w:color="auto"/>
              <w:bottom w:val="single" w:sz="4" w:space="0" w:color="auto"/>
              <w:right w:val="single" w:sz="4" w:space="0" w:color="auto"/>
            </w:tcBorders>
            <w:vAlign w:val="bottom"/>
          </w:tcPr>
          <w:p w14:paraId="6B2052D8" w14:textId="77777777" w:rsidR="00030BB9" w:rsidRPr="00FD00B0" w:rsidRDefault="00030BB9" w:rsidP="00C1202E">
            <w:pPr>
              <w:jc w:val="right"/>
              <w:rPr>
                <w:rFonts w:ascii="Cambria" w:hAnsi="Cambria"/>
                <w:sz w:val="20"/>
                <w:lang w:val="es-ES"/>
              </w:rPr>
            </w:pPr>
            <w:r w:rsidRPr="00FD00B0">
              <w:rPr>
                <w:rFonts w:ascii="Cambria" w:hAnsi="Cambria"/>
                <w:sz w:val="20"/>
                <w:lang w:val="es-ES"/>
              </w:rPr>
              <w:t>968</w:t>
            </w:r>
          </w:p>
        </w:tc>
        <w:tc>
          <w:tcPr>
            <w:tcW w:w="845" w:type="dxa"/>
            <w:tcBorders>
              <w:left w:val="single" w:sz="4" w:space="0" w:color="auto"/>
              <w:bottom w:val="single" w:sz="4" w:space="0" w:color="auto"/>
              <w:right w:val="single" w:sz="4" w:space="0" w:color="auto"/>
            </w:tcBorders>
          </w:tcPr>
          <w:p w14:paraId="52171830" w14:textId="77777777" w:rsidR="00030BB9" w:rsidRPr="00FD00B0" w:rsidRDefault="00030BB9" w:rsidP="00C1202E">
            <w:pPr>
              <w:jc w:val="right"/>
              <w:rPr>
                <w:rFonts w:ascii="Cambria" w:hAnsi="Cambria"/>
                <w:sz w:val="20"/>
                <w:lang w:val="es-ES"/>
              </w:rPr>
            </w:pPr>
          </w:p>
          <w:p w14:paraId="5B07BCAE" w14:textId="77777777" w:rsidR="00030BB9" w:rsidRPr="00FD00B0" w:rsidRDefault="00030BB9" w:rsidP="00C1202E">
            <w:pPr>
              <w:jc w:val="right"/>
              <w:rPr>
                <w:rFonts w:ascii="Cambria" w:hAnsi="Cambria"/>
                <w:sz w:val="20"/>
                <w:lang w:val="es-ES"/>
              </w:rPr>
            </w:pPr>
            <w:r w:rsidRPr="00FD00B0">
              <w:rPr>
                <w:rFonts w:ascii="Cambria" w:hAnsi="Cambria"/>
                <w:sz w:val="20"/>
                <w:lang w:val="es-ES"/>
              </w:rPr>
              <w:t>585</w:t>
            </w:r>
          </w:p>
        </w:tc>
        <w:tc>
          <w:tcPr>
            <w:tcW w:w="845" w:type="dxa"/>
            <w:tcBorders>
              <w:left w:val="single" w:sz="4" w:space="0" w:color="auto"/>
              <w:bottom w:val="single" w:sz="4" w:space="0" w:color="auto"/>
              <w:right w:val="single" w:sz="4" w:space="0" w:color="auto"/>
            </w:tcBorders>
          </w:tcPr>
          <w:p w14:paraId="52DE57D8" w14:textId="77777777" w:rsidR="00030BB9" w:rsidRPr="00FD00B0" w:rsidRDefault="00030BB9" w:rsidP="00C1202E">
            <w:pPr>
              <w:jc w:val="right"/>
              <w:rPr>
                <w:rFonts w:ascii="Cambria" w:hAnsi="Cambria"/>
                <w:sz w:val="20"/>
                <w:lang w:val="es-ES"/>
              </w:rPr>
            </w:pPr>
          </w:p>
          <w:p w14:paraId="36DCE43E" w14:textId="77777777" w:rsidR="00030BB9" w:rsidRPr="00FD00B0" w:rsidRDefault="00030BB9" w:rsidP="00C1202E">
            <w:pPr>
              <w:jc w:val="right"/>
              <w:rPr>
                <w:rFonts w:ascii="Cambria" w:hAnsi="Cambria"/>
                <w:sz w:val="20"/>
                <w:lang w:val="es-ES"/>
              </w:rPr>
            </w:pPr>
            <w:r w:rsidRPr="00FD00B0">
              <w:rPr>
                <w:rFonts w:ascii="Cambria" w:hAnsi="Cambria"/>
                <w:sz w:val="20"/>
                <w:lang w:val="es-ES"/>
              </w:rPr>
              <w:t>1.006</w:t>
            </w:r>
          </w:p>
        </w:tc>
        <w:tc>
          <w:tcPr>
            <w:tcW w:w="845" w:type="dxa"/>
            <w:tcBorders>
              <w:left w:val="single" w:sz="4" w:space="0" w:color="auto"/>
              <w:bottom w:val="single" w:sz="4" w:space="0" w:color="auto"/>
              <w:right w:val="single" w:sz="4" w:space="0" w:color="auto"/>
            </w:tcBorders>
          </w:tcPr>
          <w:p w14:paraId="532CF224" w14:textId="77777777" w:rsidR="00030BB9" w:rsidRPr="00FD00B0" w:rsidRDefault="00030BB9" w:rsidP="00C1202E">
            <w:pPr>
              <w:jc w:val="right"/>
              <w:rPr>
                <w:rFonts w:ascii="Cambria" w:hAnsi="Cambria"/>
                <w:b/>
                <w:sz w:val="20"/>
                <w:lang w:val="es-ES"/>
              </w:rPr>
            </w:pPr>
          </w:p>
          <w:p w14:paraId="7E524430" w14:textId="77777777" w:rsidR="00030BB9" w:rsidRPr="00FD00B0" w:rsidRDefault="00030BB9" w:rsidP="00C1202E">
            <w:pPr>
              <w:jc w:val="right"/>
              <w:rPr>
                <w:rFonts w:ascii="Cambria" w:hAnsi="Cambria"/>
                <w:b/>
                <w:sz w:val="20"/>
                <w:lang w:val="es-ES"/>
              </w:rPr>
            </w:pPr>
            <w:r w:rsidRPr="00FD00B0">
              <w:rPr>
                <w:rFonts w:ascii="Cambria" w:hAnsi="Cambria"/>
                <w:b/>
                <w:sz w:val="20"/>
                <w:lang w:val="es-ES"/>
              </w:rPr>
              <w:t>4.259</w:t>
            </w:r>
          </w:p>
        </w:tc>
      </w:tr>
      <w:bookmarkEnd w:id="7"/>
    </w:tbl>
    <w:p w14:paraId="18774CA8" w14:textId="77777777" w:rsidR="009E06ED" w:rsidRPr="00C00FC8" w:rsidRDefault="009E06ED" w:rsidP="009E06ED">
      <w:pPr>
        <w:pStyle w:val="Ttulo1a"/>
        <w:ind w:left="567"/>
        <w:rPr>
          <w:rFonts w:ascii="Cambria" w:hAnsi="Cambria"/>
          <w:sz w:val="24"/>
          <w:szCs w:val="24"/>
          <w:highlight w:val="yellow"/>
        </w:rPr>
      </w:pPr>
    </w:p>
    <w:p w14:paraId="33C48640" w14:textId="77777777" w:rsidR="00526042" w:rsidRPr="00C00FC8" w:rsidRDefault="00526042" w:rsidP="00526042">
      <w:pPr>
        <w:rPr>
          <w:highlight w:val="yellow"/>
        </w:rPr>
      </w:pPr>
    </w:p>
    <w:p w14:paraId="155F0817" w14:textId="77777777" w:rsidR="00526042" w:rsidRPr="00C00FC8" w:rsidRDefault="00526042" w:rsidP="00526042">
      <w:pPr>
        <w:rPr>
          <w:highlight w:val="yellow"/>
        </w:rPr>
      </w:pPr>
    </w:p>
    <w:p w14:paraId="79C60EBA" w14:textId="77777777" w:rsidR="00526042" w:rsidRPr="00C00FC8" w:rsidRDefault="00526042" w:rsidP="00526042">
      <w:pPr>
        <w:rPr>
          <w:highlight w:val="yellow"/>
        </w:rPr>
      </w:pPr>
    </w:p>
    <w:p w14:paraId="3E2FF480" w14:textId="77777777" w:rsidR="00526042" w:rsidRPr="00C00FC8" w:rsidRDefault="00526042" w:rsidP="00526042">
      <w:pPr>
        <w:rPr>
          <w:highlight w:val="yellow"/>
        </w:rPr>
      </w:pPr>
    </w:p>
    <w:p w14:paraId="50C3A0F3" w14:textId="35236263" w:rsidR="009E06ED" w:rsidRPr="00FD00B0" w:rsidRDefault="009E06ED" w:rsidP="009E06ED">
      <w:pPr>
        <w:pStyle w:val="Ttulo1a"/>
        <w:ind w:left="567"/>
        <w:rPr>
          <w:rFonts w:ascii="Cambria" w:hAnsi="Cambria"/>
          <w:sz w:val="24"/>
          <w:szCs w:val="24"/>
        </w:rPr>
      </w:pPr>
      <w:r w:rsidRPr="00FD00B0">
        <w:rPr>
          <w:rFonts w:ascii="Cambria" w:hAnsi="Cambria"/>
          <w:sz w:val="24"/>
          <w:szCs w:val="24"/>
        </w:rPr>
        <w:t xml:space="preserve">Por último, </w:t>
      </w:r>
      <w:r w:rsidR="00075148" w:rsidRPr="00FD00B0">
        <w:rPr>
          <w:rFonts w:ascii="Cambria" w:hAnsi="Cambria"/>
          <w:sz w:val="24"/>
          <w:szCs w:val="24"/>
        </w:rPr>
        <w:t xml:space="preserve">125 miles de euros </w:t>
      </w:r>
      <w:r w:rsidR="00075148">
        <w:rPr>
          <w:rFonts w:ascii="Cambria" w:hAnsi="Cambria"/>
          <w:sz w:val="24"/>
          <w:szCs w:val="24"/>
        </w:rPr>
        <w:t>de créditos</w:t>
      </w:r>
      <w:r w:rsidR="00651ADD" w:rsidRPr="00FD00B0">
        <w:rPr>
          <w:rFonts w:ascii="Cambria" w:hAnsi="Cambria"/>
          <w:sz w:val="24"/>
          <w:szCs w:val="24"/>
        </w:rPr>
        <w:t xml:space="preserve"> </w:t>
      </w:r>
      <w:r w:rsidR="00075148">
        <w:rPr>
          <w:rFonts w:ascii="Cambria" w:hAnsi="Cambria"/>
          <w:sz w:val="24"/>
          <w:szCs w:val="24"/>
        </w:rPr>
        <w:t xml:space="preserve">que </w:t>
      </w:r>
      <w:r w:rsidR="006B136A" w:rsidRPr="00FD00B0">
        <w:rPr>
          <w:rFonts w:ascii="Cambria" w:hAnsi="Cambria"/>
          <w:sz w:val="24"/>
          <w:szCs w:val="24"/>
        </w:rPr>
        <w:t>se encuentran registrados a corto plazo en el epígrafe de “Deudores varios”</w:t>
      </w:r>
      <w:r w:rsidR="00526042" w:rsidRPr="00FD00B0">
        <w:rPr>
          <w:rFonts w:ascii="Cambria" w:hAnsi="Cambria"/>
          <w:sz w:val="24"/>
          <w:szCs w:val="24"/>
        </w:rPr>
        <w:t xml:space="preserve"> (</w:t>
      </w:r>
      <w:r w:rsidR="00030BB9">
        <w:rPr>
          <w:rFonts w:ascii="Cambria" w:hAnsi="Cambria"/>
          <w:sz w:val="24"/>
          <w:szCs w:val="24"/>
        </w:rPr>
        <w:t>250</w:t>
      </w:r>
      <w:r w:rsidR="00526042" w:rsidRPr="00FD00B0">
        <w:rPr>
          <w:rFonts w:ascii="Cambria" w:hAnsi="Cambria"/>
          <w:sz w:val="24"/>
          <w:szCs w:val="24"/>
        </w:rPr>
        <w:t xml:space="preserve"> miles de</w:t>
      </w:r>
      <w:r w:rsidR="0071506B">
        <w:rPr>
          <w:rFonts w:ascii="Cambria" w:hAnsi="Cambria"/>
          <w:sz w:val="24"/>
          <w:szCs w:val="24"/>
        </w:rPr>
        <w:t xml:space="preserve"> euros a 31 de diciembre de 201</w:t>
      </w:r>
      <w:r w:rsidR="00030BB9">
        <w:rPr>
          <w:rFonts w:ascii="Cambria" w:hAnsi="Cambria"/>
          <w:sz w:val="24"/>
          <w:szCs w:val="24"/>
        </w:rPr>
        <w:t>9</w:t>
      </w:r>
      <w:r w:rsidR="006B136A" w:rsidRPr="00FD00B0">
        <w:rPr>
          <w:rFonts w:ascii="Cambria" w:hAnsi="Cambria"/>
          <w:sz w:val="24"/>
          <w:szCs w:val="24"/>
        </w:rPr>
        <w:t>, de los que 125 miles de euros se encuentran registrados a corto plazo en el epígrafe de “Deudores varios”</w:t>
      </w:r>
      <w:r w:rsidR="00526042" w:rsidRPr="00FD00B0">
        <w:rPr>
          <w:rFonts w:ascii="Cambria" w:hAnsi="Cambria"/>
          <w:sz w:val="24"/>
          <w:szCs w:val="24"/>
        </w:rPr>
        <w:t>)</w:t>
      </w:r>
      <w:r w:rsidRPr="00FD00B0">
        <w:rPr>
          <w:rFonts w:ascii="Cambria" w:hAnsi="Cambria"/>
          <w:sz w:val="24"/>
          <w:szCs w:val="24"/>
        </w:rPr>
        <w:t xml:space="preserve">, corresponden al importe </w:t>
      </w:r>
      <w:r w:rsidR="001428C5" w:rsidRPr="00FD00B0">
        <w:rPr>
          <w:rFonts w:ascii="Cambria" w:hAnsi="Cambria"/>
          <w:sz w:val="24"/>
          <w:szCs w:val="24"/>
        </w:rPr>
        <w:t>pendiente de cobro,</w:t>
      </w:r>
      <w:r w:rsidRPr="00FD00B0">
        <w:rPr>
          <w:rFonts w:ascii="Cambria" w:hAnsi="Cambria"/>
          <w:sz w:val="24"/>
          <w:szCs w:val="24"/>
        </w:rPr>
        <w:t xml:space="preserve"> según acuerdo firmado con una Entidad local</w:t>
      </w:r>
      <w:r w:rsidR="001428C5" w:rsidRPr="00FD00B0">
        <w:rPr>
          <w:rFonts w:ascii="Cambria" w:hAnsi="Cambria"/>
          <w:sz w:val="24"/>
          <w:szCs w:val="24"/>
        </w:rPr>
        <w:t>,</w:t>
      </w:r>
      <w:r w:rsidRPr="00FD00B0">
        <w:rPr>
          <w:rFonts w:ascii="Cambria" w:hAnsi="Cambria"/>
          <w:sz w:val="24"/>
          <w:szCs w:val="24"/>
        </w:rPr>
        <w:t xml:space="preserve"> en cumplimiento de una sentencia firme de la jurisdicción contencioso</w:t>
      </w:r>
      <w:r w:rsidR="00011201">
        <w:rPr>
          <w:rFonts w:ascii="Cambria" w:hAnsi="Cambria"/>
          <w:sz w:val="24"/>
          <w:szCs w:val="24"/>
        </w:rPr>
        <w:t xml:space="preserve"> </w:t>
      </w:r>
      <w:r w:rsidRPr="00FD00B0">
        <w:rPr>
          <w:rFonts w:ascii="Cambria" w:hAnsi="Cambria"/>
          <w:sz w:val="24"/>
          <w:szCs w:val="24"/>
        </w:rPr>
        <w:t xml:space="preserve">administrativa. Dicha sentencia </w:t>
      </w:r>
      <w:r w:rsidR="001428C5" w:rsidRPr="00FD00B0">
        <w:rPr>
          <w:rFonts w:ascii="Cambria" w:hAnsi="Cambria"/>
          <w:sz w:val="24"/>
          <w:szCs w:val="24"/>
        </w:rPr>
        <w:t xml:space="preserve">condenó </w:t>
      </w:r>
      <w:r w:rsidR="00651ADD" w:rsidRPr="00FD00B0">
        <w:rPr>
          <w:rFonts w:ascii="Cambria" w:hAnsi="Cambria"/>
          <w:sz w:val="24"/>
          <w:szCs w:val="24"/>
        </w:rPr>
        <w:t xml:space="preserve">al Ayuntamiento al pago de </w:t>
      </w:r>
      <w:r w:rsidRPr="00FD00B0">
        <w:rPr>
          <w:rFonts w:ascii="Cambria" w:hAnsi="Cambria"/>
          <w:sz w:val="24"/>
          <w:szCs w:val="24"/>
        </w:rPr>
        <w:t>642 miles de euros pactados en Convenio suscrito el 23 de diciembre de 2002, más los intereses correspondientes.</w:t>
      </w:r>
      <w:r w:rsidR="006B136A" w:rsidRPr="00FD00B0">
        <w:rPr>
          <w:rFonts w:ascii="Cambria" w:hAnsi="Cambria"/>
          <w:sz w:val="24"/>
          <w:szCs w:val="24"/>
        </w:rPr>
        <w:t xml:space="preserve"> </w:t>
      </w:r>
    </w:p>
    <w:p w14:paraId="7C026AEE" w14:textId="77777777" w:rsidR="009E06ED" w:rsidRPr="00FD00B0" w:rsidRDefault="009E06ED" w:rsidP="009E06ED">
      <w:pPr>
        <w:pStyle w:val="Ttulo1a"/>
        <w:ind w:left="567"/>
        <w:rPr>
          <w:rFonts w:ascii="Cambria" w:hAnsi="Cambria"/>
          <w:sz w:val="24"/>
          <w:szCs w:val="24"/>
        </w:rPr>
      </w:pPr>
    </w:p>
    <w:p w14:paraId="03CD38CE" w14:textId="2884AA35" w:rsidR="009E06ED" w:rsidRDefault="00651ADD" w:rsidP="009E06ED">
      <w:pPr>
        <w:pStyle w:val="Ttulo1a"/>
        <w:ind w:left="567"/>
        <w:rPr>
          <w:rFonts w:ascii="Cambria" w:hAnsi="Cambria"/>
          <w:sz w:val="24"/>
          <w:szCs w:val="24"/>
        </w:rPr>
      </w:pPr>
      <w:r w:rsidRPr="00FD00B0">
        <w:rPr>
          <w:rFonts w:ascii="Cambria" w:hAnsi="Cambria"/>
          <w:sz w:val="24"/>
          <w:szCs w:val="24"/>
        </w:rPr>
        <w:t>Así, e</w:t>
      </w:r>
      <w:r w:rsidR="009E06ED" w:rsidRPr="00FD00B0">
        <w:rPr>
          <w:rFonts w:ascii="Cambria" w:hAnsi="Cambria"/>
          <w:sz w:val="24"/>
          <w:szCs w:val="24"/>
        </w:rPr>
        <w:t>l acuerdo de ejecución de sentencia representa el pago de una cantidad total de 900 miles de euros, de los que 400 miles de euros fueron pagados el 28 de diciembre de 2017. Tal como se recoge en el acuerdo, y en el Decreto de la Alcaldía de 27 de diciembre de 2017, el importe restante</w:t>
      </w:r>
      <w:r w:rsidR="001635E5" w:rsidRPr="00FD00B0">
        <w:rPr>
          <w:rFonts w:ascii="Cambria" w:hAnsi="Cambria"/>
          <w:sz w:val="24"/>
          <w:szCs w:val="24"/>
        </w:rPr>
        <w:t xml:space="preserve">, </w:t>
      </w:r>
      <w:r w:rsidR="009E06ED" w:rsidRPr="00FD00B0">
        <w:rPr>
          <w:rFonts w:ascii="Cambria" w:hAnsi="Cambria"/>
          <w:sz w:val="24"/>
          <w:szCs w:val="24"/>
        </w:rPr>
        <w:t>500 miles de euros, ser</w:t>
      </w:r>
      <w:r w:rsidR="001635E5" w:rsidRPr="00FD00B0">
        <w:rPr>
          <w:rFonts w:ascii="Cambria" w:hAnsi="Cambria"/>
          <w:sz w:val="24"/>
          <w:szCs w:val="24"/>
        </w:rPr>
        <w:t>ía</w:t>
      </w:r>
      <w:r w:rsidR="00DE2C6C" w:rsidRPr="00FD00B0">
        <w:rPr>
          <w:rFonts w:ascii="Cambria" w:hAnsi="Cambria"/>
          <w:sz w:val="24"/>
          <w:szCs w:val="24"/>
        </w:rPr>
        <w:t xml:space="preserve"> abonado a COFIVACASA</w:t>
      </w:r>
      <w:r w:rsidR="009E06ED" w:rsidRPr="00FD00B0">
        <w:rPr>
          <w:rFonts w:ascii="Cambria" w:hAnsi="Cambria"/>
          <w:sz w:val="24"/>
          <w:szCs w:val="24"/>
        </w:rPr>
        <w:t xml:space="preserve"> en cuatro pagos anuales de 2018 </w:t>
      </w:r>
      <w:r w:rsidRPr="00FD00B0">
        <w:rPr>
          <w:rFonts w:ascii="Cambria" w:hAnsi="Cambria"/>
          <w:sz w:val="24"/>
          <w:szCs w:val="24"/>
        </w:rPr>
        <w:t>a 2021, por importe de 125 miles de euros</w:t>
      </w:r>
      <w:r w:rsidR="009E06ED" w:rsidRPr="00FD00B0">
        <w:rPr>
          <w:rFonts w:ascii="Cambria" w:hAnsi="Cambria"/>
          <w:sz w:val="24"/>
          <w:szCs w:val="24"/>
        </w:rPr>
        <w:t xml:space="preserve"> cada uno.</w:t>
      </w:r>
      <w:r w:rsidR="00930308" w:rsidRPr="00FD00B0">
        <w:rPr>
          <w:rFonts w:ascii="Cambria" w:hAnsi="Cambria"/>
          <w:sz w:val="24"/>
          <w:szCs w:val="24"/>
        </w:rPr>
        <w:t xml:space="preserve"> </w:t>
      </w:r>
      <w:r w:rsidR="001635E5" w:rsidRPr="00FD00B0">
        <w:rPr>
          <w:rFonts w:ascii="Cambria" w:hAnsi="Cambria"/>
          <w:sz w:val="24"/>
          <w:szCs w:val="24"/>
        </w:rPr>
        <w:t>Habiendo sido abonado</w:t>
      </w:r>
      <w:r w:rsidR="006713EA">
        <w:rPr>
          <w:rFonts w:ascii="Cambria" w:hAnsi="Cambria"/>
          <w:sz w:val="24"/>
          <w:szCs w:val="24"/>
        </w:rPr>
        <w:t>s por el Ayuntamiento los</w:t>
      </w:r>
      <w:r w:rsidR="001635E5" w:rsidRPr="00FD00B0">
        <w:rPr>
          <w:rFonts w:ascii="Cambria" w:hAnsi="Cambria"/>
          <w:sz w:val="24"/>
          <w:szCs w:val="24"/>
        </w:rPr>
        <w:t xml:space="preserve"> correspondiente</w:t>
      </w:r>
      <w:r w:rsidR="006713EA">
        <w:rPr>
          <w:rFonts w:ascii="Cambria" w:hAnsi="Cambria"/>
          <w:sz w:val="24"/>
          <w:szCs w:val="24"/>
        </w:rPr>
        <w:t>s</w:t>
      </w:r>
      <w:r w:rsidR="001635E5" w:rsidRPr="00FD00B0">
        <w:rPr>
          <w:rFonts w:ascii="Cambria" w:hAnsi="Cambria"/>
          <w:sz w:val="24"/>
          <w:szCs w:val="24"/>
        </w:rPr>
        <w:t xml:space="preserve"> a</w:t>
      </w:r>
      <w:r w:rsidR="006713EA">
        <w:rPr>
          <w:rFonts w:ascii="Cambria" w:hAnsi="Cambria"/>
          <w:sz w:val="24"/>
          <w:szCs w:val="24"/>
        </w:rPr>
        <w:t xml:space="preserve"> los </w:t>
      </w:r>
      <w:r w:rsidR="001635E5" w:rsidRPr="00FD00B0">
        <w:rPr>
          <w:rFonts w:ascii="Cambria" w:hAnsi="Cambria"/>
          <w:sz w:val="24"/>
          <w:szCs w:val="24"/>
        </w:rPr>
        <w:t>ejercicio</w:t>
      </w:r>
      <w:r w:rsidR="006713EA">
        <w:rPr>
          <w:rFonts w:ascii="Cambria" w:hAnsi="Cambria"/>
          <w:sz w:val="24"/>
          <w:szCs w:val="24"/>
        </w:rPr>
        <w:t xml:space="preserve">s 2018 </w:t>
      </w:r>
      <w:r w:rsidR="00C03DF3">
        <w:rPr>
          <w:rFonts w:ascii="Cambria" w:hAnsi="Cambria"/>
          <w:sz w:val="24"/>
          <w:szCs w:val="24"/>
        </w:rPr>
        <w:t>a</w:t>
      </w:r>
      <w:r w:rsidR="006713EA">
        <w:rPr>
          <w:rFonts w:ascii="Cambria" w:hAnsi="Cambria"/>
          <w:sz w:val="24"/>
          <w:szCs w:val="24"/>
        </w:rPr>
        <w:t xml:space="preserve"> </w:t>
      </w:r>
      <w:r w:rsidR="001635E5" w:rsidRPr="00FD00B0">
        <w:rPr>
          <w:rFonts w:ascii="Cambria" w:hAnsi="Cambria"/>
          <w:sz w:val="24"/>
          <w:szCs w:val="24"/>
        </w:rPr>
        <w:t xml:space="preserve"> 20</w:t>
      </w:r>
      <w:r w:rsidR="00C03DF3">
        <w:rPr>
          <w:rFonts w:ascii="Cambria" w:hAnsi="Cambria"/>
          <w:sz w:val="24"/>
          <w:szCs w:val="24"/>
        </w:rPr>
        <w:t>20</w:t>
      </w:r>
      <w:r w:rsidR="001635E5" w:rsidRPr="00FD00B0">
        <w:rPr>
          <w:rFonts w:ascii="Cambria" w:hAnsi="Cambria"/>
          <w:sz w:val="24"/>
          <w:szCs w:val="24"/>
        </w:rPr>
        <w:t>.</w:t>
      </w:r>
    </w:p>
    <w:p w14:paraId="00C315AA" w14:textId="77777777" w:rsidR="008017A2" w:rsidRPr="0070420C" w:rsidRDefault="008017A2" w:rsidP="002D6127">
      <w:pPr>
        <w:rPr>
          <w:rFonts w:ascii="Cambria" w:hAnsi="Cambria"/>
          <w:sz w:val="24"/>
          <w:szCs w:val="24"/>
        </w:rPr>
      </w:pPr>
    </w:p>
    <w:p w14:paraId="5722C577" w14:textId="77777777" w:rsidR="001635E5" w:rsidRPr="00F8465B" w:rsidRDefault="001635E5" w:rsidP="001635E5">
      <w:pPr>
        <w:pStyle w:val="Ttulo3"/>
        <w:numPr>
          <w:ilvl w:val="1"/>
          <w:numId w:val="11"/>
        </w:numPr>
        <w:tabs>
          <w:tab w:val="clear" w:pos="720"/>
          <w:tab w:val="num" w:pos="1276"/>
        </w:tabs>
        <w:ind w:left="1276" w:hanging="709"/>
        <w:rPr>
          <w:rFonts w:ascii="Cambria" w:hAnsi="Cambria"/>
          <w:b/>
          <w:sz w:val="24"/>
          <w:szCs w:val="24"/>
        </w:rPr>
      </w:pPr>
      <w:r w:rsidRPr="00F8465B">
        <w:rPr>
          <w:rFonts w:ascii="Cambria" w:hAnsi="Cambria"/>
          <w:b/>
          <w:sz w:val="24"/>
          <w:szCs w:val="24"/>
        </w:rPr>
        <w:t>Créditos –Prima Única. Aseguramiento de los compromisos laborales contraídos</w:t>
      </w:r>
    </w:p>
    <w:p w14:paraId="6BFE5499" w14:textId="77777777" w:rsidR="001635E5" w:rsidRPr="00F8465B" w:rsidRDefault="001635E5" w:rsidP="001635E5">
      <w:pPr>
        <w:autoSpaceDE w:val="0"/>
        <w:autoSpaceDN w:val="0"/>
        <w:adjustRightInd w:val="0"/>
        <w:ind w:left="426"/>
        <w:rPr>
          <w:rFonts w:ascii="Cambria" w:hAnsi="Cambria"/>
          <w:sz w:val="24"/>
          <w:szCs w:val="24"/>
        </w:rPr>
      </w:pPr>
    </w:p>
    <w:p w14:paraId="17006C3E" w14:textId="341C73C4" w:rsidR="001635E5" w:rsidRDefault="001635E5" w:rsidP="001635E5">
      <w:pPr>
        <w:pStyle w:val="Ttulo1a"/>
        <w:ind w:left="567"/>
        <w:rPr>
          <w:rFonts w:ascii="Cambria" w:hAnsi="Cambria"/>
          <w:sz w:val="24"/>
          <w:szCs w:val="24"/>
        </w:rPr>
      </w:pPr>
      <w:r w:rsidRPr="00F8465B">
        <w:rPr>
          <w:rFonts w:ascii="Cambria" w:hAnsi="Cambria"/>
          <w:sz w:val="24"/>
          <w:szCs w:val="24"/>
        </w:rPr>
        <w:t>Proceden de la S</w:t>
      </w:r>
      <w:r>
        <w:rPr>
          <w:rFonts w:ascii="Cambria" w:hAnsi="Cambria"/>
          <w:sz w:val="24"/>
          <w:szCs w:val="24"/>
        </w:rPr>
        <w:t>ociedad</w:t>
      </w:r>
      <w:r w:rsidRPr="00F8465B">
        <w:rPr>
          <w:rFonts w:ascii="Cambria" w:hAnsi="Cambria"/>
          <w:sz w:val="24"/>
          <w:szCs w:val="24"/>
        </w:rPr>
        <w:t xml:space="preserve"> </w:t>
      </w:r>
      <w:r>
        <w:rPr>
          <w:rFonts w:ascii="Cambria" w:hAnsi="Cambria"/>
          <w:sz w:val="24"/>
          <w:szCs w:val="24"/>
        </w:rPr>
        <w:t>AEC</w:t>
      </w:r>
      <w:r w:rsidR="00DE2C6C">
        <w:rPr>
          <w:rFonts w:ascii="Cambria" w:hAnsi="Cambria"/>
          <w:sz w:val="24"/>
          <w:szCs w:val="24"/>
        </w:rPr>
        <w:t>,</w:t>
      </w:r>
      <w:r>
        <w:rPr>
          <w:rFonts w:ascii="Cambria" w:hAnsi="Cambria"/>
          <w:sz w:val="24"/>
          <w:szCs w:val="24"/>
        </w:rPr>
        <w:t xml:space="preserve"> absorbida</w:t>
      </w:r>
      <w:r w:rsidRPr="00F8465B">
        <w:rPr>
          <w:rFonts w:ascii="Cambria" w:hAnsi="Cambria"/>
          <w:sz w:val="24"/>
          <w:szCs w:val="24"/>
        </w:rPr>
        <w:t xml:space="preserve"> por la matriz Cofivacasa</w:t>
      </w:r>
      <w:r w:rsidR="00DE2C6C">
        <w:rPr>
          <w:rFonts w:ascii="Cambria" w:hAnsi="Cambria"/>
          <w:sz w:val="24"/>
          <w:szCs w:val="24"/>
        </w:rPr>
        <w:t>,</w:t>
      </w:r>
      <w:r w:rsidRPr="00F8465B">
        <w:rPr>
          <w:rFonts w:ascii="Cambria" w:hAnsi="Cambria"/>
          <w:sz w:val="24"/>
          <w:szCs w:val="24"/>
        </w:rPr>
        <w:t xml:space="preserve"> y registran el capital aportado a seguros colectivos de renta vigente a 31 de diciembre </w:t>
      </w:r>
      <w:r w:rsidR="001428C5">
        <w:rPr>
          <w:rFonts w:ascii="Cambria" w:hAnsi="Cambria"/>
          <w:sz w:val="24"/>
          <w:szCs w:val="24"/>
        </w:rPr>
        <w:t xml:space="preserve">de </w:t>
      </w:r>
      <w:r w:rsidRPr="00F8465B">
        <w:rPr>
          <w:rFonts w:ascii="Cambria" w:hAnsi="Cambria"/>
          <w:sz w:val="24"/>
          <w:szCs w:val="24"/>
        </w:rPr>
        <w:t>20</w:t>
      </w:r>
      <w:r w:rsidR="00C03DF3">
        <w:rPr>
          <w:rFonts w:ascii="Cambria" w:hAnsi="Cambria"/>
          <w:sz w:val="24"/>
          <w:szCs w:val="24"/>
        </w:rPr>
        <w:t>20</w:t>
      </w:r>
      <w:r w:rsidRPr="00F8465B">
        <w:rPr>
          <w:rFonts w:ascii="Cambria" w:hAnsi="Cambria"/>
          <w:sz w:val="24"/>
          <w:szCs w:val="24"/>
        </w:rPr>
        <w:t xml:space="preserve"> y 201</w:t>
      </w:r>
      <w:r w:rsidR="00C03DF3">
        <w:rPr>
          <w:rFonts w:ascii="Cambria" w:hAnsi="Cambria"/>
          <w:sz w:val="24"/>
          <w:szCs w:val="24"/>
        </w:rPr>
        <w:t>9</w:t>
      </w:r>
      <w:r w:rsidRPr="00F8465B">
        <w:rPr>
          <w:rFonts w:ascii="Cambria" w:hAnsi="Cambria"/>
          <w:sz w:val="24"/>
          <w:szCs w:val="24"/>
        </w:rPr>
        <w:t>.</w:t>
      </w:r>
    </w:p>
    <w:p w14:paraId="06454757" w14:textId="77777777" w:rsidR="00E9519C" w:rsidRDefault="00E9519C" w:rsidP="00E9519C"/>
    <w:p w14:paraId="2ACE8CA7" w14:textId="3C24B771" w:rsidR="001635E5" w:rsidRDefault="001635E5" w:rsidP="001635E5">
      <w:pPr>
        <w:spacing w:line="276" w:lineRule="auto"/>
        <w:ind w:left="567"/>
        <w:rPr>
          <w:rFonts w:ascii="Cambria" w:hAnsi="Cambria"/>
          <w:sz w:val="24"/>
          <w:szCs w:val="24"/>
        </w:rPr>
      </w:pPr>
      <w:r w:rsidRPr="00F8465B">
        <w:rPr>
          <w:rFonts w:ascii="Cambria" w:hAnsi="Cambria"/>
          <w:sz w:val="24"/>
          <w:szCs w:val="24"/>
        </w:rPr>
        <w:t>El movimiento habido en la</w:t>
      </w:r>
      <w:r w:rsidR="00A66221">
        <w:rPr>
          <w:rFonts w:ascii="Cambria" w:hAnsi="Cambria"/>
          <w:sz w:val="24"/>
          <w:szCs w:val="24"/>
        </w:rPr>
        <w:t xml:space="preserve"> cuenta</w:t>
      </w:r>
      <w:r w:rsidRPr="00F8465B">
        <w:rPr>
          <w:rFonts w:ascii="Cambria" w:hAnsi="Cambria"/>
          <w:sz w:val="24"/>
          <w:szCs w:val="24"/>
        </w:rPr>
        <w:t xml:space="preserve"> de aseguramiento a largo plazo, durante los ejercicios 20</w:t>
      </w:r>
      <w:r w:rsidR="00C03DF3">
        <w:rPr>
          <w:rFonts w:ascii="Cambria" w:hAnsi="Cambria"/>
          <w:sz w:val="24"/>
          <w:szCs w:val="24"/>
        </w:rPr>
        <w:t>20</w:t>
      </w:r>
      <w:r w:rsidRPr="00F8465B">
        <w:rPr>
          <w:rFonts w:ascii="Cambria" w:hAnsi="Cambria"/>
          <w:sz w:val="24"/>
          <w:szCs w:val="24"/>
        </w:rPr>
        <w:t xml:space="preserve"> y 201</w:t>
      </w:r>
      <w:r w:rsidR="00C03DF3">
        <w:rPr>
          <w:rFonts w:ascii="Cambria" w:hAnsi="Cambria"/>
          <w:sz w:val="24"/>
          <w:szCs w:val="24"/>
        </w:rPr>
        <w:t>9</w:t>
      </w:r>
      <w:r w:rsidRPr="00F8465B">
        <w:rPr>
          <w:rFonts w:ascii="Cambria" w:hAnsi="Cambria"/>
          <w:sz w:val="24"/>
          <w:szCs w:val="24"/>
        </w:rPr>
        <w:t>, ha sido el siguiente en miles de euros</w:t>
      </w:r>
      <w:r>
        <w:rPr>
          <w:rFonts w:ascii="Cambria" w:hAnsi="Cambria"/>
          <w:sz w:val="24"/>
          <w:szCs w:val="24"/>
        </w:rPr>
        <w:t>:</w:t>
      </w:r>
    </w:p>
    <w:p w14:paraId="1311BAE7" w14:textId="77777777" w:rsidR="00380156" w:rsidRDefault="00380156" w:rsidP="001635E5">
      <w:pPr>
        <w:spacing w:line="276" w:lineRule="auto"/>
        <w:ind w:left="567"/>
        <w:rPr>
          <w:rFonts w:ascii="Cambria" w:hAnsi="Cambria"/>
          <w:sz w:val="24"/>
          <w:szCs w:val="24"/>
        </w:rPr>
      </w:pPr>
    </w:p>
    <w:p w14:paraId="23E721B2" w14:textId="0234B47C" w:rsidR="00930308" w:rsidRDefault="00930308" w:rsidP="00930308">
      <w:pPr>
        <w:ind w:left="567"/>
        <w:rPr>
          <w:rFonts w:ascii="Cambria" w:hAnsi="Cambria"/>
          <w:b/>
          <w:sz w:val="24"/>
          <w:szCs w:val="24"/>
          <w:u w:val="single"/>
        </w:rPr>
      </w:pPr>
      <w:r w:rsidRPr="001635E5">
        <w:rPr>
          <w:rFonts w:ascii="Cambria" w:hAnsi="Cambria"/>
          <w:b/>
          <w:sz w:val="24"/>
          <w:szCs w:val="24"/>
          <w:u w:val="single"/>
        </w:rPr>
        <w:t>Ejercicio 20</w:t>
      </w:r>
      <w:r w:rsidR="00C03DF3">
        <w:rPr>
          <w:rFonts w:ascii="Cambria" w:hAnsi="Cambria"/>
          <w:b/>
          <w:sz w:val="24"/>
          <w:szCs w:val="24"/>
          <w:u w:val="single"/>
        </w:rPr>
        <w:t>20</w:t>
      </w:r>
    </w:p>
    <w:p w14:paraId="75046860" w14:textId="77777777" w:rsidR="001635E5" w:rsidRDefault="001635E5" w:rsidP="00930308">
      <w:pPr>
        <w:ind w:left="567"/>
        <w:rPr>
          <w:rFonts w:ascii="Cambria" w:hAnsi="Cambria"/>
          <w:b/>
          <w:sz w:val="24"/>
          <w:szCs w:val="24"/>
          <w:u w:val="single"/>
        </w:rPr>
      </w:pPr>
    </w:p>
    <w:tbl>
      <w:tblPr>
        <w:tblpPr w:leftFromText="141" w:rightFromText="141" w:vertAnchor="text" w:horzAnchor="margin" w:tblpX="566" w:tblpY="79"/>
        <w:tblW w:w="85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181"/>
        <w:gridCol w:w="1276"/>
        <w:gridCol w:w="1559"/>
        <w:gridCol w:w="1559"/>
      </w:tblGrid>
      <w:tr w:rsidR="00C03DF3" w:rsidRPr="00F8465B" w14:paraId="452FD360" w14:textId="77777777" w:rsidTr="00C03DF3">
        <w:trPr>
          <w:trHeight w:val="409"/>
        </w:trPr>
        <w:tc>
          <w:tcPr>
            <w:tcW w:w="418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252C5A" w14:textId="77777777" w:rsidR="00C03DF3" w:rsidRPr="00F8465B" w:rsidRDefault="00C03DF3" w:rsidP="00C03DF3">
            <w:pPr>
              <w:keepLines w:val="0"/>
              <w:widowControl/>
              <w:jc w:val="left"/>
              <w:rPr>
                <w:rFonts w:ascii="Cambria" w:hAnsi="Cambria"/>
                <w:sz w:val="20"/>
                <w:lang w:val="es-ES"/>
              </w:rPr>
            </w:pPr>
            <w:r w:rsidRPr="00F8465B">
              <w:rPr>
                <w:rFonts w:ascii="Cambria" w:hAnsi="Cambria"/>
                <w:sz w:val="20"/>
                <w:lang w:val="es-ES"/>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5717BA80" w14:textId="2230390F" w:rsidR="00C03DF3" w:rsidRPr="00F8465B" w:rsidRDefault="00C03DF3" w:rsidP="00C03DF3">
            <w:pPr>
              <w:keepLines w:val="0"/>
              <w:widowControl/>
              <w:jc w:val="center"/>
              <w:rPr>
                <w:rFonts w:ascii="Cambria" w:hAnsi="Cambria"/>
                <w:b/>
                <w:sz w:val="20"/>
                <w:lang w:val="es-ES"/>
              </w:rPr>
            </w:pPr>
            <w:r w:rsidRPr="00F8465B">
              <w:rPr>
                <w:rFonts w:ascii="Cambria" w:hAnsi="Cambria"/>
                <w:b/>
                <w:sz w:val="20"/>
                <w:lang w:val="es-ES"/>
              </w:rPr>
              <w:t>Saldo al 31.12.1</w:t>
            </w:r>
            <w:r>
              <w:rPr>
                <w:rFonts w:ascii="Cambria" w:hAnsi="Cambria"/>
                <w:b/>
                <w:sz w:val="20"/>
                <w:lang w:val="es-ES"/>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6B6A2BB7" w14:textId="77777777" w:rsidR="00C03DF3" w:rsidRPr="00547FC3" w:rsidRDefault="00C03DF3" w:rsidP="00C03DF3">
            <w:pPr>
              <w:keepLines w:val="0"/>
              <w:widowControl/>
              <w:jc w:val="center"/>
              <w:rPr>
                <w:rFonts w:ascii="Cambria" w:hAnsi="Cambria"/>
                <w:b/>
                <w:sz w:val="20"/>
                <w:lang w:val="es-ES"/>
              </w:rPr>
            </w:pPr>
            <w:r w:rsidRPr="00547FC3">
              <w:rPr>
                <w:rFonts w:ascii="Cambria" w:hAnsi="Cambria"/>
                <w:b/>
                <w:sz w:val="20"/>
                <w:lang w:val="es-ES"/>
              </w:rPr>
              <w:t>Traspasos a corto plazo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631C0670" w14:textId="784AB910" w:rsidR="00C03DF3" w:rsidRPr="00547FC3" w:rsidRDefault="00C03DF3" w:rsidP="00C03DF3">
            <w:pPr>
              <w:keepLines w:val="0"/>
              <w:widowControl/>
              <w:jc w:val="center"/>
              <w:rPr>
                <w:rFonts w:ascii="Cambria" w:hAnsi="Cambria"/>
                <w:b/>
                <w:sz w:val="20"/>
                <w:lang w:val="es-ES"/>
              </w:rPr>
            </w:pPr>
            <w:r w:rsidRPr="00547FC3">
              <w:rPr>
                <w:rFonts w:ascii="Cambria" w:hAnsi="Cambria"/>
                <w:b/>
                <w:sz w:val="20"/>
                <w:lang w:val="es-ES"/>
              </w:rPr>
              <w:t>Saldo al 31.12.20</w:t>
            </w:r>
          </w:p>
        </w:tc>
      </w:tr>
      <w:tr w:rsidR="00C03DF3" w:rsidRPr="00F8465B" w14:paraId="49B3146E" w14:textId="77777777" w:rsidTr="00C03DF3">
        <w:trPr>
          <w:trHeight w:val="283"/>
        </w:trPr>
        <w:tc>
          <w:tcPr>
            <w:tcW w:w="4181" w:type="dxa"/>
            <w:tcBorders>
              <w:top w:val="single" w:sz="4" w:space="0" w:color="auto"/>
              <w:left w:val="single" w:sz="4" w:space="0" w:color="auto"/>
              <w:bottom w:val="nil"/>
              <w:right w:val="single" w:sz="4" w:space="0" w:color="auto"/>
            </w:tcBorders>
            <w:shd w:val="clear" w:color="auto" w:fill="FFFFFF"/>
            <w:vAlign w:val="bottom"/>
          </w:tcPr>
          <w:p w14:paraId="56CCD7CD" w14:textId="77777777" w:rsidR="00C03DF3" w:rsidRPr="00F8465B" w:rsidRDefault="00C03DF3" w:rsidP="00C03DF3">
            <w:pPr>
              <w:keepLines w:val="0"/>
              <w:widowControl/>
              <w:jc w:val="left"/>
              <w:rPr>
                <w:rFonts w:ascii="Cambria" w:hAnsi="Cambria"/>
                <w:sz w:val="20"/>
                <w:lang w:val="es-ES"/>
              </w:rPr>
            </w:pPr>
            <w:r w:rsidRPr="00F8465B">
              <w:rPr>
                <w:rFonts w:ascii="Cambria" w:hAnsi="Cambria"/>
                <w:sz w:val="20"/>
                <w:lang w:val="es-ES"/>
              </w:rPr>
              <w:t>Póliza Tomador beneficiario AHV</w:t>
            </w:r>
          </w:p>
        </w:tc>
        <w:tc>
          <w:tcPr>
            <w:tcW w:w="1276" w:type="dxa"/>
            <w:tcBorders>
              <w:top w:val="single" w:sz="4" w:space="0" w:color="auto"/>
              <w:left w:val="single" w:sz="4" w:space="0" w:color="auto"/>
              <w:bottom w:val="nil"/>
              <w:right w:val="single" w:sz="4" w:space="0" w:color="auto"/>
            </w:tcBorders>
            <w:shd w:val="clear" w:color="auto" w:fill="FFFFFF"/>
            <w:vAlign w:val="bottom"/>
          </w:tcPr>
          <w:p w14:paraId="61FF975D" w14:textId="2F09CBD1" w:rsidR="00C03DF3" w:rsidRDefault="00C03DF3" w:rsidP="00C03DF3">
            <w:pPr>
              <w:keepLines w:val="0"/>
              <w:widowControl/>
              <w:jc w:val="right"/>
              <w:rPr>
                <w:rFonts w:ascii="Cambria" w:hAnsi="Cambria"/>
                <w:sz w:val="20"/>
                <w:lang w:val="es-ES"/>
              </w:rPr>
            </w:pPr>
            <w:r>
              <w:rPr>
                <w:rFonts w:ascii="Cambria" w:hAnsi="Cambria"/>
                <w:sz w:val="20"/>
                <w:lang w:val="es-ES"/>
              </w:rPr>
              <w:t>163</w:t>
            </w:r>
          </w:p>
        </w:tc>
        <w:tc>
          <w:tcPr>
            <w:tcW w:w="1559" w:type="dxa"/>
            <w:tcBorders>
              <w:top w:val="single" w:sz="4" w:space="0" w:color="auto"/>
              <w:left w:val="single" w:sz="4" w:space="0" w:color="auto"/>
              <w:bottom w:val="nil"/>
              <w:right w:val="single" w:sz="4" w:space="0" w:color="auto"/>
            </w:tcBorders>
            <w:shd w:val="clear" w:color="auto" w:fill="FFFFFF"/>
            <w:noWrap/>
            <w:vAlign w:val="bottom"/>
          </w:tcPr>
          <w:p w14:paraId="3B9EADF1" w14:textId="039C0C88" w:rsidR="00C03DF3" w:rsidRPr="00547FC3" w:rsidRDefault="00C03DF3" w:rsidP="00C03DF3">
            <w:pPr>
              <w:keepLines w:val="0"/>
              <w:widowControl/>
              <w:jc w:val="right"/>
              <w:rPr>
                <w:rFonts w:ascii="Cambria" w:hAnsi="Cambria"/>
                <w:sz w:val="20"/>
                <w:lang w:val="es-ES"/>
              </w:rPr>
            </w:pPr>
            <w:r w:rsidRPr="00547FC3">
              <w:rPr>
                <w:rFonts w:ascii="Cambria" w:hAnsi="Cambria"/>
                <w:sz w:val="20"/>
                <w:lang w:val="es-ES"/>
              </w:rPr>
              <w:t>(</w:t>
            </w:r>
            <w:r w:rsidR="00547FC3" w:rsidRPr="00547FC3">
              <w:rPr>
                <w:rFonts w:ascii="Cambria" w:hAnsi="Cambria"/>
                <w:sz w:val="20"/>
                <w:lang w:val="es-ES"/>
              </w:rPr>
              <w:t>52</w:t>
            </w:r>
            <w:r w:rsidRPr="00547FC3">
              <w:rPr>
                <w:rFonts w:ascii="Cambria" w:hAnsi="Cambria"/>
                <w:sz w:val="20"/>
                <w:lang w:val="es-ES"/>
              </w:rPr>
              <w:t>)</w:t>
            </w:r>
          </w:p>
        </w:tc>
        <w:tc>
          <w:tcPr>
            <w:tcW w:w="1559" w:type="dxa"/>
            <w:tcBorders>
              <w:top w:val="single" w:sz="4" w:space="0" w:color="auto"/>
              <w:left w:val="single" w:sz="4" w:space="0" w:color="auto"/>
              <w:bottom w:val="nil"/>
              <w:right w:val="single" w:sz="4" w:space="0" w:color="auto"/>
            </w:tcBorders>
            <w:shd w:val="clear" w:color="auto" w:fill="FFFFFF"/>
            <w:noWrap/>
            <w:vAlign w:val="bottom"/>
          </w:tcPr>
          <w:p w14:paraId="5183D5EF" w14:textId="59A4DF2B" w:rsidR="00C03DF3" w:rsidRPr="00547FC3" w:rsidRDefault="00547FC3" w:rsidP="00C03DF3">
            <w:pPr>
              <w:keepLines w:val="0"/>
              <w:widowControl/>
              <w:jc w:val="right"/>
              <w:rPr>
                <w:rFonts w:ascii="Cambria" w:hAnsi="Cambria"/>
                <w:sz w:val="20"/>
                <w:lang w:val="es-ES"/>
              </w:rPr>
            </w:pPr>
            <w:r w:rsidRPr="00547FC3">
              <w:rPr>
                <w:rFonts w:ascii="Cambria" w:hAnsi="Cambria"/>
                <w:sz w:val="20"/>
                <w:lang w:val="es-ES"/>
              </w:rPr>
              <w:t>111</w:t>
            </w:r>
          </w:p>
        </w:tc>
      </w:tr>
      <w:tr w:rsidR="00C03DF3" w:rsidRPr="00F8465B" w14:paraId="1F84013A" w14:textId="77777777" w:rsidTr="00C03DF3">
        <w:trPr>
          <w:trHeight w:val="393"/>
        </w:trPr>
        <w:tc>
          <w:tcPr>
            <w:tcW w:w="4181" w:type="dxa"/>
            <w:tcBorders>
              <w:top w:val="single" w:sz="4" w:space="0" w:color="auto"/>
              <w:left w:val="single" w:sz="4" w:space="0" w:color="auto"/>
              <w:bottom w:val="single" w:sz="4" w:space="0" w:color="auto"/>
              <w:right w:val="single" w:sz="4" w:space="0" w:color="auto"/>
            </w:tcBorders>
            <w:shd w:val="clear" w:color="auto" w:fill="FFFFFF"/>
            <w:vAlign w:val="center"/>
          </w:tcPr>
          <w:p w14:paraId="76239B4C" w14:textId="77777777" w:rsidR="00C03DF3" w:rsidRPr="00F8465B" w:rsidRDefault="00C03DF3" w:rsidP="00C03DF3">
            <w:pPr>
              <w:keepLines w:val="0"/>
              <w:widowControl/>
              <w:jc w:val="left"/>
              <w:rPr>
                <w:rFonts w:ascii="Cambria" w:hAnsi="Cambria"/>
                <w:b/>
                <w:bCs/>
                <w:sz w:val="20"/>
                <w:lang w:val="es-ES"/>
              </w:rPr>
            </w:pPr>
            <w:r w:rsidRPr="00F8465B">
              <w:rPr>
                <w:rFonts w:ascii="Cambria" w:hAnsi="Cambria"/>
                <w:b/>
                <w:bCs/>
                <w:sz w:val="20"/>
                <w:lang w:val="es-ES"/>
              </w:rPr>
              <w:t>TOTAL ASEGURAMIENTO</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FAC77C" w14:textId="25DCE2D3" w:rsidR="00C03DF3" w:rsidRDefault="00C03DF3" w:rsidP="00C03DF3">
            <w:pPr>
              <w:keepLines w:val="0"/>
              <w:widowControl/>
              <w:jc w:val="right"/>
              <w:rPr>
                <w:rFonts w:ascii="Cambria" w:hAnsi="Cambria"/>
                <w:b/>
                <w:bCs/>
                <w:sz w:val="20"/>
                <w:lang w:val="es-ES"/>
              </w:rPr>
            </w:pPr>
            <w:r>
              <w:rPr>
                <w:rFonts w:ascii="Cambria" w:hAnsi="Cambria"/>
                <w:b/>
                <w:bCs/>
                <w:sz w:val="20"/>
                <w:lang w:val="es-ES"/>
              </w:rPr>
              <w:t>163</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C7EDCB" w14:textId="5CDCD298" w:rsidR="00C03DF3" w:rsidRPr="00547FC3" w:rsidRDefault="00C03DF3" w:rsidP="00C03DF3">
            <w:pPr>
              <w:keepLines w:val="0"/>
              <w:widowControl/>
              <w:jc w:val="right"/>
              <w:rPr>
                <w:rFonts w:ascii="Cambria" w:hAnsi="Cambria"/>
                <w:b/>
                <w:bCs/>
                <w:sz w:val="20"/>
                <w:lang w:val="es-ES"/>
              </w:rPr>
            </w:pPr>
            <w:r w:rsidRPr="00547FC3">
              <w:rPr>
                <w:rFonts w:ascii="Cambria" w:hAnsi="Cambria"/>
                <w:b/>
                <w:bCs/>
                <w:sz w:val="20"/>
                <w:lang w:val="es-ES"/>
              </w:rPr>
              <w:t>(</w:t>
            </w:r>
            <w:r w:rsidR="00547FC3" w:rsidRPr="00547FC3">
              <w:rPr>
                <w:rFonts w:ascii="Cambria" w:hAnsi="Cambria"/>
                <w:b/>
                <w:bCs/>
                <w:sz w:val="20"/>
                <w:lang w:val="es-ES"/>
              </w:rPr>
              <w:t>52</w:t>
            </w:r>
            <w:r w:rsidRPr="00547FC3">
              <w:rPr>
                <w:rFonts w:ascii="Cambria" w:hAnsi="Cambria"/>
                <w:b/>
                <w:bCs/>
                <w:sz w:val="20"/>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FA6867" w14:textId="0D3FA2F3" w:rsidR="00C03DF3" w:rsidRPr="00547FC3" w:rsidRDefault="00547FC3" w:rsidP="00C03DF3">
            <w:pPr>
              <w:keepLines w:val="0"/>
              <w:widowControl/>
              <w:jc w:val="right"/>
              <w:rPr>
                <w:rFonts w:ascii="Cambria" w:hAnsi="Cambria"/>
                <w:b/>
                <w:bCs/>
                <w:sz w:val="20"/>
                <w:lang w:val="es-ES"/>
              </w:rPr>
            </w:pPr>
            <w:r w:rsidRPr="00547FC3">
              <w:rPr>
                <w:rFonts w:ascii="Cambria" w:hAnsi="Cambria"/>
                <w:b/>
                <w:bCs/>
                <w:sz w:val="20"/>
                <w:lang w:val="es-ES"/>
              </w:rPr>
              <w:t>111</w:t>
            </w:r>
          </w:p>
        </w:tc>
      </w:tr>
    </w:tbl>
    <w:p w14:paraId="262FBE53" w14:textId="77777777" w:rsidR="001635E5" w:rsidRPr="00F8465B" w:rsidRDefault="001635E5" w:rsidP="00930308">
      <w:pPr>
        <w:ind w:left="567"/>
        <w:rPr>
          <w:rFonts w:ascii="Cambria" w:hAnsi="Cambria"/>
          <w:b/>
          <w:sz w:val="24"/>
          <w:szCs w:val="24"/>
          <w:u w:val="single"/>
        </w:rPr>
      </w:pPr>
    </w:p>
    <w:p w14:paraId="146921FD" w14:textId="77777777" w:rsidR="00742360" w:rsidRDefault="00742360">
      <w:pPr>
        <w:keepLines w:val="0"/>
        <w:widowControl/>
        <w:jc w:val="left"/>
        <w:rPr>
          <w:rFonts w:ascii="Cambria" w:hAnsi="Cambria"/>
          <w:b/>
          <w:sz w:val="24"/>
          <w:szCs w:val="24"/>
          <w:u w:val="single"/>
        </w:rPr>
      </w:pPr>
      <w:r>
        <w:rPr>
          <w:rFonts w:ascii="Cambria" w:hAnsi="Cambria"/>
          <w:b/>
          <w:sz w:val="24"/>
          <w:szCs w:val="24"/>
          <w:u w:val="single"/>
        </w:rPr>
        <w:br w:type="page"/>
      </w:r>
    </w:p>
    <w:p w14:paraId="44FC1F62" w14:textId="77777777" w:rsidR="00742360" w:rsidRDefault="00742360" w:rsidP="00C03DF3">
      <w:pPr>
        <w:ind w:left="567"/>
        <w:rPr>
          <w:rFonts w:ascii="Cambria" w:hAnsi="Cambria"/>
          <w:b/>
          <w:sz w:val="24"/>
          <w:szCs w:val="24"/>
          <w:u w:val="single"/>
        </w:rPr>
      </w:pPr>
    </w:p>
    <w:p w14:paraId="59B16DDD" w14:textId="2049A999" w:rsidR="00C03DF3" w:rsidRDefault="00C03DF3" w:rsidP="00C03DF3">
      <w:pPr>
        <w:ind w:left="567"/>
        <w:rPr>
          <w:rFonts w:ascii="Cambria" w:hAnsi="Cambria"/>
          <w:b/>
          <w:sz w:val="24"/>
          <w:szCs w:val="24"/>
          <w:u w:val="single"/>
        </w:rPr>
      </w:pPr>
      <w:r w:rsidRPr="001635E5">
        <w:rPr>
          <w:rFonts w:ascii="Cambria" w:hAnsi="Cambria"/>
          <w:b/>
          <w:sz w:val="24"/>
          <w:szCs w:val="24"/>
          <w:u w:val="single"/>
        </w:rPr>
        <w:t>Ejercicio 201</w:t>
      </w:r>
      <w:r>
        <w:rPr>
          <w:rFonts w:ascii="Cambria" w:hAnsi="Cambria"/>
          <w:b/>
          <w:sz w:val="24"/>
          <w:szCs w:val="24"/>
          <w:u w:val="single"/>
        </w:rPr>
        <w:t>9</w:t>
      </w:r>
    </w:p>
    <w:p w14:paraId="06D0A489" w14:textId="77777777" w:rsidR="00C03DF3" w:rsidRDefault="00C03DF3" w:rsidP="00C03DF3">
      <w:pPr>
        <w:ind w:left="567"/>
        <w:rPr>
          <w:rFonts w:ascii="Cambria" w:hAnsi="Cambria"/>
          <w:b/>
          <w:sz w:val="24"/>
          <w:szCs w:val="24"/>
          <w:u w:val="single"/>
        </w:rPr>
      </w:pPr>
    </w:p>
    <w:tbl>
      <w:tblPr>
        <w:tblpPr w:leftFromText="141" w:rightFromText="141" w:vertAnchor="text" w:horzAnchor="margin" w:tblpX="566" w:tblpY="79"/>
        <w:tblW w:w="85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181"/>
        <w:gridCol w:w="1276"/>
        <w:gridCol w:w="1559"/>
        <w:gridCol w:w="1559"/>
      </w:tblGrid>
      <w:tr w:rsidR="00C03DF3" w:rsidRPr="00F8465B" w14:paraId="5A3B8066" w14:textId="77777777" w:rsidTr="00C1202E">
        <w:trPr>
          <w:trHeight w:val="409"/>
        </w:trPr>
        <w:tc>
          <w:tcPr>
            <w:tcW w:w="418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44C8CE" w14:textId="77777777" w:rsidR="00C03DF3" w:rsidRPr="00F8465B" w:rsidRDefault="00C03DF3" w:rsidP="00C1202E">
            <w:pPr>
              <w:keepLines w:val="0"/>
              <w:widowControl/>
              <w:jc w:val="left"/>
              <w:rPr>
                <w:rFonts w:ascii="Cambria" w:hAnsi="Cambria"/>
                <w:sz w:val="20"/>
                <w:lang w:val="es-ES"/>
              </w:rPr>
            </w:pPr>
            <w:r w:rsidRPr="00F8465B">
              <w:rPr>
                <w:rFonts w:ascii="Cambria" w:hAnsi="Cambria"/>
                <w:sz w:val="20"/>
                <w:lang w:val="es-ES"/>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22D840AF" w14:textId="77777777" w:rsidR="00C03DF3" w:rsidRPr="00F8465B" w:rsidRDefault="00C03DF3" w:rsidP="00C1202E">
            <w:pPr>
              <w:keepLines w:val="0"/>
              <w:widowControl/>
              <w:jc w:val="center"/>
              <w:rPr>
                <w:rFonts w:ascii="Cambria" w:hAnsi="Cambria"/>
                <w:b/>
                <w:sz w:val="20"/>
                <w:lang w:val="es-ES"/>
              </w:rPr>
            </w:pPr>
            <w:r w:rsidRPr="00F8465B">
              <w:rPr>
                <w:rFonts w:ascii="Cambria" w:hAnsi="Cambria"/>
                <w:b/>
                <w:sz w:val="20"/>
                <w:lang w:val="es-ES"/>
              </w:rPr>
              <w:t>Saldo al 31.12.1</w:t>
            </w:r>
            <w:r>
              <w:rPr>
                <w:rFonts w:ascii="Cambria" w:hAnsi="Cambria"/>
                <w:b/>
                <w:sz w:val="20"/>
                <w:lang w:val="es-ES"/>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5D3635BD" w14:textId="77777777" w:rsidR="00C03DF3" w:rsidRPr="00F8465B" w:rsidRDefault="00C03DF3" w:rsidP="00C1202E">
            <w:pPr>
              <w:keepLines w:val="0"/>
              <w:widowControl/>
              <w:jc w:val="center"/>
              <w:rPr>
                <w:rFonts w:ascii="Cambria" w:hAnsi="Cambria"/>
                <w:b/>
                <w:sz w:val="20"/>
                <w:lang w:val="es-ES"/>
              </w:rPr>
            </w:pPr>
            <w:r w:rsidRPr="00F8465B">
              <w:rPr>
                <w:rFonts w:ascii="Cambria" w:hAnsi="Cambria"/>
                <w:b/>
                <w:sz w:val="20"/>
                <w:lang w:val="es-ES"/>
              </w:rPr>
              <w:t>Traspasos a corto plazo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03B88E66" w14:textId="77777777" w:rsidR="00C03DF3" w:rsidRPr="00F8465B" w:rsidRDefault="00C03DF3" w:rsidP="00C1202E">
            <w:pPr>
              <w:keepLines w:val="0"/>
              <w:widowControl/>
              <w:jc w:val="center"/>
              <w:rPr>
                <w:rFonts w:ascii="Cambria" w:hAnsi="Cambria"/>
                <w:b/>
                <w:sz w:val="20"/>
                <w:lang w:val="es-ES"/>
              </w:rPr>
            </w:pPr>
            <w:r w:rsidRPr="00F8465B">
              <w:rPr>
                <w:rFonts w:ascii="Cambria" w:hAnsi="Cambria"/>
                <w:b/>
                <w:sz w:val="20"/>
                <w:lang w:val="es-ES"/>
              </w:rPr>
              <w:t>Saldo al 31.12.1</w:t>
            </w:r>
            <w:r>
              <w:rPr>
                <w:rFonts w:ascii="Cambria" w:hAnsi="Cambria"/>
                <w:b/>
                <w:sz w:val="20"/>
                <w:lang w:val="es-ES"/>
              </w:rPr>
              <w:t>9</w:t>
            </w:r>
          </w:p>
        </w:tc>
      </w:tr>
      <w:tr w:rsidR="00C03DF3" w:rsidRPr="00F8465B" w14:paraId="55E33D8D" w14:textId="77777777" w:rsidTr="00C1202E">
        <w:trPr>
          <w:trHeight w:val="283"/>
        </w:trPr>
        <w:tc>
          <w:tcPr>
            <w:tcW w:w="4181" w:type="dxa"/>
            <w:tcBorders>
              <w:top w:val="single" w:sz="4" w:space="0" w:color="auto"/>
              <w:left w:val="single" w:sz="4" w:space="0" w:color="auto"/>
              <w:bottom w:val="nil"/>
              <w:right w:val="single" w:sz="4" w:space="0" w:color="auto"/>
            </w:tcBorders>
            <w:shd w:val="clear" w:color="auto" w:fill="FFFFFF"/>
            <w:vAlign w:val="bottom"/>
          </w:tcPr>
          <w:p w14:paraId="37B99C60" w14:textId="77777777" w:rsidR="00C03DF3" w:rsidRPr="00F8465B" w:rsidRDefault="00C03DF3" w:rsidP="00C1202E">
            <w:pPr>
              <w:keepLines w:val="0"/>
              <w:widowControl/>
              <w:jc w:val="left"/>
              <w:rPr>
                <w:rFonts w:ascii="Cambria" w:hAnsi="Cambria"/>
                <w:sz w:val="20"/>
                <w:lang w:val="es-ES"/>
              </w:rPr>
            </w:pPr>
            <w:r w:rsidRPr="00F8465B">
              <w:rPr>
                <w:rFonts w:ascii="Cambria" w:hAnsi="Cambria"/>
                <w:sz w:val="20"/>
                <w:lang w:val="es-ES"/>
              </w:rPr>
              <w:t>Póliza Tomador beneficiario AHV</w:t>
            </w:r>
          </w:p>
        </w:tc>
        <w:tc>
          <w:tcPr>
            <w:tcW w:w="1276" w:type="dxa"/>
            <w:tcBorders>
              <w:top w:val="single" w:sz="4" w:space="0" w:color="auto"/>
              <w:left w:val="single" w:sz="4" w:space="0" w:color="auto"/>
              <w:bottom w:val="nil"/>
              <w:right w:val="single" w:sz="4" w:space="0" w:color="auto"/>
            </w:tcBorders>
            <w:shd w:val="clear" w:color="auto" w:fill="FFFFFF"/>
            <w:vAlign w:val="bottom"/>
          </w:tcPr>
          <w:p w14:paraId="66B0E81D" w14:textId="77777777" w:rsidR="00C03DF3" w:rsidRDefault="00C03DF3" w:rsidP="00C1202E">
            <w:pPr>
              <w:keepLines w:val="0"/>
              <w:widowControl/>
              <w:jc w:val="right"/>
              <w:rPr>
                <w:rFonts w:ascii="Cambria" w:hAnsi="Cambria"/>
                <w:sz w:val="20"/>
                <w:lang w:val="es-ES"/>
              </w:rPr>
            </w:pPr>
            <w:r>
              <w:rPr>
                <w:rFonts w:ascii="Cambria" w:hAnsi="Cambria"/>
                <w:sz w:val="20"/>
                <w:lang w:val="es-ES"/>
              </w:rPr>
              <w:t>248</w:t>
            </w:r>
          </w:p>
        </w:tc>
        <w:tc>
          <w:tcPr>
            <w:tcW w:w="1559" w:type="dxa"/>
            <w:tcBorders>
              <w:top w:val="single" w:sz="4" w:space="0" w:color="auto"/>
              <w:left w:val="single" w:sz="4" w:space="0" w:color="auto"/>
              <w:bottom w:val="nil"/>
              <w:right w:val="single" w:sz="4" w:space="0" w:color="auto"/>
            </w:tcBorders>
            <w:shd w:val="clear" w:color="auto" w:fill="FFFFFF"/>
            <w:noWrap/>
            <w:vAlign w:val="bottom"/>
          </w:tcPr>
          <w:p w14:paraId="2BC58730" w14:textId="77777777" w:rsidR="00C03DF3" w:rsidRPr="00F8465B" w:rsidRDefault="00C03DF3" w:rsidP="00C1202E">
            <w:pPr>
              <w:keepLines w:val="0"/>
              <w:widowControl/>
              <w:jc w:val="right"/>
              <w:rPr>
                <w:rFonts w:ascii="Cambria" w:hAnsi="Cambria"/>
                <w:sz w:val="20"/>
                <w:lang w:val="es-ES"/>
              </w:rPr>
            </w:pPr>
            <w:r>
              <w:rPr>
                <w:rFonts w:ascii="Cambria" w:hAnsi="Cambria"/>
                <w:sz w:val="20"/>
                <w:lang w:val="es-ES"/>
              </w:rPr>
              <w:t>(85)</w:t>
            </w:r>
          </w:p>
        </w:tc>
        <w:tc>
          <w:tcPr>
            <w:tcW w:w="1559" w:type="dxa"/>
            <w:tcBorders>
              <w:top w:val="single" w:sz="4" w:space="0" w:color="auto"/>
              <w:left w:val="single" w:sz="4" w:space="0" w:color="auto"/>
              <w:bottom w:val="nil"/>
              <w:right w:val="single" w:sz="4" w:space="0" w:color="auto"/>
            </w:tcBorders>
            <w:shd w:val="clear" w:color="auto" w:fill="FFFFFF"/>
            <w:noWrap/>
            <w:vAlign w:val="bottom"/>
          </w:tcPr>
          <w:p w14:paraId="53E0106E" w14:textId="77777777" w:rsidR="00C03DF3" w:rsidRPr="00F8465B" w:rsidRDefault="00C03DF3" w:rsidP="00C1202E">
            <w:pPr>
              <w:keepLines w:val="0"/>
              <w:widowControl/>
              <w:jc w:val="right"/>
              <w:rPr>
                <w:rFonts w:ascii="Cambria" w:hAnsi="Cambria"/>
                <w:sz w:val="20"/>
                <w:lang w:val="es-ES"/>
              </w:rPr>
            </w:pPr>
            <w:r>
              <w:rPr>
                <w:rFonts w:ascii="Cambria" w:hAnsi="Cambria"/>
                <w:sz w:val="20"/>
                <w:lang w:val="es-ES"/>
              </w:rPr>
              <w:t>163</w:t>
            </w:r>
          </w:p>
        </w:tc>
      </w:tr>
      <w:tr w:rsidR="00C03DF3" w:rsidRPr="00F8465B" w14:paraId="155F5922" w14:textId="77777777" w:rsidTr="00C1202E">
        <w:trPr>
          <w:trHeight w:val="393"/>
        </w:trPr>
        <w:tc>
          <w:tcPr>
            <w:tcW w:w="4181" w:type="dxa"/>
            <w:tcBorders>
              <w:top w:val="single" w:sz="4" w:space="0" w:color="auto"/>
              <w:left w:val="single" w:sz="4" w:space="0" w:color="auto"/>
              <w:bottom w:val="single" w:sz="4" w:space="0" w:color="auto"/>
              <w:right w:val="single" w:sz="4" w:space="0" w:color="auto"/>
            </w:tcBorders>
            <w:shd w:val="clear" w:color="auto" w:fill="FFFFFF"/>
            <w:vAlign w:val="center"/>
          </w:tcPr>
          <w:p w14:paraId="09BD3227" w14:textId="77777777" w:rsidR="00C03DF3" w:rsidRPr="00F8465B" w:rsidRDefault="00C03DF3" w:rsidP="00C1202E">
            <w:pPr>
              <w:keepLines w:val="0"/>
              <w:widowControl/>
              <w:jc w:val="left"/>
              <w:rPr>
                <w:rFonts w:ascii="Cambria" w:hAnsi="Cambria"/>
                <w:b/>
                <w:bCs/>
                <w:sz w:val="20"/>
                <w:lang w:val="es-ES"/>
              </w:rPr>
            </w:pPr>
            <w:r w:rsidRPr="00F8465B">
              <w:rPr>
                <w:rFonts w:ascii="Cambria" w:hAnsi="Cambria"/>
                <w:b/>
                <w:bCs/>
                <w:sz w:val="20"/>
                <w:lang w:val="es-ES"/>
              </w:rPr>
              <w:t>TOTAL ASEGURAMIENTO</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39B32C" w14:textId="77777777" w:rsidR="00C03DF3" w:rsidRDefault="00C03DF3" w:rsidP="00C1202E">
            <w:pPr>
              <w:keepLines w:val="0"/>
              <w:widowControl/>
              <w:jc w:val="right"/>
              <w:rPr>
                <w:rFonts w:ascii="Cambria" w:hAnsi="Cambria"/>
                <w:b/>
                <w:bCs/>
                <w:sz w:val="20"/>
                <w:lang w:val="es-ES"/>
              </w:rPr>
            </w:pPr>
            <w:r>
              <w:rPr>
                <w:rFonts w:ascii="Cambria" w:hAnsi="Cambria"/>
                <w:b/>
                <w:bCs/>
                <w:sz w:val="20"/>
                <w:lang w:val="es-ES"/>
              </w:rPr>
              <w:t>248</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9B70E1" w14:textId="77777777" w:rsidR="00C03DF3" w:rsidRPr="00F8465B" w:rsidRDefault="00C03DF3" w:rsidP="00C1202E">
            <w:pPr>
              <w:keepLines w:val="0"/>
              <w:widowControl/>
              <w:jc w:val="right"/>
              <w:rPr>
                <w:rFonts w:ascii="Cambria" w:hAnsi="Cambria"/>
                <w:b/>
                <w:bCs/>
                <w:sz w:val="20"/>
                <w:lang w:val="es-ES"/>
              </w:rPr>
            </w:pPr>
            <w:r>
              <w:rPr>
                <w:rFonts w:ascii="Cambria" w:hAnsi="Cambria"/>
                <w:b/>
                <w:bCs/>
                <w:sz w:val="20"/>
                <w:lang w:val="es-ES"/>
              </w:rPr>
              <w:t>(85)</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465609" w14:textId="77777777" w:rsidR="00C03DF3" w:rsidRPr="00F8465B" w:rsidRDefault="00C03DF3" w:rsidP="00C1202E">
            <w:pPr>
              <w:keepLines w:val="0"/>
              <w:widowControl/>
              <w:jc w:val="right"/>
              <w:rPr>
                <w:rFonts w:ascii="Cambria" w:hAnsi="Cambria"/>
                <w:b/>
                <w:bCs/>
                <w:sz w:val="20"/>
                <w:lang w:val="es-ES"/>
              </w:rPr>
            </w:pPr>
            <w:r>
              <w:rPr>
                <w:rFonts w:ascii="Cambria" w:hAnsi="Cambria"/>
                <w:b/>
                <w:bCs/>
                <w:sz w:val="20"/>
                <w:lang w:val="es-ES"/>
              </w:rPr>
              <w:t>163</w:t>
            </w:r>
          </w:p>
        </w:tc>
      </w:tr>
    </w:tbl>
    <w:p w14:paraId="1EDDB34D" w14:textId="02BF6F05" w:rsidR="008017A2" w:rsidRPr="00F8465B" w:rsidRDefault="008017A2" w:rsidP="002D6127"/>
    <w:p w14:paraId="3A346472" w14:textId="1AB1B1FC" w:rsidR="00987D41" w:rsidRPr="00F8465B" w:rsidRDefault="00987D41" w:rsidP="00987D41">
      <w:pPr>
        <w:ind w:left="426"/>
        <w:rPr>
          <w:rFonts w:ascii="Cambria" w:hAnsi="Cambria"/>
          <w:b/>
          <w:sz w:val="24"/>
          <w:szCs w:val="24"/>
          <w:u w:val="single"/>
        </w:rPr>
      </w:pPr>
    </w:p>
    <w:p w14:paraId="06FE2A3B" w14:textId="33368411" w:rsidR="00E9519C" w:rsidRDefault="00E9519C">
      <w:pPr>
        <w:keepLines w:val="0"/>
        <w:widowControl/>
        <w:jc w:val="left"/>
        <w:rPr>
          <w:rFonts w:ascii="Cambria" w:hAnsi="Cambria"/>
          <w:b/>
          <w:sz w:val="24"/>
          <w:szCs w:val="24"/>
          <w:u w:val="single"/>
        </w:rPr>
      </w:pPr>
    </w:p>
    <w:p w14:paraId="5FA6D17A" w14:textId="43E9D738" w:rsidR="00B87132" w:rsidRDefault="00A66221" w:rsidP="00E62C3A">
      <w:pPr>
        <w:pStyle w:val="Ttulo1a"/>
        <w:ind w:left="567"/>
        <w:rPr>
          <w:rFonts w:ascii="Cambria" w:hAnsi="Cambria"/>
          <w:sz w:val="24"/>
          <w:szCs w:val="24"/>
        </w:rPr>
      </w:pPr>
      <w:r>
        <w:rPr>
          <w:rFonts w:ascii="Cambria" w:hAnsi="Cambria"/>
          <w:sz w:val="24"/>
          <w:szCs w:val="24"/>
        </w:rPr>
        <w:t>El movimiento habido en la</w:t>
      </w:r>
      <w:r w:rsidR="00B87132" w:rsidRPr="00F8465B">
        <w:rPr>
          <w:rFonts w:ascii="Cambria" w:hAnsi="Cambria"/>
          <w:sz w:val="24"/>
          <w:szCs w:val="24"/>
        </w:rPr>
        <w:t xml:space="preserve"> </w:t>
      </w:r>
      <w:r>
        <w:rPr>
          <w:rFonts w:ascii="Cambria" w:hAnsi="Cambria"/>
          <w:sz w:val="24"/>
          <w:szCs w:val="24"/>
        </w:rPr>
        <w:t xml:space="preserve">cuenta de aseguramiento </w:t>
      </w:r>
      <w:r w:rsidR="00B87132" w:rsidRPr="00F8465B">
        <w:rPr>
          <w:rFonts w:ascii="Cambria" w:hAnsi="Cambria"/>
          <w:sz w:val="24"/>
          <w:szCs w:val="24"/>
        </w:rPr>
        <w:t>a corto plazo</w:t>
      </w:r>
      <w:r w:rsidR="0099586B" w:rsidRPr="00F8465B">
        <w:rPr>
          <w:rFonts w:ascii="Cambria" w:hAnsi="Cambria"/>
          <w:sz w:val="24"/>
          <w:szCs w:val="24"/>
        </w:rPr>
        <w:t>,</w:t>
      </w:r>
      <w:r w:rsidR="00B87132" w:rsidRPr="00F8465B">
        <w:rPr>
          <w:rFonts w:ascii="Cambria" w:hAnsi="Cambria"/>
          <w:sz w:val="24"/>
          <w:szCs w:val="24"/>
        </w:rPr>
        <w:t xml:space="preserve"> durante los ejercicios 20</w:t>
      </w:r>
      <w:r w:rsidR="00C03DF3">
        <w:rPr>
          <w:rFonts w:ascii="Cambria" w:hAnsi="Cambria"/>
          <w:sz w:val="24"/>
          <w:szCs w:val="24"/>
        </w:rPr>
        <w:t>20</w:t>
      </w:r>
      <w:r w:rsidR="00D550B0">
        <w:rPr>
          <w:rFonts w:ascii="Cambria" w:hAnsi="Cambria"/>
          <w:sz w:val="24"/>
          <w:szCs w:val="24"/>
        </w:rPr>
        <w:t xml:space="preserve"> </w:t>
      </w:r>
      <w:r w:rsidR="00B87132" w:rsidRPr="00F8465B">
        <w:rPr>
          <w:rFonts w:ascii="Cambria" w:hAnsi="Cambria"/>
          <w:sz w:val="24"/>
          <w:szCs w:val="24"/>
        </w:rPr>
        <w:t>y 20</w:t>
      </w:r>
      <w:r w:rsidR="001C2BAF" w:rsidRPr="00F8465B">
        <w:rPr>
          <w:rFonts w:ascii="Cambria" w:hAnsi="Cambria"/>
          <w:sz w:val="24"/>
          <w:szCs w:val="24"/>
        </w:rPr>
        <w:t>1</w:t>
      </w:r>
      <w:r w:rsidR="00C03DF3">
        <w:rPr>
          <w:rFonts w:ascii="Cambria" w:hAnsi="Cambria"/>
          <w:sz w:val="24"/>
          <w:szCs w:val="24"/>
        </w:rPr>
        <w:t>9</w:t>
      </w:r>
      <w:r w:rsidR="0099586B" w:rsidRPr="00F8465B">
        <w:rPr>
          <w:rFonts w:ascii="Cambria" w:hAnsi="Cambria"/>
          <w:sz w:val="24"/>
          <w:szCs w:val="24"/>
        </w:rPr>
        <w:t>,</w:t>
      </w:r>
      <w:r w:rsidR="008A4530" w:rsidRPr="00F8465B">
        <w:rPr>
          <w:rFonts w:ascii="Cambria" w:hAnsi="Cambria"/>
          <w:sz w:val="24"/>
          <w:szCs w:val="24"/>
        </w:rPr>
        <w:t xml:space="preserve"> </w:t>
      </w:r>
      <w:r w:rsidR="00B87132" w:rsidRPr="00F8465B">
        <w:rPr>
          <w:rFonts w:ascii="Cambria" w:hAnsi="Cambria"/>
          <w:sz w:val="24"/>
          <w:szCs w:val="24"/>
        </w:rPr>
        <w:t>ha sido el siguiente</w:t>
      </w:r>
      <w:r w:rsidR="002D01BE" w:rsidRPr="00F8465B">
        <w:rPr>
          <w:rFonts w:ascii="Cambria" w:hAnsi="Cambria"/>
          <w:sz w:val="24"/>
          <w:szCs w:val="24"/>
        </w:rPr>
        <w:t xml:space="preserve"> en miles de euros</w:t>
      </w:r>
      <w:r w:rsidR="00B87132" w:rsidRPr="00F8465B">
        <w:rPr>
          <w:rFonts w:ascii="Cambria" w:hAnsi="Cambria"/>
          <w:sz w:val="24"/>
          <w:szCs w:val="24"/>
        </w:rPr>
        <w:t>:</w:t>
      </w:r>
    </w:p>
    <w:p w14:paraId="1DBF306E" w14:textId="77777777" w:rsidR="00930308" w:rsidRPr="00C407D3" w:rsidRDefault="00930308" w:rsidP="00C407D3"/>
    <w:p w14:paraId="4AB1B025" w14:textId="27EB6768" w:rsidR="00930308" w:rsidRPr="00F8465B" w:rsidRDefault="00DE1896" w:rsidP="00930308">
      <w:pPr>
        <w:ind w:left="567"/>
        <w:rPr>
          <w:rFonts w:ascii="Cambria" w:hAnsi="Cambria"/>
          <w:b/>
          <w:sz w:val="24"/>
          <w:szCs w:val="24"/>
          <w:u w:val="single"/>
        </w:rPr>
      </w:pPr>
      <w:r>
        <w:rPr>
          <w:rFonts w:ascii="Cambria" w:hAnsi="Cambria"/>
          <w:b/>
          <w:sz w:val="24"/>
          <w:szCs w:val="24"/>
          <w:u w:val="single"/>
        </w:rPr>
        <w:t>Ejercicio 20</w:t>
      </w:r>
      <w:r w:rsidR="00C03DF3">
        <w:rPr>
          <w:rFonts w:ascii="Cambria" w:hAnsi="Cambria"/>
          <w:b/>
          <w:sz w:val="24"/>
          <w:szCs w:val="24"/>
          <w:u w:val="single"/>
        </w:rPr>
        <w:t>20</w:t>
      </w:r>
    </w:p>
    <w:p w14:paraId="1DBF6086" w14:textId="77777777" w:rsidR="008017A2" w:rsidRDefault="008017A2" w:rsidP="002D6127"/>
    <w:tbl>
      <w:tblPr>
        <w:tblpPr w:leftFromText="141" w:rightFromText="141" w:vertAnchor="text" w:horzAnchor="page" w:tblpX="2280" w:tblpY="170"/>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114"/>
        <w:gridCol w:w="1134"/>
        <w:gridCol w:w="1276"/>
        <w:gridCol w:w="1134"/>
        <w:gridCol w:w="1134"/>
        <w:gridCol w:w="992"/>
      </w:tblGrid>
      <w:tr w:rsidR="00C03DF3" w:rsidRPr="00F8465B" w14:paraId="6B6920AA" w14:textId="77777777" w:rsidTr="00C03DF3">
        <w:trPr>
          <w:trHeight w:val="400"/>
        </w:trPr>
        <w:tc>
          <w:tcPr>
            <w:tcW w:w="31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E6A96E" w14:textId="2178AA08" w:rsidR="00C03DF3" w:rsidRPr="00F8465B" w:rsidRDefault="00C03DF3" w:rsidP="00C03DF3">
            <w:pPr>
              <w:keepLines w:val="0"/>
              <w:widowControl/>
              <w:rPr>
                <w:rFonts w:ascii="Cambria" w:hAnsi="Cambria"/>
                <w:sz w:val="20"/>
                <w:lang w:val="es-ES"/>
              </w:rPr>
            </w:pPr>
            <w:r w:rsidRPr="00F8465B">
              <w:rPr>
                <w:rFonts w:ascii="Cambria" w:hAnsi="Cambria"/>
                <w:sz w:val="20"/>
                <w:lang w:val="es-ES"/>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EE835" w14:textId="472E1F4E" w:rsidR="00C03DF3" w:rsidRPr="00F8465B" w:rsidRDefault="00C03DF3" w:rsidP="00C03DF3">
            <w:pPr>
              <w:keepLines w:val="0"/>
              <w:widowControl/>
              <w:jc w:val="center"/>
              <w:rPr>
                <w:rFonts w:ascii="Cambria" w:hAnsi="Cambria"/>
                <w:b/>
                <w:sz w:val="20"/>
                <w:lang w:val="es-ES"/>
              </w:rPr>
            </w:pPr>
            <w:r w:rsidRPr="00F8465B">
              <w:rPr>
                <w:rFonts w:ascii="Cambria" w:hAnsi="Cambria"/>
                <w:b/>
                <w:sz w:val="20"/>
                <w:lang w:val="es-ES"/>
              </w:rPr>
              <w:t>Saldo al 31.12.1</w:t>
            </w:r>
            <w:r>
              <w:rPr>
                <w:rFonts w:ascii="Cambria" w:hAnsi="Cambria"/>
                <w:b/>
                <w:sz w:val="20"/>
                <w:lang w:val="es-ES"/>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99246B" w14:textId="77777777" w:rsidR="00C03DF3" w:rsidRPr="00547FC3" w:rsidRDefault="00C03DF3" w:rsidP="00C03DF3">
            <w:pPr>
              <w:keepLines w:val="0"/>
              <w:widowControl/>
              <w:jc w:val="center"/>
              <w:rPr>
                <w:rFonts w:ascii="Cambria" w:hAnsi="Cambria"/>
                <w:b/>
                <w:sz w:val="20"/>
                <w:lang w:val="es-ES"/>
              </w:rPr>
            </w:pPr>
            <w:r w:rsidRPr="00547FC3">
              <w:rPr>
                <w:rFonts w:ascii="Cambria" w:hAnsi="Cambria"/>
                <w:b/>
                <w:sz w:val="20"/>
                <w:lang w:val="es-ES"/>
              </w:rPr>
              <w:t>Ingreso financiero (Nota 13.4)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1717D4" w14:textId="77777777" w:rsidR="00C03DF3" w:rsidRPr="00547FC3" w:rsidRDefault="00C03DF3" w:rsidP="00C03DF3">
            <w:pPr>
              <w:keepLines w:val="0"/>
              <w:widowControl/>
              <w:jc w:val="center"/>
              <w:rPr>
                <w:rFonts w:ascii="Cambria" w:hAnsi="Cambria"/>
                <w:b/>
                <w:sz w:val="20"/>
                <w:lang w:val="es-ES"/>
              </w:rPr>
            </w:pPr>
            <w:r w:rsidRPr="00547FC3">
              <w:rPr>
                <w:rFonts w:ascii="Cambria" w:hAnsi="Cambria"/>
                <w:b/>
                <w:sz w:val="20"/>
                <w:lang w:val="es-ES"/>
              </w:rPr>
              <w:t xml:space="preserve">Traspasos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9FCB4" w14:textId="77777777" w:rsidR="00C03DF3" w:rsidRPr="00547FC3" w:rsidRDefault="00C03DF3" w:rsidP="00C03DF3">
            <w:pPr>
              <w:keepLines w:val="0"/>
              <w:widowControl/>
              <w:jc w:val="center"/>
              <w:rPr>
                <w:rFonts w:ascii="Cambria" w:hAnsi="Cambria"/>
                <w:b/>
                <w:sz w:val="20"/>
                <w:lang w:val="es-ES"/>
              </w:rPr>
            </w:pPr>
            <w:r w:rsidRPr="00547FC3">
              <w:rPr>
                <w:rFonts w:ascii="Cambria" w:hAnsi="Cambria"/>
                <w:b/>
                <w:sz w:val="20"/>
                <w:lang w:val="es-ES"/>
              </w:rPr>
              <w:t>Cobro de Prestación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605351" w14:textId="46D1F97D" w:rsidR="00C03DF3" w:rsidRPr="00547FC3" w:rsidRDefault="00C03DF3" w:rsidP="00C03DF3">
            <w:pPr>
              <w:keepLines w:val="0"/>
              <w:widowControl/>
              <w:jc w:val="center"/>
              <w:rPr>
                <w:rFonts w:ascii="Cambria" w:hAnsi="Cambria"/>
                <w:b/>
                <w:sz w:val="20"/>
                <w:lang w:val="es-ES"/>
              </w:rPr>
            </w:pPr>
            <w:r w:rsidRPr="00547FC3">
              <w:rPr>
                <w:rFonts w:ascii="Cambria" w:hAnsi="Cambria"/>
                <w:b/>
                <w:sz w:val="20"/>
                <w:lang w:val="es-ES"/>
              </w:rPr>
              <w:t>Saldo al 31.12.20</w:t>
            </w:r>
          </w:p>
        </w:tc>
      </w:tr>
      <w:tr w:rsidR="00C03DF3" w:rsidRPr="00F8465B" w14:paraId="3ED44AC5" w14:textId="77777777" w:rsidTr="00C03DF3">
        <w:trPr>
          <w:trHeight w:val="277"/>
        </w:trPr>
        <w:tc>
          <w:tcPr>
            <w:tcW w:w="3114" w:type="dxa"/>
            <w:tcBorders>
              <w:top w:val="nil"/>
              <w:left w:val="single" w:sz="4" w:space="0" w:color="auto"/>
              <w:bottom w:val="nil"/>
              <w:right w:val="single" w:sz="4" w:space="0" w:color="auto"/>
            </w:tcBorders>
            <w:shd w:val="clear" w:color="auto" w:fill="auto"/>
            <w:vAlign w:val="bottom"/>
          </w:tcPr>
          <w:p w14:paraId="3B171C95" w14:textId="20DFC843" w:rsidR="00C03DF3" w:rsidRPr="00F8465B" w:rsidRDefault="00C03DF3" w:rsidP="00C03DF3">
            <w:pPr>
              <w:keepLines w:val="0"/>
              <w:widowControl/>
              <w:jc w:val="left"/>
              <w:rPr>
                <w:rFonts w:ascii="Cambria" w:hAnsi="Cambria"/>
                <w:sz w:val="20"/>
                <w:lang w:val="es-ES"/>
              </w:rPr>
            </w:pPr>
            <w:r w:rsidRPr="00F8465B">
              <w:rPr>
                <w:rFonts w:ascii="Cambria" w:hAnsi="Cambria"/>
                <w:sz w:val="20"/>
                <w:lang w:val="es-ES"/>
              </w:rPr>
              <w:t>Póliza Tomador Beneficiario AHV</w:t>
            </w:r>
          </w:p>
        </w:tc>
        <w:tc>
          <w:tcPr>
            <w:tcW w:w="1134" w:type="dxa"/>
            <w:tcBorders>
              <w:top w:val="nil"/>
              <w:left w:val="single" w:sz="4" w:space="0" w:color="auto"/>
              <w:bottom w:val="nil"/>
              <w:right w:val="single" w:sz="4" w:space="0" w:color="auto"/>
            </w:tcBorders>
            <w:vAlign w:val="bottom"/>
          </w:tcPr>
          <w:p w14:paraId="0898F0E5" w14:textId="4F73BC9D" w:rsidR="00C03DF3" w:rsidRDefault="00C03DF3" w:rsidP="00C03DF3">
            <w:pPr>
              <w:keepLines w:val="0"/>
              <w:widowControl/>
              <w:jc w:val="right"/>
              <w:rPr>
                <w:rFonts w:ascii="Cambria" w:hAnsi="Cambria"/>
                <w:sz w:val="20"/>
                <w:lang w:val="es-ES"/>
              </w:rPr>
            </w:pPr>
            <w:r>
              <w:rPr>
                <w:rFonts w:ascii="Cambria" w:hAnsi="Cambria"/>
                <w:sz w:val="20"/>
                <w:lang w:val="es-ES"/>
              </w:rPr>
              <w:t>86</w:t>
            </w:r>
          </w:p>
        </w:tc>
        <w:tc>
          <w:tcPr>
            <w:tcW w:w="1276" w:type="dxa"/>
            <w:tcBorders>
              <w:top w:val="nil"/>
              <w:left w:val="single" w:sz="4" w:space="0" w:color="auto"/>
              <w:bottom w:val="nil"/>
              <w:right w:val="single" w:sz="4" w:space="0" w:color="auto"/>
            </w:tcBorders>
            <w:shd w:val="clear" w:color="auto" w:fill="auto"/>
            <w:vAlign w:val="bottom"/>
          </w:tcPr>
          <w:p w14:paraId="0952C6F1" w14:textId="16B7DB54" w:rsidR="00C03DF3" w:rsidRPr="00547FC3" w:rsidRDefault="00011201" w:rsidP="00C03DF3">
            <w:pPr>
              <w:keepLines w:val="0"/>
              <w:widowControl/>
              <w:jc w:val="right"/>
              <w:rPr>
                <w:rFonts w:ascii="Cambria" w:hAnsi="Cambria"/>
                <w:sz w:val="20"/>
                <w:lang w:val="es-ES"/>
              </w:rPr>
            </w:pPr>
            <w:r>
              <w:rPr>
                <w:rFonts w:ascii="Cambria" w:hAnsi="Cambria"/>
                <w:sz w:val="20"/>
                <w:lang w:val="es-ES"/>
              </w:rPr>
              <w:t>9</w:t>
            </w:r>
          </w:p>
        </w:tc>
        <w:tc>
          <w:tcPr>
            <w:tcW w:w="1134" w:type="dxa"/>
            <w:tcBorders>
              <w:top w:val="nil"/>
              <w:left w:val="single" w:sz="4" w:space="0" w:color="auto"/>
              <w:bottom w:val="nil"/>
              <w:right w:val="single" w:sz="4" w:space="0" w:color="auto"/>
            </w:tcBorders>
            <w:shd w:val="clear" w:color="auto" w:fill="auto"/>
            <w:noWrap/>
            <w:vAlign w:val="bottom"/>
          </w:tcPr>
          <w:p w14:paraId="47A6B849" w14:textId="0078B59B" w:rsidR="00C03DF3" w:rsidRPr="00547FC3" w:rsidRDefault="00547FC3" w:rsidP="00C03DF3">
            <w:pPr>
              <w:keepLines w:val="0"/>
              <w:widowControl/>
              <w:jc w:val="right"/>
              <w:rPr>
                <w:rFonts w:ascii="Cambria" w:hAnsi="Cambria"/>
                <w:sz w:val="20"/>
                <w:lang w:val="es-ES"/>
              </w:rPr>
            </w:pPr>
            <w:r w:rsidRPr="00547FC3">
              <w:rPr>
                <w:rFonts w:ascii="Cambria" w:hAnsi="Cambria"/>
                <w:sz w:val="20"/>
                <w:lang w:val="es-ES"/>
              </w:rPr>
              <w:t>52</w:t>
            </w:r>
          </w:p>
        </w:tc>
        <w:tc>
          <w:tcPr>
            <w:tcW w:w="1134" w:type="dxa"/>
            <w:tcBorders>
              <w:top w:val="nil"/>
              <w:left w:val="single" w:sz="4" w:space="0" w:color="auto"/>
              <w:bottom w:val="nil"/>
              <w:right w:val="single" w:sz="4" w:space="0" w:color="auto"/>
            </w:tcBorders>
            <w:shd w:val="clear" w:color="auto" w:fill="FFFFFF"/>
            <w:noWrap/>
            <w:vAlign w:val="bottom"/>
          </w:tcPr>
          <w:p w14:paraId="61F8985B" w14:textId="795D8DB9" w:rsidR="00C03DF3" w:rsidRPr="00547FC3" w:rsidRDefault="00C03DF3" w:rsidP="00C03DF3">
            <w:pPr>
              <w:keepLines w:val="0"/>
              <w:widowControl/>
              <w:jc w:val="right"/>
              <w:rPr>
                <w:rFonts w:ascii="Cambria" w:hAnsi="Cambria"/>
                <w:sz w:val="20"/>
                <w:lang w:val="es-ES"/>
              </w:rPr>
            </w:pPr>
            <w:r w:rsidRPr="00547FC3">
              <w:rPr>
                <w:rFonts w:ascii="Cambria" w:hAnsi="Cambria"/>
                <w:sz w:val="20"/>
                <w:lang w:val="es-ES"/>
              </w:rPr>
              <w:t>(9</w:t>
            </w:r>
            <w:r w:rsidR="004C4EE6">
              <w:rPr>
                <w:rFonts w:ascii="Cambria" w:hAnsi="Cambria"/>
                <w:sz w:val="20"/>
                <w:lang w:val="es-ES"/>
              </w:rPr>
              <w:t>5</w:t>
            </w:r>
            <w:r w:rsidRPr="00547FC3">
              <w:rPr>
                <w:rFonts w:ascii="Cambria" w:hAnsi="Cambria"/>
                <w:sz w:val="20"/>
                <w:lang w:val="es-ES"/>
              </w:rPr>
              <w:t>)</w:t>
            </w:r>
          </w:p>
        </w:tc>
        <w:tc>
          <w:tcPr>
            <w:tcW w:w="992" w:type="dxa"/>
            <w:tcBorders>
              <w:top w:val="nil"/>
              <w:left w:val="single" w:sz="4" w:space="0" w:color="auto"/>
              <w:bottom w:val="nil"/>
              <w:right w:val="single" w:sz="4" w:space="0" w:color="auto"/>
            </w:tcBorders>
            <w:shd w:val="clear" w:color="auto" w:fill="FFFFFF"/>
            <w:noWrap/>
            <w:vAlign w:val="bottom"/>
          </w:tcPr>
          <w:p w14:paraId="18F9B653" w14:textId="4B003F5C" w:rsidR="00C03DF3" w:rsidRPr="00547FC3" w:rsidRDefault="00547FC3" w:rsidP="00C03DF3">
            <w:pPr>
              <w:keepLines w:val="0"/>
              <w:widowControl/>
              <w:jc w:val="right"/>
              <w:rPr>
                <w:rFonts w:ascii="Cambria" w:hAnsi="Cambria"/>
                <w:sz w:val="20"/>
                <w:lang w:val="es-ES"/>
              </w:rPr>
            </w:pPr>
            <w:r w:rsidRPr="00547FC3">
              <w:rPr>
                <w:rFonts w:ascii="Cambria" w:hAnsi="Cambria"/>
                <w:sz w:val="20"/>
                <w:lang w:val="es-ES"/>
              </w:rPr>
              <w:t>52</w:t>
            </w:r>
          </w:p>
        </w:tc>
      </w:tr>
      <w:tr w:rsidR="00C03DF3" w:rsidRPr="00F8465B" w14:paraId="67337E99" w14:textId="77777777" w:rsidTr="00C03DF3">
        <w:trPr>
          <w:trHeight w:val="38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71453F61" w14:textId="77777777" w:rsidR="00C03DF3" w:rsidRPr="00F8465B" w:rsidRDefault="00C03DF3" w:rsidP="00C03DF3">
            <w:pPr>
              <w:keepLines w:val="0"/>
              <w:widowControl/>
              <w:jc w:val="left"/>
              <w:rPr>
                <w:rFonts w:ascii="Cambria" w:hAnsi="Cambria"/>
                <w:b/>
                <w:bCs/>
                <w:sz w:val="20"/>
                <w:lang w:val="es-ES"/>
              </w:rPr>
            </w:pPr>
            <w:r w:rsidRPr="00F8465B">
              <w:rPr>
                <w:rFonts w:ascii="Cambria" w:hAnsi="Cambria"/>
                <w:b/>
                <w:bCs/>
                <w:sz w:val="20"/>
                <w:lang w:val="es-ES"/>
              </w:rPr>
              <w:t>TOTAL ASEGURAMIENTO</w:t>
            </w:r>
          </w:p>
        </w:tc>
        <w:tc>
          <w:tcPr>
            <w:tcW w:w="1134" w:type="dxa"/>
            <w:tcBorders>
              <w:top w:val="single" w:sz="4" w:space="0" w:color="auto"/>
              <w:left w:val="single" w:sz="4" w:space="0" w:color="auto"/>
              <w:bottom w:val="single" w:sz="4" w:space="0" w:color="auto"/>
              <w:right w:val="single" w:sz="4" w:space="0" w:color="auto"/>
            </w:tcBorders>
            <w:vAlign w:val="center"/>
          </w:tcPr>
          <w:p w14:paraId="2D8D8783" w14:textId="2617C59A" w:rsidR="00C03DF3" w:rsidRDefault="00C03DF3" w:rsidP="00C03DF3">
            <w:pPr>
              <w:keepLines w:val="0"/>
              <w:widowControl/>
              <w:jc w:val="right"/>
              <w:rPr>
                <w:rFonts w:ascii="Cambria" w:hAnsi="Cambria"/>
                <w:b/>
                <w:bCs/>
                <w:sz w:val="20"/>
                <w:lang w:val="es-ES"/>
              </w:rPr>
            </w:pPr>
            <w:r>
              <w:rPr>
                <w:rFonts w:ascii="Cambria" w:hAnsi="Cambria"/>
                <w:b/>
                <w:bCs/>
                <w:sz w:val="20"/>
                <w:lang w:val="es-ES"/>
              </w:rPr>
              <w:t>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A9848F" w14:textId="2F5BB641" w:rsidR="00C03DF3" w:rsidRPr="00547FC3" w:rsidRDefault="00011201" w:rsidP="00C03DF3">
            <w:pPr>
              <w:keepLines w:val="0"/>
              <w:widowControl/>
              <w:jc w:val="right"/>
              <w:rPr>
                <w:rFonts w:ascii="Cambria" w:hAnsi="Cambria"/>
                <w:b/>
                <w:bCs/>
                <w:sz w:val="20"/>
                <w:lang w:val="es-ES"/>
              </w:rPr>
            </w:pPr>
            <w:r>
              <w:rPr>
                <w:rFonts w:ascii="Cambria" w:hAnsi="Cambria"/>
                <w:b/>
                <w:bCs/>
                <w:sz w:val="20"/>
                <w:lang w:val="es-ES"/>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F2D08" w14:textId="23680E17" w:rsidR="00C03DF3" w:rsidRPr="00547FC3" w:rsidRDefault="00547FC3" w:rsidP="00C03DF3">
            <w:pPr>
              <w:keepLines w:val="0"/>
              <w:widowControl/>
              <w:jc w:val="right"/>
              <w:rPr>
                <w:rFonts w:ascii="Cambria" w:hAnsi="Cambria"/>
                <w:b/>
                <w:bCs/>
                <w:sz w:val="20"/>
                <w:lang w:val="es-ES"/>
              </w:rPr>
            </w:pPr>
            <w:r w:rsidRPr="00547FC3">
              <w:rPr>
                <w:rFonts w:ascii="Cambria" w:hAnsi="Cambria"/>
                <w:b/>
                <w:bCs/>
                <w:sz w:val="20"/>
                <w:lang w:val="es-ES"/>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7F3F88" w14:textId="108BF31B" w:rsidR="00C03DF3" w:rsidRPr="00547FC3" w:rsidRDefault="00C03DF3" w:rsidP="00C03DF3">
            <w:pPr>
              <w:keepLines w:val="0"/>
              <w:widowControl/>
              <w:jc w:val="right"/>
              <w:rPr>
                <w:rFonts w:ascii="Cambria" w:hAnsi="Cambria"/>
                <w:b/>
                <w:bCs/>
                <w:sz w:val="20"/>
                <w:lang w:val="es-ES"/>
              </w:rPr>
            </w:pPr>
            <w:r w:rsidRPr="00547FC3">
              <w:rPr>
                <w:rFonts w:ascii="Cambria" w:hAnsi="Cambria"/>
                <w:b/>
                <w:bCs/>
                <w:sz w:val="20"/>
                <w:lang w:val="es-ES"/>
              </w:rPr>
              <w:t>(9</w:t>
            </w:r>
            <w:r w:rsidR="004C4EE6">
              <w:rPr>
                <w:rFonts w:ascii="Cambria" w:hAnsi="Cambria"/>
                <w:b/>
                <w:bCs/>
                <w:sz w:val="20"/>
                <w:lang w:val="es-ES"/>
              </w:rPr>
              <w:t>5</w:t>
            </w:r>
            <w:r w:rsidRPr="00547FC3">
              <w:rPr>
                <w:rFonts w:ascii="Cambria" w:hAnsi="Cambria"/>
                <w:b/>
                <w:bCs/>
                <w:sz w:val="20"/>
                <w:lang w:val="es-ES"/>
              </w:rPr>
              <w:t>)</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B52404" w14:textId="63739AA4" w:rsidR="00C03DF3" w:rsidRPr="00547FC3" w:rsidRDefault="00547FC3" w:rsidP="00C03DF3">
            <w:pPr>
              <w:keepLines w:val="0"/>
              <w:widowControl/>
              <w:jc w:val="right"/>
              <w:rPr>
                <w:rFonts w:ascii="Cambria" w:hAnsi="Cambria"/>
                <w:b/>
                <w:bCs/>
                <w:sz w:val="20"/>
                <w:lang w:val="es-ES"/>
              </w:rPr>
            </w:pPr>
            <w:r w:rsidRPr="00547FC3">
              <w:rPr>
                <w:rFonts w:ascii="Cambria" w:hAnsi="Cambria"/>
                <w:b/>
                <w:bCs/>
                <w:sz w:val="20"/>
                <w:lang w:val="es-ES"/>
              </w:rPr>
              <w:t>52</w:t>
            </w:r>
          </w:p>
        </w:tc>
      </w:tr>
    </w:tbl>
    <w:p w14:paraId="3D8CA8EC" w14:textId="77777777" w:rsidR="001635E5" w:rsidRPr="00F8465B" w:rsidRDefault="001635E5" w:rsidP="002D6127"/>
    <w:p w14:paraId="58392A71" w14:textId="77777777" w:rsidR="001635E5" w:rsidRDefault="001635E5" w:rsidP="008017A2">
      <w:pPr>
        <w:ind w:left="567"/>
        <w:rPr>
          <w:rFonts w:ascii="Cambria" w:hAnsi="Cambria"/>
          <w:b/>
          <w:sz w:val="24"/>
          <w:szCs w:val="24"/>
          <w:u w:val="single"/>
        </w:rPr>
      </w:pPr>
    </w:p>
    <w:p w14:paraId="67396E7D" w14:textId="77777777" w:rsidR="008F10C7" w:rsidRDefault="008F10C7" w:rsidP="00DE1896">
      <w:pPr>
        <w:ind w:left="567"/>
        <w:rPr>
          <w:rFonts w:ascii="Cambria" w:hAnsi="Cambria"/>
          <w:b/>
          <w:sz w:val="24"/>
          <w:szCs w:val="24"/>
          <w:u w:val="single"/>
        </w:rPr>
      </w:pPr>
    </w:p>
    <w:p w14:paraId="68DEF57E" w14:textId="77777777" w:rsidR="00C03DF3" w:rsidRPr="00F8465B" w:rsidRDefault="00C03DF3" w:rsidP="00C03DF3">
      <w:pPr>
        <w:ind w:left="567"/>
        <w:rPr>
          <w:rFonts w:ascii="Cambria" w:hAnsi="Cambria"/>
          <w:b/>
          <w:sz w:val="24"/>
          <w:szCs w:val="24"/>
          <w:u w:val="single"/>
        </w:rPr>
      </w:pPr>
      <w:r>
        <w:rPr>
          <w:rFonts w:ascii="Cambria" w:hAnsi="Cambria"/>
          <w:b/>
          <w:sz w:val="24"/>
          <w:szCs w:val="24"/>
          <w:u w:val="single"/>
        </w:rPr>
        <w:t>Ejercicio 2019</w:t>
      </w:r>
    </w:p>
    <w:p w14:paraId="4C7CE23A" w14:textId="77777777" w:rsidR="00C03DF3" w:rsidRDefault="00C03DF3" w:rsidP="00C03DF3"/>
    <w:tbl>
      <w:tblPr>
        <w:tblpPr w:leftFromText="141" w:rightFromText="141" w:vertAnchor="text" w:horzAnchor="page" w:tblpX="2280" w:tblpY="170"/>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114"/>
        <w:gridCol w:w="1134"/>
        <w:gridCol w:w="1276"/>
        <w:gridCol w:w="1134"/>
        <w:gridCol w:w="1134"/>
        <w:gridCol w:w="992"/>
      </w:tblGrid>
      <w:tr w:rsidR="00C03DF3" w:rsidRPr="00F8465B" w14:paraId="07AF047D" w14:textId="77777777" w:rsidTr="00C1202E">
        <w:trPr>
          <w:trHeight w:val="400"/>
        </w:trPr>
        <w:tc>
          <w:tcPr>
            <w:tcW w:w="311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FFA3C8" w14:textId="77777777" w:rsidR="00C03DF3" w:rsidRPr="00F8465B" w:rsidRDefault="00C03DF3" w:rsidP="00C1202E">
            <w:pPr>
              <w:keepLines w:val="0"/>
              <w:widowControl/>
              <w:rPr>
                <w:rFonts w:ascii="Cambria" w:hAnsi="Cambria"/>
                <w:sz w:val="20"/>
                <w:lang w:val="es-ES"/>
              </w:rPr>
            </w:pPr>
            <w:r w:rsidRPr="00F8465B">
              <w:rPr>
                <w:rFonts w:ascii="Cambria" w:hAnsi="Cambria"/>
                <w:sz w:val="20"/>
                <w:lang w:val="es-ES"/>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B3243" w14:textId="77777777" w:rsidR="00C03DF3" w:rsidRPr="00F8465B" w:rsidRDefault="00C03DF3" w:rsidP="00C1202E">
            <w:pPr>
              <w:keepLines w:val="0"/>
              <w:widowControl/>
              <w:jc w:val="center"/>
              <w:rPr>
                <w:rFonts w:ascii="Cambria" w:hAnsi="Cambria"/>
                <w:b/>
                <w:sz w:val="20"/>
                <w:lang w:val="es-ES"/>
              </w:rPr>
            </w:pPr>
            <w:r w:rsidRPr="00F8465B">
              <w:rPr>
                <w:rFonts w:ascii="Cambria" w:hAnsi="Cambria"/>
                <w:b/>
                <w:sz w:val="20"/>
                <w:lang w:val="es-ES"/>
              </w:rPr>
              <w:t>Saldo al 31.12.1</w:t>
            </w:r>
            <w:r>
              <w:rPr>
                <w:rFonts w:ascii="Cambria" w:hAnsi="Cambria"/>
                <w:b/>
                <w:sz w:val="20"/>
                <w:lang w:val="es-ES"/>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03D889" w14:textId="77777777" w:rsidR="00C03DF3" w:rsidRPr="00F8465B" w:rsidRDefault="00C03DF3" w:rsidP="00C1202E">
            <w:pPr>
              <w:keepLines w:val="0"/>
              <w:widowControl/>
              <w:jc w:val="center"/>
              <w:rPr>
                <w:rFonts w:ascii="Cambria" w:hAnsi="Cambria"/>
                <w:b/>
                <w:sz w:val="20"/>
                <w:lang w:val="es-ES"/>
              </w:rPr>
            </w:pPr>
            <w:r w:rsidRPr="00F8465B">
              <w:rPr>
                <w:rFonts w:ascii="Cambria" w:hAnsi="Cambria"/>
                <w:b/>
                <w:sz w:val="20"/>
                <w:lang w:val="es-ES"/>
              </w:rPr>
              <w:t>Ingreso financiero (Nota 13.4)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96A8FB" w14:textId="77777777" w:rsidR="00C03DF3" w:rsidRPr="00F8465B" w:rsidRDefault="00C03DF3" w:rsidP="00C1202E">
            <w:pPr>
              <w:keepLines w:val="0"/>
              <w:widowControl/>
              <w:jc w:val="center"/>
              <w:rPr>
                <w:rFonts w:ascii="Cambria" w:hAnsi="Cambria"/>
                <w:b/>
                <w:sz w:val="20"/>
                <w:lang w:val="es-ES"/>
              </w:rPr>
            </w:pPr>
            <w:r w:rsidRPr="00F8465B">
              <w:rPr>
                <w:rFonts w:ascii="Cambria" w:hAnsi="Cambria"/>
                <w:b/>
                <w:sz w:val="20"/>
                <w:lang w:val="es-ES"/>
              </w:rPr>
              <w:t xml:space="preserve">Traspasos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D9248" w14:textId="77777777" w:rsidR="00C03DF3" w:rsidRPr="00F8465B" w:rsidRDefault="00C03DF3" w:rsidP="00C1202E">
            <w:pPr>
              <w:keepLines w:val="0"/>
              <w:widowControl/>
              <w:jc w:val="center"/>
              <w:rPr>
                <w:rFonts w:ascii="Cambria" w:hAnsi="Cambria"/>
                <w:b/>
                <w:sz w:val="20"/>
                <w:lang w:val="es-ES"/>
              </w:rPr>
            </w:pPr>
            <w:r w:rsidRPr="00F8465B">
              <w:rPr>
                <w:rFonts w:ascii="Cambria" w:hAnsi="Cambria"/>
                <w:b/>
                <w:sz w:val="20"/>
                <w:lang w:val="es-ES"/>
              </w:rPr>
              <w:t>Cobro de Prestación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1999D" w14:textId="77777777" w:rsidR="00C03DF3" w:rsidRPr="00F8465B" w:rsidRDefault="00C03DF3" w:rsidP="00C1202E">
            <w:pPr>
              <w:keepLines w:val="0"/>
              <w:widowControl/>
              <w:jc w:val="center"/>
              <w:rPr>
                <w:rFonts w:ascii="Cambria" w:hAnsi="Cambria"/>
                <w:b/>
                <w:sz w:val="20"/>
                <w:lang w:val="es-ES"/>
              </w:rPr>
            </w:pPr>
            <w:r w:rsidRPr="00F8465B">
              <w:rPr>
                <w:rFonts w:ascii="Cambria" w:hAnsi="Cambria"/>
                <w:b/>
                <w:sz w:val="20"/>
                <w:lang w:val="es-ES"/>
              </w:rPr>
              <w:t>Saldo al 31.12.1</w:t>
            </w:r>
            <w:r>
              <w:rPr>
                <w:rFonts w:ascii="Cambria" w:hAnsi="Cambria"/>
                <w:b/>
                <w:sz w:val="20"/>
                <w:lang w:val="es-ES"/>
              </w:rPr>
              <w:t>9</w:t>
            </w:r>
          </w:p>
        </w:tc>
      </w:tr>
      <w:tr w:rsidR="00C03DF3" w:rsidRPr="00F8465B" w14:paraId="6C44B118" w14:textId="77777777" w:rsidTr="00C1202E">
        <w:trPr>
          <w:trHeight w:val="277"/>
        </w:trPr>
        <w:tc>
          <w:tcPr>
            <w:tcW w:w="3114" w:type="dxa"/>
            <w:tcBorders>
              <w:top w:val="nil"/>
              <w:left w:val="single" w:sz="4" w:space="0" w:color="auto"/>
              <w:bottom w:val="nil"/>
              <w:right w:val="single" w:sz="4" w:space="0" w:color="auto"/>
            </w:tcBorders>
            <w:shd w:val="clear" w:color="auto" w:fill="auto"/>
            <w:vAlign w:val="bottom"/>
          </w:tcPr>
          <w:p w14:paraId="604BEAFA" w14:textId="77777777" w:rsidR="00C03DF3" w:rsidRPr="00F8465B" w:rsidRDefault="00C03DF3" w:rsidP="00C1202E">
            <w:pPr>
              <w:keepLines w:val="0"/>
              <w:widowControl/>
              <w:jc w:val="left"/>
              <w:rPr>
                <w:rFonts w:ascii="Cambria" w:hAnsi="Cambria"/>
                <w:sz w:val="20"/>
                <w:lang w:val="es-ES"/>
              </w:rPr>
            </w:pPr>
            <w:r w:rsidRPr="00F8465B">
              <w:rPr>
                <w:rFonts w:ascii="Cambria" w:hAnsi="Cambria"/>
                <w:sz w:val="20"/>
                <w:lang w:val="es-ES"/>
              </w:rPr>
              <w:t>Póliza Tomador Beneficiario AHV</w:t>
            </w:r>
          </w:p>
        </w:tc>
        <w:tc>
          <w:tcPr>
            <w:tcW w:w="1134" w:type="dxa"/>
            <w:tcBorders>
              <w:top w:val="nil"/>
              <w:left w:val="single" w:sz="4" w:space="0" w:color="auto"/>
              <w:bottom w:val="nil"/>
              <w:right w:val="single" w:sz="4" w:space="0" w:color="auto"/>
            </w:tcBorders>
            <w:vAlign w:val="bottom"/>
          </w:tcPr>
          <w:p w14:paraId="5B82622B" w14:textId="77777777" w:rsidR="00C03DF3" w:rsidRPr="00F8465B" w:rsidRDefault="00C03DF3" w:rsidP="00C1202E">
            <w:pPr>
              <w:keepLines w:val="0"/>
              <w:widowControl/>
              <w:jc w:val="right"/>
              <w:rPr>
                <w:rFonts w:ascii="Cambria" w:hAnsi="Cambria"/>
                <w:sz w:val="20"/>
                <w:lang w:val="es-ES"/>
              </w:rPr>
            </w:pPr>
            <w:r>
              <w:rPr>
                <w:rFonts w:ascii="Cambria" w:hAnsi="Cambria"/>
                <w:sz w:val="20"/>
                <w:lang w:val="es-ES"/>
              </w:rPr>
              <w:t>88</w:t>
            </w:r>
          </w:p>
        </w:tc>
        <w:tc>
          <w:tcPr>
            <w:tcW w:w="1276" w:type="dxa"/>
            <w:tcBorders>
              <w:top w:val="nil"/>
              <w:left w:val="single" w:sz="4" w:space="0" w:color="auto"/>
              <w:bottom w:val="nil"/>
              <w:right w:val="single" w:sz="4" w:space="0" w:color="auto"/>
            </w:tcBorders>
            <w:shd w:val="clear" w:color="auto" w:fill="auto"/>
            <w:vAlign w:val="bottom"/>
          </w:tcPr>
          <w:p w14:paraId="33FCF44C" w14:textId="77777777" w:rsidR="00C03DF3" w:rsidRPr="00F8465B" w:rsidRDefault="00C03DF3" w:rsidP="00C1202E">
            <w:pPr>
              <w:keepLines w:val="0"/>
              <w:widowControl/>
              <w:jc w:val="right"/>
              <w:rPr>
                <w:rFonts w:ascii="Cambria" w:hAnsi="Cambria"/>
                <w:sz w:val="20"/>
                <w:lang w:val="es-ES"/>
              </w:rPr>
            </w:pPr>
            <w:r>
              <w:rPr>
                <w:rFonts w:ascii="Cambria" w:hAnsi="Cambria"/>
                <w:sz w:val="20"/>
                <w:lang w:val="es-ES"/>
              </w:rPr>
              <w:t>11</w:t>
            </w:r>
          </w:p>
        </w:tc>
        <w:tc>
          <w:tcPr>
            <w:tcW w:w="1134" w:type="dxa"/>
            <w:tcBorders>
              <w:top w:val="nil"/>
              <w:left w:val="single" w:sz="4" w:space="0" w:color="auto"/>
              <w:bottom w:val="nil"/>
              <w:right w:val="single" w:sz="4" w:space="0" w:color="auto"/>
            </w:tcBorders>
            <w:shd w:val="clear" w:color="auto" w:fill="auto"/>
            <w:noWrap/>
            <w:vAlign w:val="bottom"/>
          </w:tcPr>
          <w:p w14:paraId="0A34D7F0" w14:textId="77777777" w:rsidR="00C03DF3" w:rsidRPr="00F8465B" w:rsidRDefault="00C03DF3" w:rsidP="00C1202E">
            <w:pPr>
              <w:keepLines w:val="0"/>
              <w:widowControl/>
              <w:jc w:val="right"/>
              <w:rPr>
                <w:rFonts w:ascii="Cambria" w:hAnsi="Cambria"/>
                <w:sz w:val="20"/>
                <w:lang w:val="es-ES"/>
              </w:rPr>
            </w:pPr>
            <w:r>
              <w:rPr>
                <w:rFonts w:ascii="Cambria" w:hAnsi="Cambria"/>
                <w:sz w:val="20"/>
                <w:lang w:val="es-ES"/>
              </w:rPr>
              <w:t>85</w:t>
            </w:r>
          </w:p>
        </w:tc>
        <w:tc>
          <w:tcPr>
            <w:tcW w:w="1134" w:type="dxa"/>
            <w:tcBorders>
              <w:top w:val="nil"/>
              <w:left w:val="single" w:sz="4" w:space="0" w:color="auto"/>
              <w:bottom w:val="nil"/>
              <w:right w:val="single" w:sz="4" w:space="0" w:color="auto"/>
            </w:tcBorders>
            <w:shd w:val="clear" w:color="auto" w:fill="FFFFFF"/>
            <w:noWrap/>
            <w:vAlign w:val="bottom"/>
          </w:tcPr>
          <w:p w14:paraId="284CBAE0" w14:textId="77777777" w:rsidR="00C03DF3" w:rsidRPr="00F8465B" w:rsidRDefault="00C03DF3" w:rsidP="00C1202E">
            <w:pPr>
              <w:keepLines w:val="0"/>
              <w:widowControl/>
              <w:jc w:val="right"/>
              <w:rPr>
                <w:rFonts w:ascii="Cambria" w:hAnsi="Cambria"/>
                <w:sz w:val="20"/>
                <w:lang w:val="es-ES"/>
              </w:rPr>
            </w:pPr>
            <w:r>
              <w:rPr>
                <w:rFonts w:ascii="Cambria" w:hAnsi="Cambria"/>
                <w:sz w:val="20"/>
                <w:lang w:val="es-ES"/>
              </w:rPr>
              <w:t>(98)</w:t>
            </w:r>
          </w:p>
        </w:tc>
        <w:tc>
          <w:tcPr>
            <w:tcW w:w="992" w:type="dxa"/>
            <w:tcBorders>
              <w:top w:val="nil"/>
              <w:left w:val="single" w:sz="4" w:space="0" w:color="auto"/>
              <w:bottom w:val="nil"/>
              <w:right w:val="single" w:sz="4" w:space="0" w:color="auto"/>
            </w:tcBorders>
            <w:shd w:val="clear" w:color="auto" w:fill="FFFFFF"/>
            <w:noWrap/>
            <w:vAlign w:val="bottom"/>
          </w:tcPr>
          <w:p w14:paraId="22A9EF0E" w14:textId="77777777" w:rsidR="00C03DF3" w:rsidRPr="00F8465B" w:rsidRDefault="00C03DF3" w:rsidP="00C1202E">
            <w:pPr>
              <w:keepLines w:val="0"/>
              <w:widowControl/>
              <w:jc w:val="right"/>
              <w:rPr>
                <w:rFonts w:ascii="Cambria" w:hAnsi="Cambria"/>
                <w:sz w:val="20"/>
                <w:lang w:val="es-ES"/>
              </w:rPr>
            </w:pPr>
            <w:r>
              <w:rPr>
                <w:rFonts w:ascii="Cambria" w:hAnsi="Cambria"/>
                <w:sz w:val="20"/>
                <w:lang w:val="es-ES"/>
              </w:rPr>
              <w:t>86</w:t>
            </w:r>
          </w:p>
        </w:tc>
      </w:tr>
      <w:tr w:rsidR="00C03DF3" w:rsidRPr="00F8465B" w14:paraId="5D22C439" w14:textId="77777777" w:rsidTr="00C1202E">
        <w:trPr>
          <w:trHeight w:val="38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24ACAB9" w14:textId="77777777" w:rsidR="00C03DF3" w:rsidRPr="00F8465B" w:rsidRDefault="00C03DF3" w:rsidP="00C1202E">
            <w:pPr>
              <w:keepLines w:val="0"/>
              <w:widowControl/>
              <w:jc w:val="left"/>
              <w:rPr>
                <w:rFonts w:ascii="Cambria" w:hAnsi="Cambria"/>
                <w:b/>
                <w:bCs/>
                <w:sz w:val="20"/>
                <w:lang w:val="es-ES"/>
              </w:rPr>
            </w:pPr>
            <w:r w:rsidRPr="00F8465B">
              <w:rPr>
                <w:rFonts w:ascii="Cambria" w:hAnsi="Cambria"/>
                <w:b/>
                <w:bCs/>
                <w:sz w:val="20"/>
                <w:lang w:val="es-ES"/>
              </w:rPr>
              <w:t>TOTAL ASEGURAMIENTO</w:t>
            </w:r>
          </w:p>
        </w:tc>
        <w:tc>
          <w:tcPr>
            <w:tcW w:w="1134" w:type="dxa"/>
            <w:tcBorders>
              <w:top w:val="single" w:sz="4" w:space="0" w:color="auto"/>
              <w:left w:val="single" w:sz="4" w:space="0" w:color="auto"/>
              <w:bottom w:val="single" w:sz="4" w:space="0" w:color="auto"/>
              <w:right w:val="single" w:sz="4" w:space="0" w:color="auto"/>
            </w:tcBorders>
            <w:vAlign w:val="center"/>
          </w:tcPr>
          <w:p w14:paraId="2A4FEF5A" w14:textId="77777777" w:rsidR="00C03DF3" w:rsidRPr="00F8465B" w:rsidRDefault="00C03DF3" w:rsidP="00C1202E">
            <w:pPr>
              <w:keepLines w:val="0"/>
              <w:widowControl/>
              <w:jc w:val="right"/>
              <w:rPr>
                <w:rFonts w:ascii="Cambria" w:hAnsi="Cambria"/>
                <w:b/>
                <w:bCs/>
                <w:sz w:val="20"/>
                <w:lang w:val="es-ES"/>
              </w:rPr>
            </w:pPr>
            <w:r>
              <w:rPr>
                <w:rFonts w:ascii="Cambria" w:hAnsi="Cambria"/>
                <w:b/>
                <w:bCs/>
                <w:sz w:val="20"/>
                <w:lang w:val="es-ES"/>
              </w:rPr>
              <w:t>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9E28DC" w14:textId="77777777" w:rsidR="00C03DF3" w:rsidRPr="00F8465B" w:rsidRDefault="00C03DF3" w:rsidP="00C1202E">
            <w:pPr>
              <w:keepLines w:val="0"/>
              <w:widowControl/>
              <w:jc w:val="right"/>
              <w:rPr>
                <w:rFonts w:ascii="Cambria" w:hAnsi="Cambria"/>
                <w:b/>
                <w:bCs/>
                <w:sz w:val="20"/>
                <w:lang w:val="es-ES"/>
              </w:rPr>
            </w:pPr>
            <w:r>
              <w:rPr>
                <w:rFonts w:ascii="Cambria" w:hAnsi="Cambria"/>
                <w:b/>
                <w:bCs/>
                <w:sz w:val="20"/>
                <w:lang w:val="es-ES"/>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25F9A" w14:textId="77777777" w:rsidR="00C03DF3" w:rsidRPr="00F8465B" w:rsidRDefault="00C03DF3" w:rsidP="00C1202E">
            <w:pPr>
              <w:keepLines w:val="0"/>
              <w:widowControl/>
              <w:jc w:val="right"/>
              <w:rPr>
                <w:rFonts w:ascii="Cambria" w:hAnsi="Cambria"/>
                <w:b/>
                <w:bCs/>
                <w:sz w:val="20"/>
                <w:lang w:val="es-ES"/>
              </w:rPr>
            </w:pPr>
            <w:r>
              <w:rPr>
                <w:rFonts w:ascii="Cambria" w:hAnsi="Cambria"/>
                <w:b/>
                <w:bCs/>
                <w:sz w:val="20"/>
                <w:lang w:val="es-ES"/>
              </w:rPr>
              <w:t>85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6A956D" w14:textId="77777777" w:rsidR="00C03DF3" w:rsidRPr="00F8465B" w:rsidRDefault="00C03DF3" w:rsidP="00C1202E">
            <w:pPr>
              <w:keepLines w:val="0"/>
              <w:widowControl/>
              <w:jc w:val="right"/>
              <w:rPr>
                <w:rFonts w:ascii="Cambria" w:hAnsi="Cambria"/>
                <w:b/>
                <w:bCs/>
                <w:sz w:val="20"/>
                <w:lang w:val="es-ES"/>
              </w:rPr>
            </w:pPr>
            <w:r>
              <w:rPr>
                <w:rFonts w:ascii="Cambria" w:hAnsi="Cambria"/>
                <w:b/>
                <w:bCs/>
                <w:sz w:val="20"/>
                <w:lang w:val="es-ES"/>
              </w:rPr>
              <w:t>(98)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34174" w14:textId="77777777" w:rsidR="00C03DF3" w:rsidRPr="00F8465B" w:rsidRDefault="00C03DF3" w:rsidP="00C1202E">
            <w:pPr>
              <w:keepLines w:val="0"/>
              <w:widowControl/>
              <w:jc w:val="right"/>
              <w:rPr>
                <w:rFonts w:ascii="Cambria" w:hAnsi="Cambria"/>
                <w:b/>
                <w:bCs/>
                <w:sz w:val="20"/>
                <w:lang w:val="es-ES"/>
              </w:rPr>
            </w:pPr>
            <w:r>
              <w:rPr>
                <w:rFonts w:ascii="Cambria" w:hAnsi="Cambria"/>
                <w:b/>
                <w:bCs/>
                <w:sz w:val="20"/>
                <w:lang w:val="es-ES"/>
              </w:rPr>
              <w:t>86</w:t>
            </w:r>
          </w:p>
        </w:tc>
      </w:tr>
    </w:tbl>
    <w:p w14:paraId="15E88B33" w14:textId="77777777" w:rsidR="008017A2" w:rsidRPr="00F8465B" w:rsidRDefault="008017A2" w:rsidP="002D6127"/>
    <w:p w14:paraId="1530F1D5" w14:textId="77777777" w:rsidR="00987D41" w:rsidRPr="00F8465B" w:rsidRDefault="00987D41" w:rsidP="00987D41">
      <w:pPr>
        <w:ind w:left="426"/>
        <w:rPr>
          <w:rFonts w:ascii="Cambria" w:hAnsi="Cambria"/>
          <w:b/>
          <w:sz w:val="24"/>
          <w:szCs w:val="24"/>
          <w:u w:val="single"/>
        </w:rPr>
      </w:pPr>
    </w:p>
    <w:p w14:paraId="11BA24BD" w14:textId="77777777" w:rsidR="008017A2" w:rsidRPr="00F8465B" w:rsidRDefault="008017A2" w:rsidP="00E62C3A">
      <w:pPr>
        <w:ind w:left="567"/>
        <w:rPr>
          <w:rFonts w:ascii="Cambria" w:hAnsi="Cambria"/>
          <w:b/>
          <w:sz w:val="24"/>
          <w:szCs w:val="24"/>
          <w:u w:val="single"/>
        </w:rPr>
      </w:pPr>
    </w:p>
    <w:p w14:paraId="7BB354D0" w14:textId="4BC123EC" w:rsidR="007D4CC6" w:rsidRDefault="007D4CC6">
      <w:pPr>
        <w:keepLines w:val="0"/>
        <w:widowControl/>
        <w:jc w:val="left"/>
        <w:rPr>
          <w:rFonts w:ascii="Cambria" w:hAnsi="Cambria"/>
          <w:sz w:val="24"/>
          <w:szCs w:val="24"/>
        </w:rPr>
      </w:pPr>
    </w:p>
    <w:p w14:paraId="2D202E85" w14:textId="149D903E" w:rsidR="001C4EA5" w:rsidRPr="00F8465B" w:rsidRDefault="001669B4" w:rsidP="00E62C3A">
      <w:pPr>
        <w:pStyle w:val="Ttulo1a"/>
        <w:ind w:left="567"/>
        <w:rPr>
          <w:rFonts w:ascii="Cambria" w:hAnsi="Cambria"/>
          <w:sz w:val="24"/>
          <w:szCs w:val="24"/>
        </w:rPr>
      </w:pPr>
      <w:r w:rsidRPr="00F8465B">
        <w:rPr>
          <w:rFonts w:ascii="Cambria" w:hAnsi="Cambria"/>
          <w:sz w:val="24"/>
          <w:szCs w:val="24"/>
        </w:rPr>
        <w:t>La sociedad disuelta AHV procedió a asegurar en el ejercicio 2001 aquellos compromisos que no se encuadraban en el régimen previsto de exteriorización, relativos, básicamente, a complementos de cotización a la Seguridad Social y complementos a la Dirección General de Trabajo (Ayudas previas), tanto para su personal ya prejubilado como para aquellos trabajadores que, si bien también estaban afectos al expediente 93-2001 (Plan de Competitividad), su prejubilación se produciría con posterioridad al 31 de diciembre de 2001, dada su participación en la liquidación ordenada de la Sociedad (“personal retenido”). Por ello se formalizó una póliza de seguro colectivo en régimen de prima única cuya contraprestación consistía en el pago a la sociedad, como beneficiaria de la póliza, de unas rentas temporales variables que le permitían asegurarse unos flujos futuros de caja que posibilitarían el cumplimiento de las mencionadas obligaciones.</w:t>
      </w:r>
    </w:p>
    <w:p w14:paraId="46A55F36" w14:textId="77777777" w:rsidR="003708EC" w:rsidRPr="00F8465B" w:rsidRDefault="003708EC" w:rsidP="00E62C3A">
      <w:pPr>
        <w:pStyle w:val="Ttulo1a"/>
        <w:ind w:left="567"/>
        <w:rPr>
          <w:rFonts w:ascii="Cambria" w:hAnsi="Cambria"/>
          <w:sz w:val="24"/>
          <w:szCs w:val="24"/>
        </w:rPr>
      </w:pPr>
    </w:p>
    <w:p w14:paraId="795730B1" w14:textId="20F3F66E" w:rsidR="00742360" w:rsidRDefault="00742360">
      <w:pPr>
        <w:keepLines w:val="0"/>
        <w:widowControl/>
        <w:jc w:val="left"/>
        <w:rPr>
          <w:rFonts w:ascii="Cambria" w:hAnsi="Cambria"/>
          <w:sz w:val="24"/>
          <w:szCs w:val="24"/>
        </w:rPr>
      </w:pPr>
      <w:r>
        <w:rPr>
          <w:rFonts w:ascii="Cambria" w:hAnsi="Cambria"/>
          <w:sz w:val="24"/>
          <w:szCs w:val="24"/>
        </w:rPr>
        <w:br w:type="page"/>
      </w:r>
    </w:p>
    <w:p w14:paraId="4A41A4D0" w14:textId="77777777" w:rsidR="00742360" w:rsidRDefault="00742360" w:rsidP="00E62C3A">
      <w:pPr>
        <w:pStyle w:val="Ttulo1a"/>
        <w:ind w:left="567"/>
        <w:rPr>
          <w:rFonts w:ascii="Cambria" w:hAnsi="Cambria"/>
          <w:sz w:val="24"/>
          <w:szCs w:val="24"/>
        </w:rPr>
      </w:pPr>
    </w:p>
    <w:p w14:paraId="0AD28EA4" w14:textId="174CD369" w:rsidR="003708EC" w:rsidRDefault="003708EC" w:rsidP="00E62C3A">
      <w:pPr>
        <w:pStyle w:val="Ttulo1a"/>
        <w:ind w:left="567"/>
        <w:rPr>
          <w:rFonts w:ascii="Cambria" w:hAnsi="Cambria"/>
          <w:sz w:val="24"/>
          <w:szCs w:val="24"/>
        </w:rPr>
      </w:pPr>
      <w:r w:rsidRPr="00F8465B">
        <w:rPr>
          <w:rFonts w:ascii="Cambria" w:hAnsi="Cambria"/>
          <w:sz w:val="24"/>
          <w:szCs w:val="24"/>
        </w:rPr>
        <w:t>La valoración actuarial al 31 de diciembre de 20</w:t>
      </w:r>
      <w:r w:rsidR="00721A25">
        <w:rPr>
          <w:rFonts w:ascii="Cambria" w:hAnsi="Cambria"/>
          <w:sz w:val="24"/>
          <w:szCs w:val="24"/>
        </w:rPr>
        <w:t>20</w:t>
      </w:r>
      <w:r w:rsidRPr="00F8465B">
        <w:rPr>
          <w:rFonts w:ascii="Cambria" w:hAnsi="Cambria"/>
          <w:sz w:val="24"/>
          <w:szCs w:val="24"/>
        </w:rPr>
        <w:t xml:space="preserve"> de los compromisos por Ayudas Previas y cotizaciones </w:t>
      </w:r>
      <w:r w:rsidRPr="004C4EE6">
        <w:rPr>
          <w:rFonts w:ascii="Cambria" w:hAnsi="Cambria"/>
          <w:sz w:val="24"/>
          <w:szCs w:val="24"/>
        </w:rPr>
        <w:t xml:space="preserve">adicionales contraídos con el personal de AHV, se encuentra provisionada, siendo su importe de </w:t>
      </w:r>
      <w:r w:rsidR="007D4CC6" w:rsidRPr="004C4EE6">
        <w:rPr>
          <w:rFonts w:ascii="Cambria" w:hAnsi="Cambria"/>
          <w:sz w:val="24"/>
          <w:szCs w:val="24"/>
        </w:rPr>
        <w:t>1</w:t>
      </w:r>
      <w:r w:rsidR="00C1202E" w:rsidRPr="004C4EE6">
        <w:rPr>
          <w:rFonts w:ascii="Cambria" w:hAnsi="Cambria"/>
          <w:sz w:val="24"/>
          <w:szCs w:val="24"/>
        </w:rPr>
        <w:t>2</w:t>
      </w:r>
      <w:r w:rsidR="007D4CC6" w:rsidRPr="004C4EE6">
        <w:rPr>
          <w:rFonts w:ascii="Cambria" w:hAnsi="Cambria"/>
          <w:sz w:val="24"/>
          <w:szCs w:val="24"/>
        </w:rPr>
        <w:t>2</w:t>
      </w:r>
      <w:r w:rsidR="007E0856" w:rsidRPr="004C4EE6">
        <w:rPr>
          <w:rFonts w:ascii="Cambria" w:hAnsi="Cambria"/>
          <w:sz w:val="24"/>
          <w:szCs w:val="24"/>
        </w:rPr>
        <w:t xml:space="preserve"> </w:t>
      </w:r>
      <w:r w:rsidR="00A6419E" w:rsidRPr="004C4EE6">
        <w:rPr>
          <w:rFonts w:ascii="Cambria" w:hAnsi="Cambria"/>
          <w:sz w:val="24"/>
          <w:szCs w:val="24"/>
        </w:rPr>
        <w:t>miles de euros</w:t>
      </w:r>
      <w:r w:rsidR="00CC0047" w:rsidRPr="004C4EE6">
        <w:rPr>
          <w:rFonts w:ascii="Cambria" w:hAnsi="Cambria"/>
          <w:sz w:val="24"/>
          <w:szCs w:val="24"/>
        </w:rPr>
        <w:t xml:space="preserve"> (</w:t>
      </w:r>
      <w:r w:rsidR="00721A25">
        <w:rPr>
          <w:rFonts w:ascii="Cambria" w:hAnsi="Cambria"/>
          <w:sz w:val="24"/>
          <w:szCs w:val="24"/>
        </w:rPr>
        <w:t>192</w:t>
      </w:r>
      <w:r w:rsidR="00CC0047">
        <w:rPr>
          <w:rFonts w:ascii="Cambria" w:hAnsi="Cambria"/>
          <w:sz w:val="24"/>
          <w:szCs w:val="24"/>
        </w:rPr>
        <w:t xml:space="preserve"> miles de euros al 31 de diciembre de 201</w:t>
      </w:r>
      <w:r w:rsidR="00721A25">
        <w:rPr>
          <w:rFonts w:ascii="Cambria" w:hAnsi="Cambria"/>
          <w:sz w:val="24"/>
          <w:szCs w:val="24"/>
        </w:rPr>
        <w:t>9</w:t>
      </w:r>
      <w:r w:rsidR="00CC0047" w:rsidRPr="004C4EE6">
        <w:rPr>
          <w:rFonts w:ascii="Cambria" w:hAnsi="Cambria"/>
          <w:sz w:val="24"/>
          <w:szCs w:val="24"/>
        </w:rPr>
        <w:t>)</w:t>
      </w:r>
      <w:r w:rsidRPr="004C4EE6">
        <w:rPr>
          <w:rFonts w:ascii="Cambria" w:hAnsi="Cambria"/>
          <w:sz w:val="24"/>
          <w:szCs w:val="24"/>
        </w:rPr>
        <w:t xml:space="preserve"> (véase Nota </w:t>
      </w:r>
      <w:r w:rsidR="003C5A04" w:rsidRPr="004C4EE6">
        <w:rPr>
          <w:rFonts w:ascii="Cambria" w:hAnsi="Cambria"/>
          <w:sz w:val="24"/>
          <w:szCs w:val="24"/>
        </w:rPr>
        <w:t>11</w:t>
      </w:r>
      <w:r w:rsidRPr="004C4EE6">
        <w:rPr>
          <w:rFonts w:ascii="Cambria" w:hAnsi="Cambria"/>
          <w:sz w:val="24"/>
          <w:szCs w:val="24"/>
        </w:rPr>
        <w:t>.1.</w:t>
      </w:r>
      <w:r w:rsidR="005F63D3" w:rsidRPr="004C4EE6">
        <w:rPr>
          <w:rFonts w:ascii="Cambria" w:hAnsi="Cambria"/>
          <w:sz w:val="24"/>
          <w:szCs w:val="24"/>
        </w:rPr>
        <w:t>e</w:t>
      </w:r>
      <w:r w:rsidRPr="004C4EE6">
        <w:rPr>
          <w:rFonts w:ascii="Cambria" w:hAnsi="Cambria"/>
          <w:sz w:val="24"/>
          <w:szCs w:val="24"/>
        </w:rPr>
        <w:t>).</w:t>
      </w:r>
    </w:p>
    <w:p w14:paraId="07C84A5F" w14:textId="77777777" w:rsidR="00380156" w:rsidRDefault="00380156" w:rsidP="00380156"/>
    <w:p w14:paraId="67700F8B" w14:textId="77777777" w:rsidR="00486911" w:rsidRPr="00FE0E11" w:rsidRDefault="00486911" w:rsidP="00486911">
      <w:pPr>
        <w:pStyle w:val="Ttulo3"/>
        <w:numPr>
          <w:ilvl w:val="1"/>
          <w:numId w:val="11"/>
        </w:numPr>
        <w:tabs>
          <w:tab w:val="clear" w:pos="720"/>
          <w:tab w:val="num" w:pos="1276"/>
        </w:tabs>
        <w:ind w:left="1276" w:hanging="709"/>
        <w:rPr>
          <w:rFonts w:ascii="Cambria" w:hAnsi="Cambria"/>
          <w:b/>
          <w:sz w:val="24"/>
          <w:szCs w:val="24"/>
        </w:rPr>
      </w:pPr>
      <w:r w:rsidRPr="00FE0E11">
        <w:rPr>
          <w:rFonts w:ascii="Cambria" w:hAnsi="Cambria"/>
          <w:b/>
          <w:sz w:val="24"/>
          <w:szCs w:val="24"/>
        </w:rPr>
        <w:t>Otros activos financieros</w:t>
      </w:r>
    </w:p>
    <w:p w14:paraId="24372BB4" w14:textId="77777777" w:rsidR="007531BB" w:rsidRDefault="007531BB" w:rsidP="007531BB"/>
    <w:p w14:paraId="1E7435A7" w14:textId="5F57D6EA" w:rsidR="00486911" w:rsidRDefault="007E0856" w:rsidP="00486911">
      <w:pPr>
        <w:pStyle w:val="Ttulo1a"/>
        <w:ind w:left="567"/>
        <w:rPr>
          <w:rFonts w:ascii="Cambria" w:hAnsi="Cambria"/>
          <w:sz w:val="24"/>
          <w:szCs w:val="24"/>
        </w:rPr>
      </w:pPr>
      <w:r>
        <w:rPr>
          <w:rFonts w:ascii="Cambria" w:hAnsi="Cambria"/>
          <w:sz w:val="24"/>
          <w:szCs w:val="24"/>
        </w:rPr>
        <w:t xml:space="preserve">El </w:t>
      </w:r>
      <w:r w:rsidR="00486911" w:rsidRPr="00F8465B">
        <w:rPr>
          <w:rFonts w:ascii="Cambria" w:hAnsi="Cambria"/>
          <w:sz w:val="24"/>
          <w:szCs w:val="24"/>
        </w:rPr>
        <w:t>saldo regi</w:t>
      </w:r>
      <w:r w:rsidR="00DB6898">
        <w:rPr>
          <w:rFonts w:ascii="Cambria" w:hAnsi="Cambria"/>
          <w:sz w:val="24"/>
          <w:szCs w:val="24"/>
        </w:rPr>
        <w:t>strado a 31 de diciembre de 20</w:t>
      </w:r>
      <w:r w:rsidR="00C1202E">
        <w:rPr>
          <w:rFonts w:ascii="Cambria" w:hAnsi="Cambria"/>
          <w:sz w:val="24"/>
          <w:szCs w:val="24"/>
        </w:rPr>
        <w:t>20</w:t>
      </w:r>
      <w:r w:rsidR="00486911" w:rsidRPr="00F8465B">
        <w:rPr>
          <w:rFonts w:ascii="Cambria" w:hAnsi="Cambria"/>
          <w:sz w:val="24"/>
          <w:szCs w:val="24"/>
        </w:rPr>
        <w:t xml:space="preserve"> bajo el epígrafe “Otros activos financieros a corto plazo” </w:t>
      </w:r>
      <w:r w:rsidR="00486911" w:rsidRPr="00711595">
        <w:rPr>
          <w:rFonts w:ascii="Cambria" w:hAnsi="Cambria"/>
          <w:sz w:val="24"/>
          <w:szCs w:val="24"/>
        </w:rPr>
        <w:t xml:space="preserve">corresponde </w:t>
      </w:r>
      <w:r w:rsidR="00377246">
        <w:rPr>
          <w:rFonts w:ascii="Cambria" w:hAnsi="Cambria"/>
          <w:sz w:val="24"/>
          <w:szCs w:val="24"/>
        </w:rPr>
        <w:t xml:space="preserve">fundamentalmente </w:t>
      </w:r>
      <w:r w:rsidR="00486911" w:rsidRPr="00711595">
        <w:rPr>
          <w:rFonts w:ascii="Cambria" w:hAnsi="Cambria"/>
          <w:sz w:val="24"/>
          <w:szCs w:val="24"/>
        </w:rPr>
        <w:t xml:space="preserve">a depósitos </w:t>
      </w:r>
      <w:r w:rsidR="00C06E42" w:rsidRPr="00711595">
        <w:rPr>
          <w:rFonts w:ascii="Cambria" w:hAnsi="Cambria"/>
          <w:sz w:val="24"/>
          <w:szCs w:val="24"/>
        </w:rPr>
        <w:t xml:space="preserve">y consignaciones </w:t>
      </w:r>
      <w:r w:rsidR="00486911" w:rsidRPr="00711595">
        <w:rPr>
          <w:rFonts w:ascii="Cambria" w:hAnsi="Cambria"/>
          <w:sz w:val="24"/>
          <w:szCs w:val="24"/>
        </w:rPr>
        <w:t xml:space="preserve">realizados por la </w:t>
      </w:r>
      <w:r w:rsidR="00486911" w:rsidRPr="007531BB">
        <w:rPr>
          <w:rFonts w:ascii="Cambria" w:hAnsi="Cambria"/>
          <w:sz w:val="24"/>
          <w:szCs w:val="24"/>
        </w:rPr>
        <w:t xml:space="preserve">Sociedad </w:t>
      </w:r>
      <w:r w:rsidR="00C06E42" w:rsidRPr="007531BB">
        <w:rPr>
          <w:rFonts w:ascii="Cambria" w:hAnsi="Cambria"/>
          <w:sz w:val="24"/>
          <w:szCs w:val="24"/>
        </w:rPr>
        <w:t>para recurrir</w:t>
      </w:r>
      <w:r w:rsidR="00C06E42" w:rsidRPr="00F8465B">
        <w:rPr>
          <w:rFonts w:ascii="Cambria" w:hAnsi="Cambria"/>
          <w:sz w:val="24"/>
          <w:szCs w:val="24"/>
        </w:rPr>
        <w:t xml:space="preserve"> sentencias judiciales </w:t>
      </w:r>
      <w:r w:rsidR="00486911" w:rsidRPr="00F8465B">
        <w:rPr>
          <w:rFonts w:ascii="Cambria" w:hAnsi="Cambria"/>
          <w:sz w:val="24"/>
          <w:szCs w:val="24"/>
        </w:rPr>
        <w:t xml:space="preserve">en relación a los pleitos de integración </w:t>
      </w:r>
      <w:r w:rsidR="004701A0" w:rsidRPr="00F8465B">
        <w:rPr>
          <w:rFonts w:ascii="Cambria" w:hAnsi="Cambria"/>
          <w:sz w:val="24"/>
          <w:szCs w:val="24"/>
        </w:rPr>
        <w:t>de trabajadores de BPE</w:t>
      </w:r>
      <w:r w:rsidR="00486911" w:rsidRPr="00F8465B">
        <w:rPr>
          <w:rFonts w:ascii="Cambria" w:hAnsi="Cambria"/>
          <w:sz w:val="24"/>
          <w:szCs w:val="24"/>
        </w:rPr>
        <w:t xml:space="preserve"> </w:t>
      </w:r>
      <w:r w:rsidR="00667FCF" w:rsidRPr="004C4EE6">
        <w:rPr>
          <w:rFonts w:ascii="Cambria" w:hAnsi="Cambria"/>
          <w:sz w:val="24"/>
          <w:szCs w:val="24"/>
        </w:rPr>
        <w:t>provisionados (véase Nota 11.3</w:t>
      </w:r>
      <w:r w:rsidR="004701A0" w:rsidRPr="004C4EE6">
        <w:rPr>
          <w:rFonts w:ascii="Cambria" w:hAnsi="Cambria"/>
          <w:sz w:val="24"/>
          <w:szCs w:val="24"/>
        </w:rPr>
        <w:t>).</w:t>
      </w:r>
    </w:p>
    <w:p w14:paraId="00811E01" w14:textId="19C75244" w:rsidR="00B864E4" w:rsidRPr="00B864E4" w:rsidRDefault="00A01D25" w:rsidP="00B864E4">
      <w:r>
        <w:tab/>
      </w:r>
    </w:p>
    <w:p w14:paraId="6873CDC4" w14:textId="0828BB78" w:rsidR="0060571A" w:rsidRDefault="0060571A" w:rsidP="0060571A">
      <w:pPr>
        <w:pStyle w:val="Ttulo3"/>
        <w:numPr>
          <w:ilvl w:val="1"/>
          <w:numId w:val="11"/>
        </w:numPr>
        <w:tabs>
          <w:tab w:val="clear" w:pos="720"/>
          <w:tab w:val="num" w:pos="1276"/>
        </w:tabs>
        <w:ind w:left="1276" w:hanging="709"/>
        <w:rPr>
          <w:rFonts w:ascii="Cambria" w:hAnsi="Cambria"/>
          <w:b/>
          <w:sz w:val="24"/>
          <w:szCs w:val="24"/>
        </w:rPr>
      </w:pPr>
      <w:r>
        <w:rPr>
          <w:rFonts w:ascii="Cambria" w:hAnsi="Cambria"/>
          <w:b/>
          <w:sz w:val="24"/>
          <w:szCs w:val="24"/>
        </w:rPr>
        <w:t>Deudores varios</w:t>
      </w:r>
    </w:p>
    <w:p w14:paraId="2465AFE1" w14:textId="77777777" w:rsidR="0060571A" w:rsidRDefault="0060571A">
      <w:pPr>
        <w:keepLines w:val="0"/>
        <w:widowControl/>
        <w:jc w:val="left"/>
      </w:pPr>
    </w:p>
    <w:p w14:paraId="6C190DB9" w14:textId="67232B5F" w:rsidR="0060571A" w:rsidRDefault="0060571A" w:rsidP="0060571A">
      <w:pPr>
        <w:pStyle w:val="Ttulo1a"/>
        <w:ind w:left="567"/>
        <w:rPr>
          <w:rFonts w:ascii="Cambria" w:hAnsi="Cambria"/>
          <w:sz w:val="24"/>
          <w:szCs w:val="24"/>
        </w:rPr>
      </w:pPr>
      <w:r w:rsidRPr="00F8465B">
        <w:rPr>
          <w:rFonts w:ascii="Cambria" w:hAnsi="Cambria"/>
          <w:sz w:val="24"/>
          <w:szCs w:val="24"/>
        </w:rPr>
        <w:t>El epígrafe “</w:t>
      </w:r>
      <w:r>
        <w:rPr>
          <w:rFonts w:ascii="Cambria" w:hAnsi="Cambria"/>
          <w:sz w:val="24"/>
          <w:szCs w:val="24"/>
        </w:rPr>
        <w:t>Deudores varios</w:t>
      </w:r>
      <w:r w:rsidRPr="00F8465B">
        <w:rPr>
          <w:rFonts w:ascii="Cambria" w:hAnsi="Cambria"/>
          <w:sz w:val="24"/>
          <w:szCs w:val="24"/>
        </w:rPr>
        <w:t>”,</w:t>
      </w:r>
      <w:r>
        <w:rPr>
          <w:rFonts w:ascii="Cambria" w:hAnsi="Cambria"/>
          <w:sz w:val="24"/>
          <w:szCs w:val="24"/>
        </w:rPr>
        <w:t xml:space="preserve"> del balance de situación </w:t>
      </w:r>
      <w:r w:rsidRPr="00F8465B">
        <w:rPr>
          <w:rFonts w:ascii="Cambria" w:hAnsi="Cambria"/>
          <w:sz w:val="24"/>
          <w:szCs w:val="24"/>
        </w:rPr>
        <w:t>de los ejercicios 20</w:t>
      </w:r>
      <w:r w:rsidR="00C1202E">
        <w:rPr>
          <w:rFonts w:ascii="Cambria" w:hAnsi="Cambria"/>
          <w:sz w:val="24"/>
          <w:szCs w:val="24"/>
        </w:rPr>
        <w:t>20</w:t>
      </w:r>
      <w:r w:rsidRPr="00F8465B">
        <w:rPr>
          <w:rFonts w:ascii="Cambria" w:hAnsi="Cambria"/>
          <w:sz w:val="24"/>
          <w:szCs w:val="24"/>
        </w:rPr>
        <w:t xml:space="preserve"> y 201</w:t>
      </w:r>
      <w:r w:rsidR="00C1202E">
        <w:rPr>
          <w:rFonts w:ascii="Cambria" w:hAnsi="Cambria"/>
          <w:sz w:val="24"/>
          <w:szCs w:val="24"/>
        </w:rPr>
        <w:t>9</w:t>
      </w:r>
      <w:r>
        <w:rPr>
          <w:rFonts w:ascii="Cambria" w:hAnsi="Cambria"/>
          <w:sz w:val="24"/>
          <w:szCs w:val="24"/>
        </w:rPr>
        <w:t xml:space="preserve"> adjunto</w:t>
      </w:r>
      <w:r w:rsidRPr="00F8465B">
        <w:rPr>
          <w:rFonts w:ascii="Cambria" w:hAnsi="Cambria"/>
          <w:sz w:val="24"/>
          <w:szCs w:val="24"/>
        </w:rPr>
        <w:t>, presenta la siguiente composición (en miles de euros):</w:t>
      </w:r>
    </w:p>
    <w:p w14:paraId="0717AB6E" w14:textId="77777777" w:rsidR="0060571A" w:rsidRPr="0060571A" w:rsidRDefault="0060571A" w:rsidP="0060571A"/>
    <w:tbl>
      <w:tblPr>
        <w:tblW w:w="8504" w:type="dxa"/>
        <w:tblInd w:w="566" w:type="dxa"/>
        <w:tblCellMar>
          <w:left w:w="70" w:type="dxa"/>
          <w:right w:w="70" w:type="dxa"/>
        </w:tblCellMar>
        <w:tblLook w:val="04A0" w:firstRow="1" w:lastRow="0" w:firstColumn="1" w:lastColumn="0" w:noHBand="0" w:noVBand="1"/>
      </w:tblPr>
      <w:tblGrid>
        <w:gridCol w:w="6520"/>
        <w:gridCol w:w="992"/>
        <w:gridCol w:w="992"/>
      </w:tblGrid>
      <w:tr w:rsidR="00C1202E" w:rsidRPr="00F8465B" w14:paraId="43B889DF" w14:textId="77777777" w:rsidTr="00C1202E">
        <w:trPr>
          <w:trHeight w:val="255"/>
        </w:trPr>
        <w:tc>
          <w:tcPr>
            <w:tcW w:w="6520" w:type="dxa"/>
            <w:tcBorders>
              <w:top w:val="nil"/>
              <w:left w:val="nil"/>
              <w:bottom w:val="single" w:sz="8" w:space="0" w:color="auto"/>
              <w:right w:val="nil"/>
            </w:tcBorders>
            <w:shd w:val="clear" w:color="000000" w:fill="FFFFFF"/>
            <w:noWrap/>
            <w:vAlign w:val="bottom"/>
          </w:tcPr>
          <w:p w14:paraId="18305AE2" w14:textId="77777777" w:rsidR="00C1202E" w:rsidRPr="00F8465B" w:rsidRDefault="00C1202E" w:rsidP="00C1202E">
            <w:pPr>
              <w:keepLines w:val="0"/>
              <w:widowControl/>
              <w:jc w:val="center"/>
              <w:rPr>
                <w:rFonts w:ascii="Cambria" w:hAnsi="Cambria"/>
                <w:sz w:val="20"/>
                <w:lang w:val="es-ES"/>
              </w:rPr>
            </w:pPr>
            <w:r w:rsidRPr="00F8465B">
              <w:rPr>
                <w:rFonts w:ascii="Cambria" w:hAnsi="Cambria"/>
                <w:sz w:val="20"/>
                <w:lang w:val="es-ES"/>
              </w:rPr>
              <w:t> </w:t>
            </w:r>
          </w:p>
        </w:tc>
        <w:tc>
          <w:tcPr>
            <w:tcW w:w="992" w:type="dxa"/>
            <w:tcBorders>
              <w:top w:val="single" w:sz="8" w:space="0" w:color="auto"/>
              <w:left w:val="single" w:sz="8" w:space="0" w:color="auto"/>
              <w:bottom w:val="single" w:sz="4" w:space="0" w:color="auto"/>
              <w:right w:val="single" w:sz="8" w:space="0" w:color="auto"/>
            </w:tcBorders>
            <w:shd w:val="clear" w:color="000000" w:fill="FFFFFF"/>
          </w:tcPr>
          <w:p w14:paraId="121B6081" w14:textId="7F221B7A" w:rsidR="00C1202E" w:rsidRPr="00F8465B" w:rsidRDefault="00C1202E" w:rsidP="00C1202E">
            <w:pPr>
              <w:keepLines w:val="0"/>
              <w:widowControl/>
              <w:jc w:val="center"/>
              <w:rPr>
                <w:rFonts w:ascii="Cambria" w:hAnsi="Cambria"/>
                <w:b/>
                <w:bCs/>
                <w:snapToGrid w:val="0"/>
                <w:sz w:val="20"/>
                <w:lang w:val="es-ES"/>
              </w:rPr>
            </w:pPr>
            <w:r>
              <w:rPr>
                <w:rFonts w:ascii="Cambria" w:hAnsi="Cambria"/>
                <w:b/>
                <w:bCs/>
                <w:snapToGrid w:val="0"/>
                <w:sz w:val="20"/>
                <w:lang w:val="es-ES"/>
              </w:rPr>
              <w:t>2020</w:t>
            </w:r>
          </w:p>
        </w:tc>
        <w:tc>
          <w:tcPr>
            <w:tcW w:w="992" w:type="dxa"/>
            <w:tcBorders>
              <w:top w:val="single" w:sz="8" w:space="0" w:color="auto"/>
              <w:left w:val="single" w:sz="8" w:space="0" w:color="auto"/>
              <w:bottom w:val="single" w:sz="8" w:space="0" w:color="auto"/>
              <w:right w:val="single" w:sz="8" w:space="0" w:color="auto"/>
            </w:tcBorders>
            <w:shd w:val="clear" w:color="000000" w:fill="FFFFFF"/>
          </w:tcPr>
          <w:p w14:paraId="636A7F55" w14:textId="32259330" w:rsidR="00C1202E" w:rsidRDefault="00C1202E" w:rsidP="00C1202E">
            <w:pPr>
              <w:keepLines w:val="0"/>
              <w:widowControl/>
              <w:jc w:val="center"/>
              <w:rPr>
                <w:rFonts w:ascii="Cambria" w:hAnsi="Cambria"/>
                <w:b/>
                <w:bCs/>
                <w:snapToGrid w:val="0"/>
                <w:sz w:val="20"/>
                <w:lang w:val="es-ES"/>
              </w:rPr>
            </w:pPr>
            <w:r>
              <w:rPr>
                <w:rFonts w:ascii="Cambria" w:hAnsi="Cambria"/>
                <w:b/>
                <w:bCs/>
                <w:snapToGrid w:val="0"/>
                <w:sz w:val="20"/>
                <w:lang w:val="es-ES"/>
              </w:rPr>
              <w:t>2019</w:t>
            </w:r>
          </w:p>
        </w:tc>
      </w:tr>
      <w:tr w:rsidR="00C1202E" w:rsidRPr="00F8465B" w14:paraId="38929D52" w14:textId="77777777" w:rsidTr="00C1202E">
        <w:trPr>
          <w:cantSplit/>
          <w:trHeight w:val="255"/>
        </w:trPr>
        <w:tc>
          <w:tcPr>
            <w:tcW w:w="6520" w:type="dxa"/>
            <w:tcBorders>
              <w:top w:val="nil"/>
              <w:left w:val="single" w:sz="8" w:space="0" w:color="auto"/>
              <w:bottom w:val="nil"/>
              <w:right w:val="single" w:sz="4" w:space="0" w:color="auto"/>
            </w:tcBorders>
            <w:shd w:val="clear" w:color="000000" w:fill="FFFFFF"/>
          </w:tcPr>
          <w:p w14:paraId="198E1BC3" w14:textId="77777777" w:rsidR="00C1202E" w:rsidRPr="00F8465B" w:rsidRDefault="00C1202E" w:rsidP="00C1202E">
            <w:pPr>
              <w:keepLines w:val="0"/>
              <w:widowControl/>
              <w:jc w:val="left"/>
              <w:rPr>
                <w:rFonts w:ascii="Cambria" w:hAnsi="Cambria"/>
                <w:sz w:val="18"/>
                <w:lang w:val="es-ES"/>
              </w:rPr>
            </w:pPr>
            <w:r w:rsidRPr="00F8465B">
              <w:rPr>
                <w:rFonts w:ascii="Cambria" w:hAnsi="Cambria"/>
                <w:snapToGrid w:val="0"/>
                <w:sz w:val="18"/>
                <w:lang w:val="es-ES"/>
              </w:rPr>
              <w:t> </w:t>
            </w:r>
          </w:p>
        </w:tc>
        <w:tc>
          <w:tcPr>
            <w:tcW w:w="992" w:type="dxa"/>
            <w:tcBorders>
              <w:top w:val="single" w:sz="4" w:space="0" w:color="auto"/>
              <w:left w:val="single" w:sz="4" w:space="0" w:color="auto"/>
              <w:bottom w:val="nil"/>
              <w:right w:val="single" w:sz="4" w:space="0" w:color="auto"/>
            </w:tcBorders>
            <w:shd w:val="clear" w:color="000000" w:fill="FFFFFF"/>
          </w:tcPr>
          <w:p w14:paraId="7BCBC2F4" w14:textId="77777777" w:rsidR="00C1202E" w:rsidRPr="00F8465B" w:rsidRDefault="00C1202E" w:rsidP="00C1202E">
            <w:pPr>
              <w:keepLines w:val="0"/>
              <w:widowControl/>
              <w:jc w:val="left"/>
              <w:rPr>
                <w:rFonts w:ascii="Cambria" w:hAnsi="Cambria"/>
                <w:snapToGrid w:val="0"/>
                <w:sz w:val="18"/>
                <w:lang w:val="es-ES"/>
              </w:rPr>
            </w:pPr>
          </w:p>
        </w:tc>
        <w:tc>
          <w:tcPr>
            <w:tcW w:w="992" w:type="dxa"/>
            <w:tcBorders>
              <w:top w:val="nil"/>
              <w:left w:val="single" w:sz="4" w:space="0" w:color="auto"/>
              <w:bottom w:val="nil"/>
              <w:right w:val="single" w:sz="4" w:space="0" w:color="auto"/>
            </w:tcBorders>
            <w:shd w:val="clear" w:color="000000" w:fill="FFFFFF"/>
          </w:tcPr>
          <w:p w14:paraId="342EBEEF" w14:textId="77777777" w:rsidR="00C1202E" w:rsidRPr="00F8465B" w:rsidRDefault="00C1202E" w:rsidP="00C1202E">
            <w:pPr>
              <w:keepLines w:val="0"/>
              <w:widowControl/>
              <w:jc w:val="left"/>
              <w:rPr>
                <w:rFonts w:ascii="Cambria" w:hAnsi="Cambria"/>
                <w:snapToGrid w:val="0"/>
                <w:sz w:val="18"/>
                <w:lang w:val="es-ES"/>
              </w:rPr>
            </w:pPr>
          </w:p>
        </w:tc>
      </w:tr>
      <w:tr w:rsidR="00C1202E" w:rsidRPr="00F8465B" w14:paraId="324692DB" w14:textId="77777777" w:rsidTr="00C1202E">
        <w:trPr>
          <w:cantSplit/>
          <w:trHeight w:val="255"/>
        </w:trPr>
        <w:tc>
          <w:tcPr>
            <w:tcW w:w="6520" w:type="dxa"/>
            <w:tcBorders>
              <w:top w:val="nil"/>
              <w:left w:val="single" w:sz="8" w:space="0" w:color="auto"/>
              <w:bottom w:val="nil"/>
              <w:right w:val="single" w:sz="4" w:space="0" w:color="auto"/>
            </w:tcBorders>
            <w:shd w:val="clear" w:color="000000" w:fill="FFFFFF"/>
          </w:tcPr>
          <w:p w14:paraId="6BAA20DD" w14:textId="1882A06D" w:rsidR="00C1202E" w:rsidRPr="00F8465B" w:rsidRDefault="00C1202E" w:rsidP="00C1202E">
            <w:pPr>
              <w:keepLines w:val="0"/>
              <w:widowControl/>
              <w:jc w:val="left"/>
              <w:rPr>
                <w:rFonts w:ascii="Cambria" w:hAnsi="Cambria"/>
                <w:sz w:val="20"/>
                <w:lang w:val="es-ES"/>
              </w:rPr>
            </w:pPr>
            <w:r>
              <w:rPr>
                <w:rFonts w:ascii="Cambria" w:hAnsi="Cambria"/>
                <w:snapToGrid w:val="0"/>
                <w:sz w:val="20"/>
                <w:lang w:val="es-ES"/>
              </w:rPr>
              <w:t>Canon portuario (Nota 13.1)</w:t>
            </w:r>
          </w:p>
        </w:tc>
        <w:tc>
          <w:tcPr>
            <w:tcW w:w="992" w:type="dxa"/>
            <w:tcBorders>
              <w:top w:val="nil"/>
              <w:left w:val="single" w:sz="4" w:space="0" w:color="auto"/>
              <w:bottom w:val="nil"/>
              <w:right w:val="single" w:sz="4" w:space="0" w:color="auto"/>
            </w:tcBorders>
            <w:shd w:val="clear" w:color="000000" w:fill="FFFFFF"/>
          </w:tcPr>
          <w:p w14:paraId="78BBA276" w14:textId="1645CF36" w:rsidR="00C1202E" w:rsidRPr="00DC2EBB" w:rsidRDefault="00C1202E" w:rsidP="00C1202E">
            <w:pPr>
              <w:keepLines w:val="0"/>
              <w:widowControl/>
              <w:jc w:val="right"/>
              <w:rPr>
                <w:rFonts w:ascii="Cambria" w:hAnsi="Cambria"/>
                <w:sz w:val="20"/>
                <w:lang w:val="es-ES"/>
              </w:rPr>
            </w:pPr>
            <w:r w:rsidRPr="00DC2EBB">
              <w:rPr>
                <w:rFonts w:ascii="Cambria" w:hAnsi="Cambria"/>
                <w:sz w:val="20"/>
                <w:lang w:val="es-ES"/>
              </w:rPr>
              <w:t>3.419</w:t>
            </w:r>
          </w:p>
        </w:tc>
        <w:tc>
          <w:tcPr>
            <w:tcW w:w="992" w:type="dxa"/>
            <w:tcBorders>
              <w:top w:val="nil"/>
              <w:left w:val="single" w:sz="4" w:space="0" w:color="auto"/>
              <w:bottom w:val="nil"/>
              <w:right w:val="single" w:sz="4" w:space="0" w:color="auto"/>
            </w:tcBorders>
            <w:shd w:val="clear" w:color="000000" w:fill="FFFFFF"/>
          </w:tcPr>
          <w:p w14:paraId="6E29880B" w14:textId="668C6BD5" w:rsidR="00C1202E" w:rsidRPr="00DC2EBB" w:rsidRDefault="00C1202E" w:rsidP="00C1202E">
            <w:pPr>
              <w:keepLines w:val="0"/>
              <w:widowControl/>
              <w:jc w:val="right"/>
              <w:rPr>
                <w:rFonts w:ascii="Cambria" w:hAnsi="Cambria"/>
                <w:sz w:val="20"/>
                <w:lang w:val="es-ES"/>
              </w:rPr>
            </w:pPr>
            <w:r w:rsidRPr="00DC2EBB">
              <w:rPr>
                <w:rFonts w:ascii="Cambria" w:hAnsi="Cambria"/>
                <w:sz w:val="20"/>
                <w:lang w:val="es-ES"/>
              </w:rPr>
              <w:t>2.948</w:t>
            </w:r>
          </w:p>
        </w:tc>
      </w:tr>
      <w:tr w:rsidR="00C1202E" w:rsidRPr="00F8465B" w14:paraId="129592F7" w14:textId="77777777" w:rsidTr="00C1202E">
        <w:trPr>
          <w:cantSplit/>
          <w:trHeight w:val="255"/>
        </w:trPr>
        <w:tc>
          <w:tcPr>
            <w:tcW w:w="6520" w:type="dxa"/>
            <w:tcBorders>
              <w:top w:val="nil"/>
              <w:left w:val="single" w:sz="8" w:space="0" w:color="auto"/>
              <w:bottom w:val="nil"/>
              <w:right w:val="single" w:sz="4" w:space="0" w:color="auto"/>
            </w:tcBorders>
            <w:shd w:val="clear" w:color="000000" w:fill="FFFFFF"/>
          </w:tcPr>
          <w:p w14:paraId="587CB9F8" w14:textId="1D208A2B" w:rsidR="00C1202E" w:rsidRPr="00F8465B" w:rsidRDefault="00C1202E" w:rsidP="00C1202E">
            <w:pPr>
              <w:keepLines w:val="0"/>
              <w:widowControl/>
              <w:jc w:val="left"/>
              <w:rPr>
                <w:rFonts w:ascii="Cambria" w:hAnsi="Cambria"/>
                <w:sz w:val="20"/>
                <w:lang w:val="es-ES"/>
              </w:rPr>
            </w:pPr>
            <w:r>
              <w:rPr>
                <w:rFonts w:ascii="Cambria" w:hAnsi="Cambria"/>
                <w:snapToGrid w:val="0"/>
                <w:sz w:val="20"/>
                <w:lang w:val="es-ES"/>
              </w:rPr>
              <w:t>Ayuntamiento de Sestao (Nota 8.1)</w:t>
            </w:r>
          </w:p>
        </w:tc>
        <w:tc>
          <w:tcPr>
            <w:tcW w:w="992" w:type="dxa"/>
            <w:tcBorders>
              <w:top w:val="nil"/>
              <w:left w:val="single" w:sz="4" w:space="0" w:color="auto"/>
              <w:bottom w:val="nil"/>
              <w:right w:val="single" w:sz="4" w:space="0" w:color="auto"/>
            </w:tcBorders>
            <w:shd w:val="clear" w:color="000000" w:fill="FFFFFF"/>
          </w:tcPr>
          <w:p w14:paraId="43F733D6" w14:textId="3B4CA0DA" w:rsidR="00C1202E" w:rsidRPr="00DC2EBB" w:rsidRDefault="00C1202E" w:rsidP="00C1202E">
            <w:pPr>
              <w:keepLines w:val="0"/>
              <w:widowControl/>
              <w:jc w:val="right"/>
              <w:rPr>
                <w:rFonts w:ascii="Cambria" w:hAnsi="Cambria"/>
                <w:sz w:val="20"/>
                <w:lang w:val="es-ES"/>
              </w:rPr>
            </w:pPr>
            <w:r w:rsidRPr="00DC2EBB">
              <w:rPr>
                <w:rFonts w:ascii="Cambria" w:hAnsi="Cambria"/>
                <w:sz w:val="20"/>
                <w:lang w:val="es-ES"/>
              </w:rPr>
              <w:t>125</w:t>
            </w:r>
          </w:p>
        </w:tc>
        <w:tc>
          <w:tcPr>
            <w:tcW w:w="992" w:type="dxa"/>
            <w:tcBorders>
              <w:top w:val="nil"/>
              <w:left w:val="single" w:sz="4" w:space="0" w:color="auto"/>
              <w:bottom w:val="nil"/>
              <w:right w:val="single" w:sz="4" w:space="0" w:color="auto"/>
            </w:tcBorders>
            <w:shd w:val="clear" w:color="000000" w:fill="FFFFFF"/>
          </w:tcPr>
          <w:p w14:paraId="3C56775A" w14:textId="3411AA96" w:rsidR="00C1202E" w:rsidRPr="00DC2EBB" w:rsidRDefault="00C1202E" w:rsidP="00C1202E">
            <w:pPr>
              <w:keepLines w:val="0"/>
              <w:widowControl/>
              <w:jc w:val="right"/>
              <w:rPr>
                <w:rFonts w:ascii="Cambria" w:hAnsi="Cambria"/>
                <w:sz w:val="20"/>
                <w:lang w:val="es-ES"/>
              </w:rPr>
            </w:pPr>
            <w:r w:rsidRPr="00DC2EBB">
              <w:rPr>
                <w:rFonts w:ascii="Cambria" w:hAnsi="Cambria"/>
                <w:sz w:val="20"/>
                <w:lang w:val="es-ES"/>
              </w:rPr>
              <w:t>125</w:t>
            </w:r>
          </w:p>
        </w:tc>
      </w:tr>
      <w:tr w:rsidR="00C1202E" w:rsidRPr="00F8465B" w14:paraId="072E0D4A" w14:textId="77777777" w:rsidTr="00C1202E">
        <w:trPr>
          <w:cantSplit/>
          <w:trHeight w:val="255"/>
        </w:trPr>
        <w:tc>
          <w:tcPr>
            <w:tcW w:w="6520" w:type="dxa"/>
            <w:tcBorders>
              <w:top w:val="nil"/>
              <w:left w:val="single" w:sz="8" w:space="0" w:color="auto"/>
              <w:bottom w:val="nil"/>
              <w:right w:val="single" w:sz="4" w:space="0" w:color="auto"/>
            </w:tcBorders>
            <w:shd w:val="clear" w:color="000000" w:fill="FFFFFF"/>
          </w:tcPr>
          <w:p w14:paraId="0F33C28F" w14:textId="07E93428" w:rsidR="00C1202E" w:rsidRPr="00F8465B" w:rsidRDefault="00C1202E" w:rsidP="00C1202E">
            <w:pPr>
              <w:keepLines w:val="0"/>
              <w:widowControl/>
              <w:jc w:val="left"/>
              <w:rPr>
                <w:rFonts w:ascii="Cambria" w:hAnsi="Cambria"/>
                <w:sz w:val="20"/>
                <w:lang w:val="es-ES"/>
              </w:rPr>
            </w:pPr>
            <w:r>
              <w:rPr>
                <w:rFonts w:ascii="Cambria" w:hAnsi="Cambria"/>
                <w:snapToGrid w:val="0"/>
                <w:sz w:val="20"/>
                <w:lang w:val="es-ES"/>
              </w:rPr>
              <w:t>Otros deudores</w:t>
            </w:r>
          </w:p>
        </w:tc>
        <w:tc>
          <w:tcPr>
            <w:tcW w:w="992" w:type="dxa"/>
            <w:tcBorders>
              <w:top w:val="nil"/>
              <w:left w:val="single" w:sz="4" w:space="0" w:color="auto"/>
              <w:bottom w:val="nil"/>
              <w:right w:val="single" w:sz="4" w:space="0" w:color="auto"/>
            </w:tcBorders>
            <w:shd w:val="clear" w:color="000000" w:fill="FFFFFF"/>
          </w:tcPr>
          <w:p w14:paraId="4FBB9D99" w14:textId="71CFF4BC" w:rsidR="00C1202E" w:rsidRPr="00DC2EBB" w:rsidRDefault="00DC2EBB" w:rsidP="00C1202E">
            <w:pPr>
              <w:keepLines w:val="0"/>
              <w:widowControl/>
              <w:jc w:val="right"/>
              <w:rPr>
                <w:rFonts w:ascii="Cambria" w:hAnsi="Cambria"/>
                <w:sz w:val="20"/>
                <w:lang w:val="es-ES"/>
              </w:rPr>
            </w:pPr>
            <w:r w:rsidRPr="00DC2EBB">
              <w:rPr>
                <w:rFonts w:ascii="Cambria" w:hAnsi="Cambria"/>
                <w:sz w:val="20"/>
                <w:lang w:val="es-ES"/>
              </w:rPr>
              <w:t>7</w:t>
            </w:r>
          </w:p>
        </w:tc>
        <w:tc>
          <w:tcPr>
            <w:tcW w:w="992" w:type="dxa"/>
            <w:tcBorders>
              <w:top w:val="nil"/>
              <w:left w:val="single" w:sz="4" w:space="0" w:color="auto"/>
              <w:bottom w:val="nil"/>
              <w:right w:val="single" w:sz="4" w:space="0" w:color="auto"/>
            </w:tcBorders>
            <w:shd w:val="clear" w:color="000000" w:fill="FFFFFF"/>
          </w:tcPr>
          <w:p w14:paraId="5C3A9AAC" w14:textId="24CA1F06" w:rsidR="00C1202E" w:rsidRPr="00DC2EBB" w:rsidRDefault="00C1202E" w:rsidP="00C1202E">
            <w:pPr>
              <w:keepLines w:val="0"/>
              <w:widowControl/>
              <w:jc w:val="right"/>
              <w:rPr>
                <w:rFonts w:ascii="Cambria" w:hAnsi="Cambria"/>
                <w:sz w:val="20"/>
                <w:lang w:val="es-ES"/>
              </w:rPr>
            </w:pPr>
            <w:r w:rsidRPr="00DC2EBB">
              <w:rPr>
                <w:rFonts w:ascii="Cambria" w:hAnsi="Cambria"/>
                <w:sz w:val="20"/>
                <w:lang w:val="es-ES"/>
              </w:rPr>
              <w:t>30</w:t>
            </w:r>
          </w:p>
        </w:tc>
      </w:tr>
      <w:tr w:rsidR="00C1202E" w:rsidRPr="00F8465B" w14:paraId="247E16DD" w14:textId="77777777" w:rsidTr="00C1202E">
        <w:trPr>
          <w:cantSplit/>
          <w:trHeight w:val="255"/>
        </w:trPr>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4C97B45" w14:textId="77777777" w:rsidR="00C1202E" w:rsidRPr="00F8465B" w:rsidRDefault="00C1202E" w:rsidP="00C1202E">
            <w:pPr>
              <w:keepLines w:val="0"/>
              <w:widowControl/>
              <w:jc w:val="left"/>
              <w:rPr>
                <w:rFonts w:ascii="Cambria" w:hAnsi="Cambria"/>
                <w:b/>
                <w:bCs/>
                <w:sz w:val="20"/>
                <w:lang w:val="es-ES"/>
              </w:rPr>
            </w:pPr>
            <w:r w:rsidRPr="00F8465B">
              <w:rPr>
                <w:rFonts w:ascii="Cambria" w:hAnsi="Cambria"/>
                <w:b/>
                <w:bCs/>
                <w:snapToGrid w:val="0"/>
                <w:sz w:val="20"/>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08AF27C" w14:textId="05ED85E8" w:rsidR="00C1202E" w:rsidRPr="00DC2EBB" w:rsidRDefault="00C1202E" w:rsidP="00C1202E">
            <w:pPr>
              <w:keepLines w:val="0"/>
              <w:widowControl/>
              <w:jc w:val="right"/>
              <w:rPr>
                <w:rFonts w:ascii="Cambria" w:hAnsi="Cambria"/>
                <w:b/>
                <w:bCs/>
                <w:sz w:val="20"/>
                <w:lang w:val="es-ES"/>
              </w:rPr>
            </w:pPr>
            <w:r w:rsidRPr="00DC2EBB">
              <w:rPr>
                <w:rFonts w:ascii="Cambria" w:hAnsi="Cambria"/>
                <w:b/>
                <w:bCs/>
                <w:sz w:val="20"/>
                <w:lang w:val="es-ES"/>
              </w:rPr>
              <w:t>3.</w:t>
            </w:r>
            <w:r w:rsidR="005A6B05" w:rsidRPr="00DC2EBB">
              <w:rPr>
                <w:rFonts w:ascii="Cambria" w:hAnsi="Cambria"/>
                <w:b/>
                <w:bCs/>
                <w:sz w:val="20"/>
                <w:lang w:val="es-ES"/>
              </w:rPr>
              <w:t>55</w:t>
            </w:r>
            <w:r w:rsidR="00DC2EBB" w:rsidRPr="00DC2EBB">
              <w:rPr>
                <w:rFonts w:ascii="Cambria" w:hAnsi="Cambria"/>
                <w:b/>
                <w:bCs/>
                <w:sz w:val="20"/>
                <w:lang w:val="es-ES"/>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8CF9DBA" w14:textId="7914FD8C" w:rsidR="00C1202E" w:rsidRPr="00DC2EBB" w:rsidRDefault="00C1202E" w:rsidP="00C1202E">
            <w:pPr>
              <w:keepLines w:val="0"/>
              <w:widowControl/>
              <w:jc w:val="right"/>
              <w:rPr>
                <w:rFonts w:ascii="Cambria" w:hAnsi="Cambria"/>
                <w:b/>
                <w:bCs/>
                <w:sz w:val="20"/>
                <w:lang w:val="es-ES"/>
              </w:rPr>
            </w:pPr>
            <w:r w:rsidRPr="00DC2EBB">
              <w:rPr>
                <w:rFonts w:ascii="Cambria" w:hAnsi="Cambria"/>
                <w:b/>
                <w:bCs/>
                <w:sz w:val="20"/>
                <w:lang w:val="es-ES"/>
              </w:rPr>
              <w:t>3.103</w:t>
            </w:r>
          </w:p>
        </w:tc>
      </w:tr>
    </w:tbl>
    <w:p w14:paraId="143FD72F" w14:textId="77777777" w:rsidR="0060571A" w:rsidRPr="00F8465B" w:rsidRDefault="0060571A" w:rsidP="0060571A">
      <w:pPr>
        <w:keepLines w:val="0"/>
        <w:widowControl/>
        <w:jc w:val="left"/>
        <w:rPr>
          <w:rFonts w:ascii="Cambria" w:hAnsi="Cambria" w:cs="Arial"/>
          <w:b/>
          <w:bCs/>
          <w:sz w:val="24"/>
          <w:szCs w:val="24"/>
          <w:lang w:val="es-ES"/>
        </w:rPr>
      </w:pPr>
    </w:p>
    <w:p w14:paraId="1676A8E4" w14:textId="77777777" w:rsidR="00C06E42" w:rsidRPr="00F8465B" w:rsidRDefault="00C06E42" w:rsidP="00C06E42"/>
    <w:p w14:paraId="505A10C5" w14:textId="77777777" w:rsidR="00D05BBB" w:rsidRPr="00F8465B" w:rsidRDefault="00D05BBB" w:rsidP="00E62C3A">
      <w:pPr>
        <w:pStyle w:val="Ttulo4"/>
        <w:widowControl/>
        <w:numPr>
          <w:ilvl w:val="0"/>
          <w:numId w:val="3"/>
        </w:numPr>
        <w:tabs>
          <w:tab w:val="clear" w:pos="360"/>
          <w:tab w:val="left" w:pos="-448"/>
          <w:tab w:val="num" w:pos="567"/>
        </w:tabs>
        <w:spacing w:before="0" w:after="0"/>
        <w:ind w:left="567" w:right="-1" w:hanging="567"/>
        <w:rPr>
          <w:rFonts w:ascii="Cambria" w:hAnsi="Cambria"/>
          <w:kern w:val="28"/>
          <w:sz w:val="24"/>
          <w:szCs w:val="24"/>
          <w:u w:val="single"/>
          <w:lang w:val="es-ES" w:eastAsia="en-US"/>
        </w:rPr>
      </w:pPr>
      <w:r w:rsidRPr="00F8465B">
        <w:rPr>
          <w:rFonts w:ascii="Cambria" w:hAnsi="Cambria"/>
          <w:kern w:val="28"/>
          <w:sz w:val="24"/>
          <w:szCs w:val="24"/>
          <w:u w:val="single"/>
          <w:lang w:val="es-ES" w:eastAsia="en-US"/>
        </w:rPr>
        <w:t>Patrimonio neto y fondos propios</w:t>
      </w:r>
    </w:p>
    <w:p w14:paraId="2A422A03" w14:textId="77777777" w:rsidR="006C1B4F" w:rsidRPr="00F8465B" w:rsidRDefault="006C1B4F" w:rsidP="0024783F">
      <w:pPr>
        <w:rPr>
          <w:rFonts w:ascii="Cambria" w:hAnsi="Cambria"/>
          <w:sz w:val="24"/>
          <w:szCs w:val="24"/>
        </w:rPr>
      </w:pPr>
    </w:p>
    <w:p w14:paraId="475283C4" w14:textId="225BA01A" w:rsidR="006C1B4F" w:rsidRPr="00F8465B" w:rsidRDefault="006C1B4F" w:rsidP="00E62C3A">
      <w:pPr>
        <w:pStyle w:val="Ttulo1a"/>
        <w:ind w:left="567"/>
        <w:rPr>
          <w:rFonts w:ascii="Cambria" w:hAnsi="Cambria"/>
          <w:sz w:val="24"/>
          <w:szCs w:val="24"/>
        </w:rPr>
      </w:pPr>
      <w:r w:rsidRPr="00F8465B">
        <w:rPr>
          <w:rFonts w:ascii="Cambria" w:hAnsi="Cambria"/>
          <w:sz w:val="24"/>
          <w:szCs w:val="24"/>
        </w:rPr>
        <w:t>Al cierre de</w:t>
      </w:r>
      <w:r w:rsidR="0056751B" w:rsidRPr="00F8465B">
        <w:rPr>
          <w:rFonts w:ascii="Cambria" w:hAnsi="Cambria"/>
          <w:sz w:val="24"/>
          <w:szCs w:val="24"/>
        </w:rPr>
        <w:t xml:space="preserve"> </w:t>
      </w:r>
      <w:r w:rsidRPr="00F8465B">
        <w:rPr>
          <w:rFonts w:ascii="Cambria" w:hAnsi="Cambria"/>
          <w:sz w:val="24"/>
          <w:szCs w:val="24"/>
        </w:rPr>
        <w:t>l</w:t>
      </w:r>
      <w:r w:rsidR="0056751B" w:rsidRPr="00F8465B">
        <w:rPr>
          <w:rFonts w:ascii="Cambria" w:hAnsi="Cambria"/>
          <w:sz w:val="24"/>
          <w:szCs w:val="24"/>
        </w:rPr>
        <w:t xml:space="preserve">os </w:t>
      </w:r>
      <w:r w:rsidRPr="00F8465B">
        <w:rPr>
          <w:rFonts w:ascii="Cambria" w:hAnsi="Cambria"/>
          <w:sz w:val="24"/>
          <w:szCs w:val="24"/>
        </w:rPr>
        <w:t>ejercicio</w:t>
      </w:r>
      <w:r w:rsidR="0056751B" w:rsidRPr="00F8465B">
        <w:rPr>
          <w:rFonts w:ascii="Cambria" w:hAnsi="Cambria"/>
          <w:sz w:val="24"/>
          <w:szCs w:val="24"/>
        </w:rPr>
        <w:t>s</w:t>
      </w:r>
      <w:r w:rsidRPr="00F8465B">
        <w:rPr>
          <w:rFonts w:ascii="Cambria" w:hAnsi="Cambria"/>
          <w:sz w:val="24"/>
          <w:szCs w:val="24"/>
        </w:rPr>
        <w:t xml:space="preserve"> </w:t>
      </w:r>
      <w:r w:rsidR="00DB6898">
        <w:rPr>
          <w:rFonts w:ascii="Cambria" w:hAnsi="Cambria"/>
          <w:sz w:val="24"/>
          <w:szCs w:val="24"/>
        </w:rPr>
        <w:t>20</w:t>
      </w:r>
      <w:r w:rsidR="005A6B05">
        <w:rPr>
          <w:rFonts w:ascii="Cambria" w:hAnsi="Cambria"/>
          <w:sz w:val="24"/>
          <w:szCs w:val="24"/>
        </w:rPr>
        <w:t>20</w:t>
      </w:r>
      <w:r w:rsidR="00DB6898">
        <w:rPr>
          <w:rFonts w:ascii="Cambria" w:hAnsi="Cambria"/>
          <w:sz w:val="24"/>
          <w:szCs w:val="24"/>
        </w:rPr>
        <w:t xml:space="preserve"> </w:t>
      </w:r>
      <w:r w:rsidR="0019745B" w:rsidRPr="00F8465B">
        <w:rPr>
          <w:rFonts w:ascii="Cambria" w:hAnsi="Cambria"/>
          <w:sz w:val="24"/>
          <w:szCs w:val="24"/>
        </w:rPr>
        <w:t>y 20</w:t>
      </w:r>
      <w:r w:rsidR="00A26FC2" w:rsidRPr="00F8465B">
        <w:rPr>
          <w:rFonts w:ascii="Cambria" w:hAnsi="Cambria"/>
          <w:sz w:val="24"/>
          <w:szCs w:val="24"/>
        </w:rPr>
        <w:t>1</w:t>
      </w:r>
      <w:r w:rsidR="005A6B05">
        <w:rPr>
          <w:rFonts w:ascii="Cambria" w:hAnsi="Cambria"/>
          <w:sz w:val="24"/>
          <w:szCs w:val="24"/>
        </w:rPr>
        <w:t>9</w:t>
      </w:r>
      <w:r w:rsidRPr="00F8465B">
        <w:rPr>
          <w:rFonts w:ascii="Cambria" w:hAnsi="Cambria"/>
          <w:sz w:val="24"/>
          <w:szCs w:val="24"/>
        </w:rPr>
        <w:t>, el capital social está representado</w:t>
      </w:r>
      <w:r w:rsidR="003D3D3A" w:rsidRPr="00F8465B">
        <w:rPr>
          <w:rFonts w:ascii="Cambria" w:hAnsi="Cambria"/>
          <w:sz w:val="24"/>
          <w:szCs w:val="24"/>
        </w:rPr>
        <w:t xml:space="preserve"> por</w:t>
      </w:r>
      <w:r w:rsidRPr="00F8465B">
        <w:rPr>
          <w:rFonts w:ascii="Cambria" w:hAnsi="Cambria"/>
          <w:sz w:val="24"/>
          <w:szCs w:val="24"/>
        </w:rPr>
        <w:t xml:space="preserve"> 100.00</w:t>
      </w:r>
      <w:r w:rsidR="00851459" w:rsidRPr="00F8465B">
        <w:rPr>
          <w:rFonts w:ascii="Cambria" w:hAnsi="Cambria"/>
          <w:sz w:val="24"/>
          <w:szCs w:val="24"/>
        </w:rPr>
        <w:t>0</w:t>
      </w:r>
      <w:r w:rsidRPr="00F8465B">
        <w:rPr>
          <w:rFonts w:ascii="Cambria" w:hAnsi="Cambria"/>
          <w:sz w:val="24"/>
          <w:szCs w:val="24"/>
        </w:rPr>
        <w:t xml:space="preserve"> accio</w:t>
      </w:r>
      <w:r w:rsidR="002B3BCD" w:rsidRPr="00F8465B">
        <w:rPr>
          <w:rFonts w:ascii="Cambria" w:hAnsi="Cambria"/>
          <w:sz w:val="24"/>
          <w:szCs w:val="24"/>
        </w:rPr>
        <w:t xml:space="preserve">nes al portador de 30,05 euros </w:t>
      </w:r>
      <w:r w:rsidRPr="00F8465B">
        <w:rPr>
          <w:rFonts w:ascii="Cambria" w:hAnsi="Cambria"/>
          <w:sz w:val="24"/>
          <w:szCs w:val="24"/>
        </w:rPr>
        <w:t>de valor nominal cada una, todas ellas de la misma clase, totalmente suscritas y desembolsadas.</w:t>
      </w:r>
    </w:p>
    <w:p w14:paraId="4395C567" w14:textId="77777777" w:rsidR="00851459" w:rsidRPr="00F8465B" w:rsidRDefault="00851459" w:rsidP="00E62C3A">
      <w:pPr>
        <w:pStyle w:val="Ttulo1a"/>
        <w:ind w:left="567"/>
        <w:rPr>
          <w:rFonts w:ascii="Cambria" w:hAnsi="Cambria"/>
          <w:sz w:val="24"/>
          <w:szCs w:val="24"/>
        </w:rPr>
      </w:pPr>
    </w:p>
    <w:p w14:paraId="63C2DA08" w14:textId="58A57D81" w:rsidR="006C1B4F" w:rsidRPr="00F8465B" w:rsidRDefault="002B3BCD" w:rsidP="00E62C3A">
      <w:pPr>
        <w:pStyle w:val="Ttulo1a"/>
        <w:ind w:left="567"/>
        <w:rPr>
          <w:rFonts w:ascii="Cambria" w:hAnsi="Cambria"/>
          <w:sz w:val="24"/>
          <w:szCs w:val="24"/>
        </w:rPr>
      </w:pPr>
      <w:r w:rsidRPr="00F8465B">
        <w:rPr>
          <w:rFonts w:ascii="Cambria" w:hAnsi="Cambria"/>
          <w:sz w:val="24"/>
          <w:szCs w:val="24"/>
        </w:rPr>
        <w:t>Al 31 de diciembre de 20</w:t>
      </w:r>
      <w:r w:rsidR="00EB14DC">
        <w:rPr>
          <w:rFonts w:ascii="Cambria" w:hAnsi="Cambria"/>
          <w:sz w:val="24"/>
          <w:szCs w:val="24"/>
        </w:rPr>
        <w:t>20</w:t>
      </w:r>
      <w:r w:rsidRPr="00F8465B">
        <w:rPr>
          <w:rFonts w:ascii="Cambria" w:hAnsi="Cambria"/>
          <w:sz w:val="24"/>
          <w:szCs w:val="24"/>
        </w:rPr>
        <w:t>, la</w:t>
      </w:r>
      <w:r w:rsidR="006C1B4F" w:rsidRPr="00F8465B">
        <w:rPr>
          <w:rFonts w:ascii="Cambria" w:hAnsi="Cambria"/>
          <w:sz w:val="24"/>
          <w:szCs w:val="24"/>
        </w:rPr>
        <w:t xml:space="preserve"> Sociedad</w:t>
      </w:r>
      <w:r w:rsidRPr="00F8465B">
        <w:rPr>
          <w:rFonts w:ascii="Cambria" w:hAnsi="Cambria"/>
          <w:sz w:val="24"/>
          <w:szCs w:val="24"/>
        </w:rPr>
        <w:t xml:space="preserve"> </w:t>
      </w:r>
      <w:r w:rsidR="006C1B4F" w:rsidRPr="00F8465B">
        <w:rPr>
          <w:rFonts w:ascii="Cambria" w:hAnsi="Cambria"/>
          <w:sz w:val="24"/>
          <w:szCs w:val="24"/>
        </w:rPr>
        <w:t>es filial al 100% de la Sociedad Estatal de Participaciones Industriales.</w:t>
      </w:r>
    </w:p>
    <w:p w14:paraId="45334809" w14:textId="77777777" w:rsidR="00851459" w:rsidRPr="00F8465B" w:rsidRDefault="00851459" w:rsidP="00E62C3A">
      <w:pPr>
        <w:pStyle w:val="Ttulo1a"/>
        <w:ind w:left="567"/>
        <w:rPr>
          <w:rFonts w:ascii="Cambria" w:hAnsi="Cambria"/>
          <w:sz w:val="24"/>
          <w:szCs w:val="24"/>
        </w:rPr>
      </w:pPr>
    </w:p>
    <w:p w14:paraId="5B5F6705" w14:textId="77777777" w:rsidR="001E4292" w:rsidRPr="00F8465B" w:rsidRDefault="001E4292" w:rsidP="00E62C3A">
      <w:pPr>
        <w:pStyle w:val="Ttulo1a"/>
        <w:ind w:left="567"/>
        <w:rPr>
          <w:rFonts w:ascii="Cambria" w:hAnsi="Cambria"/>
          <w:sz w:val="24"/>
          <w:szCs w:val="24"/>
        </w:rPr>
      </w:pPr>
      <w:r w:rsidRPr="00F8465B">
        <w:rPr>
          <w:rFonts w:ascii="Cambria" w:hAnsi="Cambria"/>
          <w:sz w:val="24"/>
          <w:szCs w:val="24"/>
        </w:rPr>
        <w:t xml:space="preserve">De acuerdo con </w:t>
      </w:r>
      <w:r w:rsidR="00EA4BA2" w:rsidRPr="00F8465B">
        <w:rPr>
          <w:rFonts w:ascii="Cambria" w:hAnsi="Cambria"/>
          <w:sz w:val="24"/>
          <w:szCs w:val="24"/>
        </w:rPr>
        <w:t xml:space="preserve">el artículo 13 de </w:t>
      </w:r>
      <w:smartTag w:uri="urn:schemas-microsoft-com:office:smarttags" w:element="PersonName">
        <w:smartTagPr>
          <w:attr w:name="ProductID" w:val="la Ley"/>
        </w:smartTagPr>
        <w:r w:rsidR="00EA4BA2" w:rsidRPr="00F8465B">
          <w:rPr>
            <w:rFonts w:ascii="Cambria" w:hAnsi="Cambria"/>
            <w:sz w:val="24"/>
            <w:szCs w:val="24"/>
          </w:rPr>
          <w:t>la Ley</w:t>
        </w:r>
      </w:smartTag>
      <w:r w:rsidR="00EA4BA2" w:rsidRPr="00F8465B">
        <w:rPr>
          <w:rFonts w:ascii="Cambria" w:hAnsi="Cambria"/>
          <w:sz w:val="24"/>
          <w:szCs w:val="24"/>
        </w:rPr>
        <w:t xml:space="preserve"> de Sociedades de Capital, </w:t>
      </w:r>
      <w:smartTag w:uri="urn:schemas-microsoft-com:office:smarttags" w:element="PersonName">
        <w:smartTagPr>
          <w:attr w:name="ProductID" w:val="la Sociedad"/>
        </w:smartTagPr>
        <w:r w:rsidRPr="00F8465B">
          <w:rPr>
            <w:rFonts w:ascii="Cambria" w:hAnsi="Cambria"/>
            <w:sz w:val="24"/>
            <w:szCs w:val="24"/>
          </w:rPr>
          <w:t>la Sociedad</w:t>
        </w:r>
      </w:smartTag>
      <w:r w:rsidRPr="00F8465B">
        <w:rPr>
          <w:rFonts w:ascii="Cambria" w:hAnsi="Cambria"/>
          <w:sz w:val="24"/>
          <w:szCs w:val="24"/>
        </w:rPr>
        <w:t xml:space="preserve"> está inscrita en el Registro Mercantil como Sociedad Unipersonal.</w:t>
      </w:r>
    </w:p>
    <w:p w14:paraId="76001E47" w14:textId="77777777" w:rsidR="006C1B4F" w:rsidRPr="00F8465B" w:rsidRDefault="006C1B4F" w:rsidP="00E62C3A">
      <w:pPr>
        <w:pStyle w:val="Ttulo1a"/>
        <w:ind w:left="567"/>
        <w:rPr>
          <w:rFonts w:ascii="Cambria" w:hAnsi="Cambria"/>
          <w:sz w:val="24"/>
          <w:szCs w:val="24"/>
        </w:rPr>
      </w:pPr>
    </w:p>
    <w:p w14:paraId="7D968678" w14:textId="77777777" w:rsidR="006C1B4F" w:rsidRPr="00F8465B" w:rsidRDefault="006C1B4F" w:rsidP="00E62C3A">
      <w:pPr>
        <w:pStyle w:val="Ttulo1a"/>
        <w:ind w:left="567"/>
        <w:rPr>
          <w:rFonts w:ascii="Cambria" w:hAnsi="Cambria"/>
          <w:sz w:val="24"/>
          <w:szCs w:val="24"/>
        </w:rPr>
      </w:pPr>
      <w:r w:rsidRPr="00F8465B">
        <w:rPr>
          <w:rFonts w:ascii="Cambria" w:hAnsi="Cambria"/>
          <w:sz w:val="24"/>
          <w:szCs w:val="24"/>
        </w:rPr>
        <w:t xml:space="preserve">Las acciones de </w:t>
      </w:r>
      <w:smartTag w:uri="urn:schemas-microsoft-com:office:smarttags" w:element="PersonName">
        <w:smartTagPr>
          <w:attr w:name="ProductID" w:val="la Sociedad"/>
        </w:smartTagPr>
        <w:r w:rsidRPr="00F8465B">
          <w:rPr>
            <w:rFonts w:ascii="Cambria" w:hAnsi="Cambria"/>
            <w:sz w:val="24"/>
            <w:szCs w:val="24"/>
          </w:rPr>
          <w:t>la Sociedad</w:t>
        </w:r>
      </w:smartTag>
      <w:r w:rsidRPr="00F8465B">
        <w:rPr>
          <w:rFonts w:ascii="Cambria" w:hAnsi="Cambria"/>
          <w:sz w:val="24"/>
          <w:szCs w:val="24"/>
        </w:rPr>
        <w:t xml:space="preserve"> no cotizan en Bolsa.</w:t>
      </w:r>
    </w:p>
    <w:p w14:paraId="12B1B364" w14:textId="2585AF87" w:rsidR="00742360" w:rsidRDefault="00742360">
      <w:pPr>
        <w:keepLines w:val="0"/>
        <w:widowControl/>
        <w:jc w:val="left"/>
      </w:pPr>
      <w:r>
        <w:br w:type="page"/>
      </w:r>
    </w:p>
    <w:p w14:paraId="14AB99CC" w14:textId="77777777" w:rsidR="00C872AB" w:rsidRPr="00F8465B" w:rsidRDefault="00C872AB" w:rsidP="00C872AB"/>
    <w:p w14:paraId="463BB84D" w14:textId="77777777" w:rsidR="006C1B4F" w:rsidRPr="00F8465B" w:rsidRDefault="006C1B4F" w:rsidP="004701A0">
      <w:pPr>
        <w:pStyle w:val="Ttulo5"/>
        <w:ind w:left="567"/>
        <w:rPr>
          <w:rFonts w:ascii="Cambria" w:hAnsi="Cambria"/>
          <w:b/>
          <w:szCs w:val="24"/>
        </w:rPr>
      </w:pPr>
      <w:r w:rsidRPr="00F8465B">
        <w:rPr>
          <w:rFonts w:ascii="Cambria" w:hAnsi="Cambria"/>
          <w:b/>
          <w:szCs w:val="24"/>
        </w:rPr>
        <w:t>Reserva legal-</w:t>
      </w:r>
    </w:p>
    <w:p w14:paraId="7C1A4BEB" w14:textId="77777777" w:rsidR="006C1B4F" w:rsidRPr="00F8465B" w:rsidRDefault="006C1B4F" w:rsidP="00E62C3A">
      <w:pPr>
        <w:pStyle w:val="Ttulo1a"/>
        <w:ind w:left="567"/>
        <w:rPr>
          <w:rFonts w:ascii="Cambria" w:hAnsi="Cambria"/>
          <w:sz w:val="24"/>
          <w:szCs w:val="24"/>
        </w:rPr>
      </w:pPr>
    </w:p>
    <w:p w14:paraId="17DF706F" w14:textId="77777777" w:rsidR="00D50F15" w:rsidRDefault="006C1B4F" w:rsidP="00E62C3A">
      <w:pPr>
        <w:pStyle w:val="Ttulo1a"/>
        <w:ind w:left="567"/>
        <w:rPr>
          <w:rFonts w:ascii="Cambria" w:hAnsi="Cambria"/>
          <w:sz w:val="24"/>
          <w:szCs w:val="24"/>
        </w:rPr>
      </w:pPr>
      <w:r w:rsidRPr="00F8465B">
        <w:rPr>
          <w:rFonts w:ascii="Cambria" w:hAnsi="Cambria"/>
          <w:sz w:val="24"/>
          <w:szCs w:val="24"/>
        </w:rPr>
        <w:t xml:space="preserve">De acuerdo con </w:t>
      </w:r>
      <w:r w:rsidR="00EA4BA2" w:rsidRPr="00F8465B">
        <w:rPr>
          <w:rFonts w:ascii="Cambria" w:hAnsi="Cambria"/>
          <w:sz w:val="24"/>
          <w:szCs w:val="24"/>
        </w:rPr>
        <w:t>la ley de Sociedades de Capital</w:t>
      </w:r>
      <w:r w:rsidRPr="00F8465B">
        <w:rPr>
          <w:rFonts w:ascii="Cambria" w:hAnsi="Cambria"/>
          <w:sz w:val="24"/>
          <w:szCs w:val="24"/>
        </w:rPr>
        <w:t>, debe destinarse una cifra igual al 10% del beneficio del ejercicio a la reserva legal, hasta que ésta alcance, al menos, el 20% del capital social. La reserva legal podrá utilizarse para aumentar el capital en la parte de su saldo que exceda del 10% del capital ya aumentado. Salvo para la finalidad mencionada anteriormente, y mientras no supere el 20% del capital social, esta reserva sólo podrá destinarse a la compensación de pérdidas y siempre que no existan otras reservas disponibles suficientes para este fin.</w:t>
      </w:r>
    </w:p>
    <w:p w14:paraId="71E901C0" w14:textId="77777777" w:rsidR="00CC0047" w:rsidRDefault="00CC0047" w:rsidP="00CC0047"/>
    <w:p w14:paraId="12F52222" w14:textId="18DB6324" w:rsidR="00CC0047" w:rsidRPr="00CC0047" w:rsidRDefault="00CC0047" w:rsidP="00CC0047">
      <w:pPr>
        <w:ind w:left="567"/>
        <w:rPr>
          <w:rFonts w:ascii="Cambria" w:hAnsi="Cambria"/>
          <w:sz w:val="24"/>
          <w:szCs w:val="24"/>
        </w:rPr>
      </w:pPr>
      <w:r w:rsidRPr="00EB14DC">
        <w:rPr>
          <w:rFonts w:ascii="Cambria" w:hAnsi="Cambria"/>
          <w:sz w:val="24"/>
          <w:szCs w:val="24"/>
        </w:rPr>
        <w:t>A cierre de</w:t>
      </w:r>
      <w:r w:rsidR="00172475">
        <w:rPr>
          <w:rFonts w:ascii="Cambria" w:hAnsi="Cambria"/>
          <w:sz w:val="24"/>
          <w:szCs w:val="24"/>
        </w:rPr>
        <w:t xml:space="preserve"> los ejercicios 2020 y 2019 </w:t>
      </w:r>
      <w:r w:rsidRPr="00EB14DC">
        <w:rPr>
          <w:rFonts w:ascii="Cambria" w:hAnsi="Cambria"/>
          <w:sz w:val="24"/>
          <w:szCs w:val="24"/>
        </w:rPr>
        <w:t xml:space="preserve">esta reserva no se </w:t>
      </w:r>
      <w:r w:rsidR="00172475">
        <w:rPr>
          <w:rFonts w:ascii="Cambria" w:hAnsi="Cambria"/>
          <w:sz w:val="24"/>
          <w:szCs w:val="24"/>
        </w:rPr>
        <w:t xml:space="preserve">encuentra íntegramente </w:t>
      </w:r>
      <w:r w:rsidRPr="00EB14DC">
        <w:rPr>
          <w:rFonts w:ascii="Cambria" w:hAnsi="Cambria"/>
          <w:sz w:val="24"/>
          <w:szCs w:val="24"/>
        </w:rPr>
        <w:t xml:space="preserve"> constituida.</w:t>
      </w:r>
      <w:r w:rsidR="00C63B12">
        <w:rPr>
          <w:rFonts w:ascii="Cambria" w:hAnsi="Cambria"/>
          <w:sz w:val="24"/>
          <w:szCs w:val="24"/>
        </w:rPr>
        <w:t xml:space="preserve"> </w:t>
      </w:r>
      <w:r w:rsidR="00377246">
        <w:rPr>
          <w:rFonts w:ascii="Cambria" w:hAnsi="Cambria"/>
          <w:sz w:val="24"/>
          <w:szCs w:val="24"/>
        </w:rPr>
        <w:t>La sociedad destin</w:t>
      </w:r>
      <w:r w:rsidR="00EB14DC">
        <w:rPr>
          <w:rFonts w:ascii="Cambria" w:hAnsi="Cambria"/>
          <w:sz w:val="24"/>
          <w:szCs w:val="24"/>
        </w:rPr>
        <w:t>ó</w:t>
      </w:r>
      <w:r w:rsidR="00377246">
        <w:rPr>
          <w:rFonts w:ascii="Cambria" w:hAnsi="Cambria"/>
          <w:sz w:val="24"/>
          <w:szCs w:val="24"/>
        </w:rPr>
        <w:t xml:space="preserve"> </w:t>
      </w:r>
      <w:r w:rsidR="00C63B12">
        <w:rPr>
          <w:rFonts w:ascii="Cambria" w:hAnsi="Cambria"/>
          <w:sz w:val="24"/>
          <w:szCs w:val="24"/>
        </w:rPr>
        <w:t xml:space="preserve">el 10% del beneficio </w:t>
      </w:r>
      <w:r w:rsidR="00377246">
        <w:rPr>
          <w:rFonts w:ascii="Cambria" w:hAnsi="Cambria"/>
          <w:sz w:val="24"/>
          <w:szCs w:val="24"/>
        </w:rPr>
        <w:t xml:space="preserve">del ejercicio </w:t>
      </w:r>
      <w:r w:rsidR="00172475">
        <w:rPr>
          <w:rFonts w:ascii="Cambria" w:hAnsi="Cambria"/>
          <w:sz w:val="24"/>
          <w:szCs w:val="24"/>
        </w:rPr>
        <w:t xml:space="preserve">2019 </w:t>
      </w:r>
      <w:r w:rsidR="00C63B12">
        <w:rPr>
          <w:rFonts w:ascii="Cambria" w:hAnsi="Cambria"/>
          <w:sz w:val="24"/>
          <w:szCs w:val="24"/>
        </w:rPr>
        <w:t>a la constitución de la reserva legal.</w:t>
      </w:r>
      <w:r w:rsidR="00EB14DC">
        <w:rPr>
          <w:rFonts w:ascii="Cambria" w:hAnsi="Cambria"/>
          <w:sz w:val="24"/>
          <w:szCs w:val="24"/>
        </w:rPr>
        <w:t xml:space="preserve"> </w:t>
      </w:r>
    </w:p>
    <w:p w14:paraId="4E6954A6" w14:textId="77777777" w:rsidR="00742360" w:rsidRDefault="00742360" w:rsidP="00742360">
      <w:pPr>
        <w:keepLines w:val="0"/>
        <w:widowControl/>
        <w:jc w:val="left"/>
        <w:rPr>
          <w:rFonts w:ascii="Cambria" w:hAnsi="Cambria"/>
          <w:sz w:val="24"/>
          <w:szCs w:val="24"/>
        </w:rPr>
      </w:pPr>
    </w:p>
    <w:p w14:paraId="4E2095A7" w14:textId="77777777" w:rsidR="006C1B4F" w:rsidRPr="00F8465B" w:rsidRDefault="002B3BCD" w:rsidP="00E62C3A">
      <w:pPr>
        <w:pStyle w:val="Ttulo5"/>
        <w:ind w:left="567"/>
        <w:rPr>
          <w:rFonts w:ascii="Cambria" w:hAnsi="Cambria"/>
          <w:b/>
          <w:szCs w:val="24"/>
        </w:rPr>
      </w:pPr>
      <w:r w:rsidRPr="008F10C7">
        <w:rPr>
          <w:rFonts w:ascii="Cambria" w:hAnsi="Cambria"/>
          <w:b/>
          <w:szCs w:val="24"/>
        </w:rPr>
        <w:t>Otras reservas-</w:t>
      </w:r>
    </w:p>
    <w:p w14:paraId="531A1822" w14:textId="77777777" w:rsidR="006C1B4F" w:rsidRPr="00F8465B" w:rsidRDefault="006C1B4F" w:rsidP="00E62C3A">
      <w:pPr>
        <w:pStyle w:val="Ttulo1a"/>
        <w:ind w:left="567"/>
        <w:rPr>
          <w:rFonts w:ascii="Cambria" w:hAnsi="Cambria"/>
          <w:sz w:val="24"/>
          <w:szCs w:val="24"/>
        </w:rPr>
      </w:pPr>
    </w:p>
    <w:p w14:paraId="2B1CC2D8" w14:textId="2CBCCE55" w:rsidR="00EE5D95" w:rsidRDefault="00987B74" w:rsidP="00E62C3A">
      <w:pPr>
        <w:pStyle w:val="Ttulo1a"/>
        <w:ind w:left="567"/>
        <w:rPr>
          <w:rFonts w:ascii="Cambria" w:hAnsi="Cambria"/>
          <w:sz w:val="24"/>
          <w:szCs w:val="24"/>
        </w:rPr>
      </w:pPr>
      <w:r w:rsidRPr="00F8465B">
        <w:rPr>
          <w:rFonts w:ascii="Cambria" w:hAnsi="Cambria"/>
          <w:sz w:val="24"/>
          <w:szCs w:val="24"/>
        </w:rPr>
        <w:t>El epígrafe de “Otras reservas</w:t>
      </w:r>
      <w:r w:rsidRPr="008F10C7">
        <w:rPr>
          <w:rFonts w:ascii="Cambria" w:hAnsi="Cambria"/>
          <w:sz w:val="24"/>
          <w:szCs w:val="24"/>
        </w:rPr>
        <w:t xml:space="preserve">” incluye </w:t>
      </w:r>
      <w:r w:rsidR="00AA5A9C" w:rsidRPr="008F10C7">
        <w:rPr>
          <w:rFonts w:ascii="Cambria" w:hAnsi="Cambria"/>
          <w:sz w:val="24"/>
          <w:szCs w:val="24"/>
        </w:rPr>
        <w:t>un importe de</w:t>
      </w:r>
      <w:r w:rsidR="00C3764D" w:rsidRPr="008F10C7">
        <w:rPr>
          <w:rFonts w:ascii="Cambria" w:hAnsi="Cambria"/>
          <w:sz w:val="24"/>
          <w:szCs w:val="24"/>
        </w:rPr>
        <w:t xml:space="preserve"> </w:t>
      </w:r>
      <w:r w:rsidR="00EB14DC">
        <w:rPr>
          <w:rFonts w:ascii="Cambria" w:hAnsi="Cambria"/>
          <w:sz w:val="24"/>
          <w:szCs w:val="24"/>
        </w:rPr>
        <w:t>1</w:t>
      </w:r>
      <w:r w:rsidR="00652D25">
        <w:rPr>
          <w:rFonts w:ascii="Cambria" w:hAnsi="Cambria"/>
          <w:sz w:val="24"/>
          <w:szCs w:val="24"/>
        </w:rPr>
        <w:t>5</w:t>
      </w:r>
      <w:r w:rsidR="00DE36CA" w:rsidRPr="008F10C7">
        <w:rPr>
          <w:rFonts w:ascii="Cambria" w:hAnsi="Cambria"/>
          <w:sz w:val="24"/>
          <w:szCs w:val="24"/>
        </w:rPr>
        <w:t xml:space="preserve"> </w:t>
      </w:r>
      <w:r w:rsidR="00C3764D" w:rsidRPr="008F10C7">
        <w:rPr>
          <w:rFonts w:ascii="Cambria" w:hAnsi="Cambria"/>
          <w:sz w:val="24"/>
          <w:szCs w:val="24"/>
        </w:rPr>
        <w:t>miles de euros</w:t>
      </w:r>
      <w:r w:rsidR="00AA5A9C" w:rsidRPr="008F10C7">
        <w:rPr>
          <w:rFonts w:ascii="Cambria" w:hAnsi="Cambria"/>
          <w:sz w:val="24"/>
          <w:szCs w:val="24"/>
        </w:rPr>
        <w:t xml:space="preserve"> (un importe</w:t>
      </w:r>
      <w:r w:rsidR="00D71A12">
        <w:rPr>
          <w:rFonts w:ascii="Cambria" w:hAnsi="Cambria"/>
          <w:sz w:val="24"/>
          <w:szCs w:val="24"/>
        </w:rPr>
        <w:t xml:space="preserve"> </w:t>
      </w:r>
      <w:r w:rsidR="00AA5A9C">
        <w:rPr>
          <w:rFonts w:ascii="Cambria" w:hAnsi="Cambria"/>
          <w:sz w:val="24"/>
          <w:szCs w:val="24"/>
        </w:rPr>
        <w:t xml:space="preserve">de </w:t>
      </w:r>
      <w:r w:rsidR="00EB14DC">
        <w:rPr>
          <w:rFonts w:ascii="Cambria" w:hAnsi="Cambria"/>
          <w:sz w:val="24"/>
          <w:szCs w:val="24"/>
        </w:rPr>
        <w:t>5</w:t>
      </w:r>
      <w:r w:rsidR="00AA5A9C">
        <w:rPr>
          <w:rFonts w:ascii="Cambria" w:hAnsi="Cambria"/>
          <w:sz w:val="24"/>
          <w:szCs w:val="24"/>
        </w:rPr>
        <w:t xml:space="preserve"> miles de euros a 31 de diciembre de 201</w:t>
      </w:r>
      <w:r w:rsidR="00EB14DC">
        <w:rPr>
          <w:rFonts w:ascii="Cambria" w:hAnsi="Cambria"/>
          <w:sz w:val="24"/>
          <w:szCs w:val="24"/>
        </w:rPr>
        <w:t>9</w:t>
      </w:r>
      <w:r w:rsidR="00AA5A9C">
        <w:rPr>
          <w:rFonts w:ascii="Cambria" w:hAnsi="Cambria"/>
          <w:sz w:val="24"/>
          <w:szCs w:val="24"/>
        </w:rPr>
        <w:t>)</w:t>
      </w:r>
      <w:r w:rsidR="00E66017">
        <w:rPr>
          <w:rFonts w:ascii="Cambria" w:hAnsi="Cambria"/>
          <w:sz w:val="24"/>
          <w:szCs w:val="24"/>
        </w:rPr>
        <w:t xml:space="preserve"> </w:t>
      </w:r>
      <w:r w:rsidR="00AA5A9C">
        <w:rPr>
          <w:rFonts w:ascii="Cambria" w:hAnsi="Cambria"/>
          <w:sz w:val="24"/>
          <w:szCs w:val="24"/>
        </w:rPr>
        <w:t xml:space="preserve">correspondiente a </w:t>
      </w:r>
      <w:r w:rsidR="00EE5D95" w:rsidRPr="00711595">
        <w:rPr>
          <w:rFonts w:ascii="Cambria" w:hAnsi="Cambria"/>
          <w:sz w:val="24"/>
          <w:szCs w:val="24"/>
        </w:rPr>
        <w:t xml:space="preserve">las reservas actuariales surgidas como consecuencia de la variación, neta del efecto fiscal, de las hipótesis financieras aplicadas en </w:t>
      </w:r>
      <w:r w:rsidR="00244B0F" w:rsidRPr="00711595">
        <w:rPr>
          <w:rFonts w:ascii="Cambria" w:hAnsi="Cambria"/>
          <w:sz w:val="24"/>
          <w:szCs w:val="24"/>
        </w:rPr>
        <w:t>la</w:t>
      </w:r>
      <w:r w:rsidR="00EE5D95" w:rsidRPr="00711595">
        <w:rPr>
          <w:rFonts w:ascii="Cambria" w:hAnsi="Cambria"/>
          <w:sz w:val="24"/>
          <w:szCs w:val="24"/>
        </w:rPr>
        <w:t xml:space="preserve"> valoración de los compromisos con el personal pasivo absorbidos por la Sociedad</w:t>
      </w:r>
      <w:r w:rsidR="00C3764D" w:rsidRPr="00711595">
        <w:rPr>
          <w:rFonts w:ascii="Cambria" w:hAnsi="Cambria"/>
          <w:sz w:val="24"/>
          <w:szCs w:val="24"/>
        </w:rPr>
        <w:t xml:space="preserve"> </w:t>
      </w:r>
      <w:r w:rsidR="00C3764D" w:rsidRPr="00D011EB">
        <w:rPr>
          <w:rFonts w:ascii="Cambria" w:hAnsi="Cambria"/>
          <w:sz w:val="24"/>
          <w:szCs w:val="24"/>
        </w:rPr>
        <w:t xml:space="preserve">por importe negativo </w:t>
      </w:r>
      <w:r w:rsidR="00C3764D" w:rsidRPr="005919B6">
        <w:rPr>
          <w:rFonts w:ascii="Cambria" w:hAnsi="Cambria"/>
          <w:sz w:val="24"/>
          <w:szCs w:val="24"/>
        </w:rPr>
        <w:t>de 1.</w:t>
      </w:r>
      <w:r w:rsidR="009F3012" w:rsidRPr="005919B6">
        <w:rPr>
          <w:rFonts w:ascii="Cambria" w:hAnsi="Cambria"/>
          <w:sz w:val="24"/>
          <w:szCs w:val="24"/>
        </w:rPr>
        <w:t xml:space="preserve">206 </w:t>
      </w:r>
      <w:r w:rsidR="00C3764D" w:rsidRPr="005919B6">
        <w:rPr>
          <w:rFonts w:ascii="Cambria" w:hAnsi="Cambria"/>
          <w:sz w:val="24"/>
          <w:szCs w:val="24"/>
        </w:rPr>
        <w:t>miles de euros.</w:t>
      </w:r>
    </w:p>
    <w:p w14:paraId="76A63F65" w14:textId="77777777" w:rsidR="0060571A" w:rsidRDefault="0060571A" w:rsidP="0060571A"/>
    <w:p w14:paraId="01097061" w14:textId="2332A468" w:rsidR="00584E15" w:rsidRDefault="00584E15" w:rsidP="0060571A">
      <w:pPr>
        <w:pStyle w:val="Ttulo1a"/>
        <w:ind w:left="567"/>
        <w:rPr>
          <w:rFonts w:ascii="Cambria" w:hAnsi="Cambria"/>
          <w:sz w:val="24"/>
          <w:szCs w:val="24"/>
        </w:rPr>
      </w:pPr>
      <w:r w:rsidRPr="00F8465B">
        <w:rPr>
          <w:rFonts w:ascii="Cambria" w:hAnsi="Cambria"/>
          <w:sz w:val="24"/>
          <w:szCs w:val="24"/>
        </w:rPr>
        <w:t>El movimiento habido, en los ejercicios 20</w:t>
      </w:r>
      <w:r w:rsidR="005919B6">
        <w:rPr>
          <w:rFonts w:ascii="Cambria" w:hAnsi="Cambria"/>
          <w:sz w:val="24"/>
          <w:szCs w:val="24"/>
        </w:rPr>
        <w:t>20</w:t>
      </w:r>
      <w:r w:rsidRPr="00F8465B">
        <w:rPr>
          <w:rFonts w:ascii="Cambria" w:hAnsi="Cambria"/>
          <w:sz w:val="24"/>
          <w:szCs w:val="24"/>
        </w:rPr>
        <w:t xml:space="preserve"> y 201</w:t>
      </w:r>
      <w:r w:rsidR="005919B6">
        <w:rPr>
          <w:rFonts w:ascii="Cambria" w:hAnsi="Cambria"/>
          <w:sz w:val="24"/>
          <w:szCs w:val="24"/>
        </w:rPr>
        <w:t>9</w:t>
      </w:r>
      <w:r w:rsidRPr="00F8465B">
        <w:rPr>
          <w:rFonts w:ascii="Cambria" w:hAnsi="Cambria"/>
          <w:sz w:val="24"/>
          <w:szCs w:val="24"/>
        </w:rPr>
        <w:t>, ha sido el siguiente (en miles de euros):</w:t>
      </w:r>
    </w:p>
    <w:p w14:paraId="6228E944" w14:textId="4E207A0A" w:rsidR="00E9519C" w:rsidRDefault="00E9519C" w:rsidP="00C42CC6">
      <w:pPr>
        <w:ind w:left="567"/>
        <w:rPr>
          <w:rFonts w:ascii="Cambria" w:hAnsi="Cambria"/>
          <w:b/>
          <w:sz w:val="24"/>
          <w:szCs w:val="24"/>
          <w:u w:val="single"/>
        </w:rPr>
      </w:pPr>
    </w:p>
    <w:p w14:paraId="5689C01A" w14:textId="78179B5A" w:rsidR="00C42CC6" w:rsidRDefault="004A1C1B" w:rsidP="00C42CC6">
      <w:pPr>
        <w:ind w:left="567"/>
        <w:rPr>
          <w:rFonts w:ascii="Cambria" w:hAnsi="Cambria"/>
          <w:b/>
          <w:sz w:val="24"/>
          <w:szCs w:val="24"/>
          <w:u w:val="single"/>
        </w:rPr>
      </w:pPr>
      <w:r>
        <w:rPr>
          <w:rFonts w:ascii="Cambria" w:hAnsi="Cambria"/>
          <w:b/>
          <w:sz w:val="24"/>
          <w:szCs w:val="24"/>
          <w:u w:val="single"/>
        </w:rPr>
        <w:t>Ejercicio 20</w:t>
      </w:r>
      <w:r w:rsidR="005919B6">
        <w:rPr>
          <w:rFonts w:ascii="Cambria" w:hAnsi="Cambria"/>
          <w:b/>
          <w:sz w:val="24"/>
          <w:szCs w:val="24"/>
          <w:u w:val="single"/>
        </w:rPr>
        <w:t>20</w:t>
      </w:r>
    </w:p>
    <w:p w14:paraId="7D9B880C" w14:textId="77777777" w:rsidR="009F3012" w:rsidRDefault="009F3012" w:rsidP="00C42CC6">
      <w:pPr>
        <w:ind w:left="567"/>
        <w:rPr>
          <w:rFonts w:ascii="Cambria" w:hAnsi="Cambria"/>
          <w:b/>
          <w:sz w:val="24"/>
          <w:szCs w:val="24"/>
          <w:u w:val="single"/>
        </w:rPr>
      </w:pPr>
    </w:p>
    <w:tbl>
      <w:tblPr>
        <w:tblpPr w:leftFromText="141" w:rightFromText="141" w:vertAnchor="text" w:horzAnchor="page" w:tblpX="2309" w:tblpY="390"/>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4"/>
        <w:gridCol w:w="1194"/>
        <w:gridCol w:w="1758"/>
        <w:gridCol w:w="2268"/>
        <w:gridCol w:w="1559"/>
      </w:tblGrid>
      <w:tr w:rsidR="009F3012" w:rsidRPr="00F8465B" w14:paraId="5B776FD0" w14:textId="77777777" w:rsidTr="009F3012">
        <w:trPr>
          <w:trHeight w:val="232"/>
        </w:trPr>
        <w:tc>
          <w:tcPr>
            <w:tcW w:w="1584" w:type="dxa"/>
            <w:tcBorders>
              <w:bottom w:val="single" w:sz="4" w:space="0" w:color="auto"/>
            </w:tcBorders>
            <w:shd w:val="clear" w:color="auto" w:fill="FFFFFF"/>
            <w:noWrap/>
            <w:vAlign w:val="bottom"/>
          </w:tcPr>
          <w:p w14:paraId="52BF360F" w14:textId="77777777" w:rsidR="009F3012" w:rsidRPr="00F8465B" w:rsidRDefault="009F3012" w:rsidP="009F3012">
            <w:pPr>
              <w:keepLines w:val="0"/>
              <w:widowControl/>
              <w:jc w:val="left"/>
              <w:rPr>
                <w:rFonts w:ascii="Cambria" w:hAnsi="Cambria"/>
                <w:b/>
                <w:sz w:val="20"/>
                <w:lang w:val="es-ES"/>
              </w:rPr>
            </w:pPr>
            <w:r w:rsidRPr="00F8465B">
              <w:rPr>
                <w:rFonts w:ascii="Cambria" w:hAnsi="Cambria"/>
                <w:b/>
                <w:sz w:val="20"/>
                <w:lang w:val="es-ES"/>
              </w:rPr>
              <w:t> </w:t>
            </w:r>
          </w:p>
        </w:tc>
        <w:tc>
          <w:tcPr>
            <w:tcW w:w="1194" w:type="dxa"/>
            <w:tcBorders>
              <w:bottom w:val="single" w:sz="4" w:space="0" w:color="auto"/>
            </w:tcBorders>
            <w:shd w:val="clear" w:color="auto" w:fill="FFFFFF"/>
            <w:vAlign w:val="bottom"/>
          </w:tcPr>
          <w:p w14:paraId="0C89C77A" w14:textId="3E7BD052" w:rsidR="009F3012" w:rsidRPr="00F8465B" w:rsidRDefault="009F3012" w:rsidP="009F3012">
            <w:pPr>
              <w:keepLines w:val="0"/>
              <w:widowControl/>
              <w:jc w:val="center"/>
              <w:rPr>
                <w:rFonts w:ascii="Cambria" w:hAnsi="Cambria"/>
                <w:b/>
                <w:sz w:val="20"/>
                <w:lang w:val="es-ES"/>
              </w:rPr>
            </w:pPr>
            <w:r>
              <w:rPr>
                <w:rFonts w:ascii="Cambria" w:hAnsi="Cambria"/>
                <w:b/>
                <w:sz w:val="20"/>
                <w:lang w:val="es-ES"/>
              </w:rPr>
              <w:t>Saldo al 31.12.1</w:t>
            </w:r>
            <w:r w:rsidR="005919B6">
              <w:rPr>
                <w:rFonts w:ascii="Cambria" w:hAnsi="Cambria"/>
                <w:b/>
                <w:sz w:val="20"/>
                <w:lang w:val="es-ES"/>
              </w:rPr>
              <w:t>9</w:t>
            </w:r>
          </w:p>
        </w:tc>
        <w:tc>
          <w:tcPr>
            <w:tcW w:w="1758" w:type="dxa"/>
            <w:tcBorders>
              <w:bottom w:val="single" w:sz="4" w:space="0" w:color="auto"/>
            </w:tcBorders>
            <w:shd w:val="clear" w:color="auto" w:fill="auto"/>
            <w:vAlign w:val="bottom"/>
          </w:tcPr>
          <w:p w14:paraId="1CB6479F" w14:textId="77777777" w:rsidR="009F3012" w:rsidRPr="00D5774E" w:rsidRDefault="009F3012" w:rsidP="009F3012">
            <w:pPr>
              <w:keepLines w:val="0"/>
              <w:widowControl/>
              <w:jc w:val="center"/>
              <w:rPr>
                <w:rFonts w:ascii="Cambria" w:hAnsi="Cambria"/>
                <w:b/>
                <w:sz w:val="20"/>
                <w:lang w:val="es-ES"/>
              </w:rPr>
            </w:pPr>
            <w:r w:rsidRPr="00D5774E">
              <w:rPr>
                <w:rFonts w:ascii="Cambria" w:hAnsi="Cambria"/>
                <w:b/>
                <w:sz w:val="20"/>
                <w:lang w:val="es-ES"/>
              </w:rPr>
              <w:t>Ajustes Provisiones personal Pasivo</w:t>
            </w:r>
          </w:p>
        </w:tc>
        <w:tc>
          <w:tcPr>
            <w:tcW w:w="2268" w:type="dxa"/>
            <w:tcBorders>
              <w:bottom w:val="single" w:sz="4" w:space="0" w:color="auto"/>
            </w:tcBorders>
            <w:shd w:val="clear" w:color="auto" w:fill="auto"/>
          </w:tcPr>
          <w:p w14:paraId="17E6705D" w14:textId="4A858F31" w:rsidR="009F3012" w:rsidRPr="00D5774E" w:rsidRDefault="009F3012" w:rsidP="006B3D41">
            <w:pPr>
              <w:keepLines w:val="0"/>
              <w:widowControl/>
              <w:jc w:val="center"/>
              <w:rPr>
                <w:rFonts w:ascii="Cambria" w:hAnsi="Cambria"/>
                <w:b/>
                <w:sz w:val="20"/>
                <w:lang w:val="es-ES"/>
              </w:rPr>
            </w:pPr>
            <w:r w:rsidRPr="00D5774E">
              <w:rPr>
                <w:rFonts w:ascii="Cambria" w:hAnsi="Cambria"/>
                <w:b/>
                <w:sz w:val="20"/>
                <w:lang w:val="es-ES"/>
              </w:rPr>
              <w:t xml:space="preserve"> </w:t>
            </w:r>
            <w:r w:rsidR="006B3D41" w:rsidRPr="00D5774E">
              <w:rPr>
                <w:rFonts w:ascii="Cambria" w:hAnsi="Cambria"/>
                <w:b/>
                <w:sz w:val="20"/>
                <w:lang w:val="es-ES"/>
              </w:rPr>
              <w:t xml:space="preserve">Aplicación del </w:t>
            </w:r>
            <w:r w:rsidR="006C58D2" w:rsidRPr="00D5774E">
              <w:rPr>
                <w:rFonts w:ascii="Cambria" w:hAnsi="Cambria"/>
                <w:b/>
                <w:sz w:val="20"/>
                <w:lang w:val="es-ES"/>
              </w:rPr>
              <w:t xml:space="preserve"> resultado</w:t>
            </w:r>
            <w:r w:rsidR="00B36E78" w:rsidRPr="00D5774E">
              <w:rPr>
                <w:rFonts w:ascii="Cambria" w:hAnsi="Cambria"/>
                <w:b/>
                <w:sz w:val="20"/>
                <w:lang w:val="es-ES"/>
              </w:rPr>
              <w:t xml:space="preserve"> de</w:t>
            </w:r>
            <w:r w:rsidR="006B3D41" w:rsidRPr="00D5774E">
              <w:rPr>
                <w:rFonts w:ascii="Cambria" w:hAnsi="Cambria"/>
                <w:b/>
                <w:sz w:val="20"/>
                <w:lang w:val="es-ES"/>
              </w:rPr>
              <w:t>l</w:t>
            </w:r>
            <w:r w:rsidR="00B36E78" w:rsidRPr="00D5774E">
              <w:rPr>
                <w:rFonts w:ascii="Cambria" w:hAnsi="Cambria"/>
                <w:b/>
                <w:sz w:val="20"/>
                <w:lang w:val="es-ES"/>
              </w:rPr>
              <w:t xml:space="preserve"> ejercicio</w:t>
            </w:r>
            <w:r w:rsidR="006C58D2" w:rsidRPr="00D5774E">
              <w:rPr>
                <w:rFonts w:ascii="Cambria" w:hAnsi="Cambria"/>
                <w:b/>
                <w:sz w:val="20"/>
                <w:lang w:val="es-ES"/>
              </w:rPr>
              <w:t xml:space="preserve"> anterior  a </w:t>
            </w:r>
            <w:r w:rsidR="006B3D41" w:rsidRPr="00D5774E">
              <w:rPr>
                <w:rFonts w:ascii="Cambria" w:hAnsi="Cambria"/>
                <w:b/>
                <w:sz w:val="20"/>
                <w:lang w:val="es-ES"/>
              </w:rPr>
              <w:t>Reserva</w:t>
            </w:r>
            <w:r w:rsidR="005722FC" w:rsidRPr="00D5774E">
              <w:rPr>
                <w:rFonts w:ascii="Cambria" w:hAnsi="Cambria"/>
                <w:b/>
                <w:sz w:val="20"/>
                <w:lang w:val="es-ES"/>
              </w:rPr>
              <w:t xml:space="preserve"> Legal</w:t>
            </w:r>
          </w:p>
        </w:tc>
        <w:tc>
          <w:tcPr>
            <w:tcW w:w="1559" w:type="dxa"/>
            <w:tcBorders>
              <w:bottom w:val="single" w:sz="4" w:space="0" w:color="auto"/>
            </w:tcBorders>
            <w:shd w:val="clear" w:color="auto" w:fill="auto"/>
            <w:vAlign w:val="bottom"/>
          </w:tcPr>
          <w:p w14:paraId="7E714BD7" w14:textId="7F88D44D" w:rsidR="009F3012" w:rsidRPr="001D153E" w:rsidRDefault="009F3012" w:rsidP="009F3012">
            <w:pPr>
              <w:keepLines w:val="0"/>
              <w:widowControl/>
              <w:jc w:val="center"/>
              <w:rPr>
                <w:rFonts w:ascii="Cambria" w:hAnsi="Cambria"/>
                <w:b/>
                <w:sz w:val="20"/>
                <w:lang w:val="es-ES"/>
              </w:rPr>
            </w:pPr>
            <w:r w:rsidRPr="001D153E">
              <w:rPr>
                <w:rFonts w:ascii="Cambria" w:hAnsi="Cambria"/>
                <w:b/>
                <w:sz w:val="20"/>
                <w:lang w:val="es-ES"/>
              </w:rPr>
              <w:t>Saldo al 31.12.</w:t>
            </w:r>
            <w:r w:rsidR="005919B6" w:rsidRPr="001D153E">
              <w:rPr>
                <w:rFonts w:ascii="Cambria" w:hAnsi="Cambria"/>
                <w:b/>
                <w:sz w:val="20"/>
                <w:lang w:val="es-ES"/>
              </w:rPr>
              <w:t>20</w:t>
            </w:r>
          </w:p>
        </w:tc>
      </w:tr>
      <w:tr w:rsidR="009F3012" w:rsidRPr="00F8465B" w14:paraId="4FC4126C" w14:textId="77777777" w:rsidTr="009F3012">
        <w:trPr>
          <w:trHeight w:val="404"/>
        </w:trPr>
        <w:tc>
          <w:tcPr>
            <w:tcW w:w="1584" w:type="dxa"/>
            <w:tcBorders>
              <w:bottom w:val="single" w:sz="4" w:space="0" w:color="auto"/>
            </w:tcBorders>
            <w:shd w:val="clear" w:color="auto" w:fill="auto"/>
            <w:vAlign w:val="center"/>
          </w:tcPr>
          <w:p w14:paraId="10097062" w14:textId="77777777" w:rsidR="009F3012" w:rsidRPr="00F8465B" w:rsidRDefault="009F3012" w:rsidP="009F3012">
            <w:pPr>
              <w:keepLines w:val="0"/>
              <w:widowControl/>
              <w:rPr>
                <w:rFonts w:ascii="Cambria" w:hAnsi="Cambria"/>
                <w:bCs/>
                <w:sz w:val="20"/>
                <w:lang w:val="es-ES"/>
              </w:rPr>
            </w:pPr>
            <w:r w:rsidRPr="00F8465B">
              <w:rPr>
                <w:rFonts w:ascii="Cambria" w:hAnsi="Cambria"/>
                <w:bCs/>
                <w:sz w:val="20"/>
                <w:lang w:val="es-ES"/>
              </w:rPr>
              <w:t>Otras reservas</w:t>
            </w:r>
          </w:p>
        </w:tc>
        <w:tc>
          <w:tcPr>
            <w:tcW w:w="1194" w:type="dxa"/>
            <w:tcBorders>
              <w:bottom w:val="single" w:sz="4" w:space="0" w:color="auto"/>
            </w:tcBorders>
            <w:vAlign w:val="center"/>
          </w:tcPr>
          <w:p w14:paraId="55290FB4" w14:textId="5544E469" w:rsidR="009F3012" w:rsidRPr="00F8465B" w:rsidRDefault="005919B6" w:rsidP="009F3012">
            <w:pPr>
              <w:keepLines w:val="0"/>
              <w:widowControl/>
              <w:jc w:val="right"/>
              <w:rPr>
                <w:rFonts w:ascii="Cambria" w:hAnsi="Cambria"/>
                <w:bCs/>
                <w:sz w:val="20"/>
                <w:lang w:val="es-ES"/>
              </w:rPr>
            </w:pPr>
            <w:r>
              <w:rPr>
                <w:rFonts w:ascii="Cambria" w:hAnsi="Cambria"/>
                <w:bCs/>
                <w:sz w:val="20"/>
                <w:lang w:val="es-ES"/>
              </w:rPr>
              <w:t>5</w:t>
            </w:r>
          </w:p>
        </w:tc>
        <w:tc>
          <w:tcPr>
            <w:tcW w:w="1758" w:type="dxa"/>
            <w:tcBorders>
              <w:bottom w:val="single" w:sz="4" w:space="0" w:color="auto"/>
            </w:tcBorders>
            <w:shd w:val="clear" w:color="auto" w:fill="auto"/>
            <w:vAlign w:val="center"/>
          </w:tcPr>
          <w:p w14:paraId="234C5DC2" w14:textId="22F618C2" w:rsidR="009F3012" w:rsidRPr="00D5774E" w:rsidRDefault="00123B75" w:rsidP="009F3012">
            <w:pPr>
              <w:keepLines w:val="0"/>
              <w:widowControl/>
              <w:jc w:val="right"/>
              <w:rPr>
                <w:rFonts w:ascii="Cambria" w:hAnsi="Cambria"/>
                <w:bCs/>
                <w:sz w:val="20"/>
                <w:lang w:val="es-ES"/>
              </w:rPr>
            </w:pPr>
            <w:r w:rsidRPr="00D5774E">
              <w:rPr>
                <w:rFonts w:ascii="Cambria" w:hAnsi="Cambria"/>
                <w:bCs/>
                <w:sz w:val="20"/>
                <w:lang w:val="es-ES"/>
              </w:rPr>
              <w:t>10</w:t>
            </w:r>
          </w:p>
        </w:tc>
        <w:tc>
          <w:tcPr>
            <w:tcW w:w="2268" w:type="dxa"/>
            <w:tcBorders>
              <w:bottom w:val="single" w:sz="4" w:space="0" w:color="auto"/>
            </w:tcBorders>
            <w:shd w:val="clear" w:color="auto" w:fill="auto"/>
            <w:vAlign w:val="center"/>
          </w:tcPr>
          <w:p w14:paraId="43B5AE7F" w14:textId="608B94C9" w:rsidR="009F3012" w:rsidRPr="00D5774E" w:rsidRDefault="00123B75" w:rsidP="00B36E78">
            <w:pPr>
              <w:keepLines w:val="0"/>
              <w:widowControl/>
              <w:jc w:val="right"/>
              <w:rPr>
                <w:rFonts w:ascii="Cambria" w:hAnsi="Cambria"/>
                <w:bCs/>
                <w:sz w:val="20"/>
                <w:lang w:val="es-ES"/>
              </w:rPr>
            </w:pPr>
            <w:r w:rsidRPr="00D5774E">
              <w:rPr>
                <w:rFonts w:ascii="Cambria" w:hAnsi="Cambria"/>
                <w:bCs/>
                <w:sz w:val="20"/>
                <w:lang w:val="es-ES"/>
              </w:rPr>
              <w:t>56</w:t>
            </w:r>
          </w:p>
        </w:tc>
        <w:tc>
          <w:tcPr>
            <w:tcW w:w="1559" w:type="dxa"/>
            <w:tcBorders>
              <w:bottom w:val="single" w:sz="4" w:space="0" w:color="auto"/>
            </w:tcBorders>
            <w:shd w:val="clear" w:color="auto" w:fill="auto"/>
            <w:noWrap/>
            <w:vAlign w:val="center"/>
          </w:tcPr>
          <w:p w14:paraId="2BF421DE" w14:textId="020D9D99" w:rsidR="009F3012" w:rsidRPr="001D153E" w:rsidRDefault="00123B75" w:rsidP="009F3012">
            <w:pPr>
              <w:keepLines w:val="0"/>
              <w:widowControl/>
              <w:jc w:val="right"/>
              <w:rPr>
                <w:rFonts w:ascii="Cambria" w:hAnsi="Cambria"/>
                <w:bCs/>
                <w:sz w:val="20"/>
                <w:lang w:val="es-ES"/>
              </w:rPr>
            </w:pPr>
            <w:r w:rsidRPr="001D153E">
              <w:rPr>
                <w:rFonts w:ascii="Cambria" w:hAnsi="Cambria"/>
                <w:bCs/>
                <w:sz w:val="20"/>
                <w:lang w:val="es-ES"/>
              </w:rPr>
              <w:t>71</w:t>
            </w:r>
          </w:p>
        </w:tc>
      </w:tr>
    </w:tbl>
    <w:p w14:paraId="30038BBB" w14:textId="77777777" w:rsidR="009F3012" w:rsidRDefault="009F3012" w:rsidP="00730BF0">
      <w:pPr>
        <w:ind w:left="567"/>
        <w:rPr>
          <w:rFonts w:ascii="Cambria" w:hAnsi="Cambria"/>
          <w:b/>
          <w:sz w:val="24"/>
          <w:szCs w:val="24"/>
          <w:u w:val="single"/>
        </w:rPr>
      </w:pPr>
    </w:p>
    <w:p w14:paraId="13145E40" w14:textId="77777777" w:rsidR="006C58D2" w:rsidRDefault="006C58D2" w:rsidP="00730BF0">
      <w:pPr>
        <w:ind w:left="567"/>
        <w:rPr>
          <w:rFonts w:ascii="Cambria" w:hAnsi="Cambria"/>
          <w:b/>
          <w:sz w:val="24"/>
          <w:szCs w:val="24"/>
          <w:u w:val="single"/>
        </w:rPr>
      </w:pPr>
    </w:p>
    <w:p w14:paraId="1AE5F8F1" w14:textId="77777777" w:rsidR="005919B6" w:rsidRDefault="005919B6" w:rsidP="005919B6">
      <w:pPr>
        <w:ind w:left="567"/>
        <w:rPr>
          <w:rFonts w:ascii="Cambria" w:hAnsi="Cambria"/>
          <w:b/>
          <w:sz w:val="24"/>
          <w:szCs w:val="24"/>
          <w:u w:val="single"/>
        </w:rPr>
      </w:pPr>
      <w:r>
        <w:rPr>
          <w:rFonts w:ascii="Cambria" w:hAnsi="Cambria"/>
          <w:b/>
          <w:sz w:val="24"/>
          <w:szCs w:val="24"/>
          <w:u w:val="single"/>
        </w:rPr>
        <w:t>Ejercicio 2019</w:t>
      </w:r>
    </w:p>
    <w:p w14:paraId="038C03B4" w14:textId="77777777" w:rsidR="005919B6" w:rsidRDefault="005919B6" w:rsidP="005919B6">
      <w:pPr>
        <w:ind w:left="567"/>
        <w:rPr>
          <w:rFonts w:ascii="Cambria" w:hAnsi="Cambria"/>
          <w:b/>
          <w:sz w:val="24"/>
          <w:szCs w:val="24"/>
          <w:u w:val="single"/>
        </w:rPr>
      </w:pPr>
    </w:p>
    <w:tbl>
      <w:tblPr>
        <w:tblpPr w:leftFromText="141" w:rightFromText="141" w:vertAnchor="text" w:horzAnchor="page" w:tblpX="2309" w:tblpY="390"/>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4"/>
        <w:gridCol w:w="1194"/>
        <w:gridCol w:w="1758"/>
        <w:gridCol w:w="2268"/>
        <w:gridCol w:w="1559"/>
      </w:tblGrid>
      <w:tr w:rsidR="005919B6" w:rsidRPr="00F8465B" w14:paraId="7F50B0EA" w14:textId="77777777" w:rsidTr="00A50FEA">
        <w:trPr>
          <w:trHeight w:val="232"/>
        </w:trPr>
        <w:tc>
          <w:tcPr>
            <w:tcW w:w="1584" w:type="dxa"/>
            <w:tcBorders>
              <w:bottom w:val="single" w:sz="4" w:space="0" w:color="auto"/>
            </w:tcBorders>
            <w:shd w:val="clear" w:color="auto" w:fill="FFFFFF"/>
            <w:noWrap/>
            <w:vAlign w:val="bottom"/>
          </w:tcPr>
          <w:p w14:paraId="2D76D52D" w14:textId="77777777" w:rsidR="005919B6" w:rsidRPr="00F8465B" w:rsidRDefault="005919B6" w:rsidP="00A50FEA">
            <w:pPr>
              <w:keepLines w:val="0"/>
              <w:widowControl/>
              <w:jc w:val="left"/>
              <w:rPr>
                <w:rFonts w:ascii="Cambria" w:hAnsi="Cambria"/>
                <w:b/>
                <w:sz w:val="20"/>
                <w:lang w:val="es-ES"/>
              </w:rPr>
            </w:pPr>
            <w:r w:rsidRPr="00F8465B">
              <w:rPr>
                <w:rFonts w:ascii="Cambria" w:hAnsi="Cambria"/>
                <w:b/>
                <w:sz w:val="20"/>
                <w:lang w:val="es-ES"/>
              </w:rPr>
              <w:t> </w:t>
            </w:r>
          </w:p>
        </w:tc>
        <w:tc>
          <w:tcPr>
            <w:tcW w:w="1194" w:type="dxa"/>
            <w:tcBorders>
              <w:bottom w:val="single" w:sz="4" w:space="0" w:color="auto"/>
            </w:tcBorders>
            <w:shd w:val="clear" w:color="auto" w:fill="FFFFFF"/>
            <w:vAlign w:val="bottom"/>
          </w:tcPr>
          <w:p w14:paraId="42DCEF72" w14:textId="77777777" w:rsidR="005919B6" w:rsidRPr="00F8465B" w:rsidRDefault="005919B6" w:rsidP="00A50FEA">
            <w:pPr>
              <w:keepLines w:val="0"/>
              <w:widowControl/>
              <w:jc w:val="center"/>
              <w:rPr>
                <w:rFonts w:ascii="Cambria" w:hAnsi="Cambria"/>
                <w:b/>
                <w:sz w:val="20"/>
                <w:lang w:val="es-ES"/>
              </w:rPr>
            </w:pPr>
            <w:r>
              <w:rPr>
                <w:rFonts w:ascii="Cambria" w:hAnsi="Cambria"/>
                <w:b/>
                <w:sz w:val="20"/>
                <w:lang w:val="es-ES"/>
              </w:rPr>
              <w:t>Saldo al 31.12.18</w:t>
            </w:r>
          </w:p>
        </w:tc>
        <w:tc>
          <w:tcPr>
            <w:tcW w:w="1758" w:type="dxa"/>
            <w:tcBorders>
              <w:bottom w:val="single" w:sz="4" w:space="0" w:color="auto"/>
            </w:tcBorders>
            <w:shd w:val="clear" w:color="auto" w:fill="auto"/>
            <w:vAlign w:val="bottom"/>
          </w:tcPr>
          <w:p w14:paraId="30DAC8EC" w14:textId="77777777" w:rsidR="005919B6" w:rsidRPr="008F10C7" w:rsidRDefault="005919B6" w:rsidP="00A50FEA">
            <w:pPr>
              <w:keepLines w:val="0"/>
              <w:widowControl/>
              <w:jc w:val="center"/>
              <w:rPr>
                <w:rFonts w:ascii="Cambria" w:hAnsi="Cambria"/>
                <w:b/>
                <w:sz w:val="20"/>
                <w:lang w:val="es-ES"/>
              </w:rPr>
            </w:pPr>
            <w:r w:rsidRPr="008F10C7">
              <w:rPr>
                <w:rFonts w:ascii="Cambria" w:hAnsi="Cambria"/>
                <w:b/>
                <w:sz w:val="20"/>
                <w:lang w:val="es-ES"/>
              </w:rPr>
              <w:t>Ajustes Provisiones personal Pasivo</w:t>
            </w:r>
          </w:p>
        </w:tc>
        <w:tc>
          <w:tcPr>
            <w:tcW w:w="2268" w:type="dxa"/>
            <w:tcBorders>
              <w:bottom w:val="single" w:sz="4" w:space="0" w:color="auto"/>
            </w:tcBorders>
            <w:shd w:val="clear" w:color="auto" w:fill="auto"/>
          </w:tcPr>
          <w:p w14:paraId="545ADDC6" w14:textId="77777777" w:rsidR="005919B6" w:rsidRPr="008F10C7" w:rsidRDefault="005919B6" w:rsidP="00A50FEA">
            <w:pPr>
              <w:keepLines w:val="0"/>
              <w:widowControl/>
              <w:jc w:val="center"/>
              <w:rPr>
                <w:rFonts w:ascii="Cambria" w:hAnsi="Cambria"/>
                <w:b/>
                <w:sz w:val="20"/>
                <w:lang w:val="es-ES"/>
              </w:rPr>
            </w:pPr>
            <w:r w:rsidRPr="008F10C7">
              <w:rPr>
                <w:rFonts w:ascii="Cambria" w:hAnsi="Cambria"/>
                <w:b/>
                <w:sz w:val="20"/>
                <w:lang w:val="es-ES"/>
              </w:rPr>
              <w:t xml:space="preserve"> </w:t>
            </w:r>
            <w:r w:rsidRPr="001763EF">
              <w:rPr>
                <w:rFonts w:ascii="Cambria" w:hAnsi="Cambria"/>
                <w:b/>
                <w:sz w:val="20"/>
                <w:lang w:val="es-ES"/>
              </w:rPr>
              <w:t>Aplicación del  resultado del ejercicio anterior  a Reservas</w:t>
            </w:r>
          </w:p>
        </w:tc>
        <w:tc>
          <w:tcPr>
            <w:tcW w:w="1559" w:type="dxa"/>
            <w:tcBorders>
              <w:bottom w:val="single" w:sz="4" w:space="0" w:color="auto"/>
            </w:tcBorders>
            <w:shd w:val="clear" w:color="auto" w:fill="auto"/>
            <w:vAlign w:val="bottom"/>
          </w:tcPr>
          <w:p w14:paraId="3CFADF2E" w14:textId="77777777" w:rsidR="005919B6" w:rsidRPr="008F10C7" w:rsidRDefault="005919B6" w:rsidP="00A50FEA">
            <w:pPr>
              <w:keepLines w:val="0"/>
              <w:widowControl/>
              <w:jc w:val="center"/>
              <w:rPr>
                <w:rFonts w:ascii="Cambria" w:hAnsi="Cambria"/>
                <w:b/>
                <w:sz w:val="20"/>
                <w:lang w:val="es-ES"/>
              </w:rPr>
            </w:pPr>
            <w:r w:rsidRPr="008F10C7">
              <w:rPr>
                <w:rFonts w:ascii="Cambria" w:hAnsi="Cambria"/>
                <w:b/>
                <w:sz w:val="20"/>
                <w:lang w:val="es-ES"/>
              </w:rPr>
              <w:t>Saldo al 31.12.19</w:t>
            </w:r>
          </w:p>
        </w:tc>
      </w:tr>
      <w:tr w:rsidR="005919B6" w:rsidRPr="00F8465B" w14:paraId="42C7B0A8" w14:textId="77777777" w:rsidTr="00A50FEA">
        <w:trPr>
          <w:trHeight w:val="404"/>
        </w:trPr>
        <w:tc>
          <w:tcPr>
            <w:tcW w:w="1584" w:type="dxa"/>
            <w:tcBorders>
              <w:bottom w:val="single" w:sz="4" w:space="0" w:color="auto"/>
            </w:tcBorders>
            <w:shd w:val="clear" w:color="auto" w:fill="auto"/>
            <w:vAlign w:val="center"/>
          </w:tcPr>
          <w:p w14:paraId="559FEC9B" w14:textId="77777777" w:rsidR="005919B6" w:rsidRPr="00F8465B" w:rsidRDefault="005919B6" w:rsidP="00A50FEA">
            <w:pPr>
              <w:keepLines w:val="0"/>
              <w:widowControl/>
              <w:rPr>
                <w:rFonts w:ascii="Cambria" w:hAnsi="Cambria"/>
                <w:bCs/>
                <w:sz w:val="20"/>
                <w:lang w:val="es-ES"/>
              </w:rPr>
            </w:pPr>
            <w:r w:rsidRPr="00F8465B">
              <w:rPr>
                <w:rFonts w:ascii="Cambria" w:hAnsi="Cambria"/>
                <w:bCs/>
                <w:sz w:val="20"/>
                <w:lang w:val="es-ES"/>
              </w:rPr>
              <w:t>Otras reservas</w:t>
            </w:r>
          </w:p>
        </w:tc>
        <w:tc>
          <w:tcPr>
            <w:tcW w:w="1194" w:type="dxa"/>
            <w:tcBorders>
              <w:bottom w:val="single" w:sz="4" w:space="0" w:color="auto"/>
            </w:tcBorders>
            <w:vAlign w:val="center"/>
          </w:tcPr>
          <w:p w14:paraId="7344C9DA" w14:textId="77777777" w:rsidR="005919B6" w:rsidRPr="00F8465B" w:rsidRDefault="005919B6" w:rsidP="00A50FEA">
            <w:pPr>
              <w:keepLines w:val="0"/>
              <w:widowControl/>
              <w:jc w:val="right"/>
              <w:rPr>
                <w:rFonts w:ascii="Cambria" w:hAnsi="Cambria"/>
                <w:bCs/>
                <w:sz w:val="20"/>
                <w:lang w:val="es-ES"/>
              </w:rPr>
            </w:pPr>
            <w:r>
              <w:rPr>
                <w:rFonts w:ascii="Cambria" w:hAnsi="Cambria"/>
                <w:bCs/>
                <w:sz w:val="20"/>
                <w:lang w:val="es-ES"/>
              </w:rPr>
              <w:t>(118)</w:t>
            </w:r>
          </w:p>
        </w:tc>
        <w:tc>
          <w:tcPr>
            <w:tcW w:w="1758" w:type="dxa"/>
            <w:tcBorders>
              <w:bottom w:val="single" w:sz="4" w:space="0" w:color="auto"/>
            </w:tcBorders>
            <w:shd w:val="clear" w:color="auto" w:fill="auto"/>
            <w:vAlign w:val="center"/>
          </w:tcPr>
          <w:p w14:paraId="31009E57" w14:textId="77777777" w:rsidR="005919B6" w:rsidRPr="008F10C7" w:rsidRDefault="005919B6" w:rsidP="00A50FEA">
            <w:pPr>
              <w:keepLines w:val="0"/>
              <w:widowControl/>
              <w:jc w:val="right"/>
              <w:rPr>
                <w:rFonts w:ascii="Cambria" w:hAnsi="Cambria"/>
                <w:bCs/>
                <w:sz w:val="20"/>
                <w:lang w:val="es-ES"/>
              </w:rPr>
            </w:pPr>
            <w:r>
              <w:rPr>
                <w:rFonts w:ascii="Cambria" w:hAnsi="Cambria"/>
                <w:bCs/>
                <w:sz w:val="20"/>
                <w:lang w:val="es-ES"/>
              </w:rPr>
              <w:t>5</w:t>
            </w:r>
          </w:p>
        </w:tc>
        <w:tc>
          <w:tcPr>
            <w:tcW w:w="2268" w:type="dxa"/>
            <w:tcBorders>
              <w:bottom w:val="single" w:sz="4" w:space="0" w:color="auto"/>
            </w:tcBorders>
            <w:shd w:val="clear" w:color="auto" w:fill="auto"/>
            <w:vAlign w:val="center"/>
          </w:tcPr>
          <w:p w14:paraId="7FC74A0A" w14:textId="77777777" w:rsidR="005919B6" w:rsidRPr="008F10C7" w:rsidRDefault="005919B6" w:rsidP="00A50FEA">
            <w:pPr>
              <w:keepLines w:val="0"/>
              <w:widowControl/>
              <w:jc w:val="right"/>
              <w:rPr>
                <w:rFonts w:ascii="Cambria" w:hAnsi="Cambria"/>
                <w:bCs/>
                <w:sz w:val="20"/>
                <w:lang w:val="es-ES"/>
              </w:rPr>
            </w:pPr>
            <w:r w:rsidRPr="008F10C7">
              <w:rPr>
                <w:rFonts w:ascii="Cambria" w:hAnsi="Cambria"/>
                <w:bCs/>
                <w:sz w:val="20"/>
                <w:lang w:val="es-ES"/>
              </w:rPr>
              <w:t>118</w:t>
            </w:r>
          </w:p>
        </w:tc>
        <w:tc>
          <w:tcPr>
            <w:tcW w:w="1559" w:type="dxa"/>
            <w:tcBorders>
              <w:bottom w:val="single" w:sz="4" w:space="0" w:color="auto"/>
            </w:tcBorders>
            <w:shd w:val="clear" w:color="auto" w:fill="auto"/>
            <w:noWrap/>
            <w:vAlign w:val="center"/>
          </w:tcPr>
          <w:p w14:paraId="1B706B0E" w14:textId="77777777" w:rsidR="005919B6" w:rsidRPr="008F10C7" w:rsidRDefault="005919B6" w:rsidP="00A50FEA">
            <w:pPr>
              <w:keepLines w:val="0"/>
              <w:widowControl/>
              <w:jc w:val="right"/>
              <w:rPr>
                <w:rFonts w:ascii="Cambria" w:hAnsi="Cambria"/>
                <w:bCs/>
                <w:sz w:val="20"/>
                <w:lang w:val="es-ES"/>
              </w:rPr>
            </w:pPr>
            <w:r>
              <w:rPr>
                <w:rFonts w:ascii="Cambria" w:hAnsi="Cambria"/>
                <w:bCs/>
                <w:sz w:val="20"/>
                <w:lang w:val="es-ES"/>
              </w:rPr>
              <w:t>5</w:t>
            </w:r>
          </w:p>
        </w:tc>
      </w:tr>
    </w:tbl>
    <w:p w14:paraId="229CCF75" w14:textId="77777777" w:rsidR="00730BF0" w:rsidRPr="00F8465B" w:rsidRDefault="00730BF0" w:rsidP="00730BF0">
      <w:pPr>
        <w:ind w:left="426"/>
        <w:rPr>
          <w:rFonts w:ascii="Cambria" w:hAnsi="Cambria"/>
          <w:b/>
          <w:sz w:val="24"/>
          <w:szCs w:val="24"/>
          <w:u w:val="single"/>
        </w:rPr>
      </w:pPr>
    </w:p>
    <w:p w14:paraId="74CF9138" w14:textId="77777777" w:rsidR="00852DFE" w:rsidRPr="00F8465B" w:rsidRDefault="00852DFE" w:rsidP="00817F19">
      <w:pPr>
        <w:pStyle w:val="Lista"/>
        <w:rPr>
          <w:rFonts w:ascii="Cambria" w:hAnsi="Cambria"/>
          <w:sz w:val="24"/>
          <w:szCs w:val="24"/>
        </w:rPr>
      </w:pPr>
    </w:p>
    <w:p w14:paraId="5A0309C1" w14:textId="77777777" w:rsidR="00730BF0" w:rsidRPr="00F8465B" w:rsidRDefault="00730BF0" w:rsidP="00852DFE">
      <w:pPr>
        <w:ind w:left="567"/>
        <w:rPr>
          <w:rFonts w:ascii="Cambria" w:hAnsi="Cambria"/>
          <w:b/>
          <w:sz w:val="24"/>
          <w:szCs w:val="24"/>
          <w:u w:val="single"/>
        </w:rPr>
      </w:pPr>
    </w:p>
    <w:p w14:paraId="4D0D8B09" w14:textId="0574BCCE" w:rsidR="003D63B9" w:rsidRDefault="003D63B9">
      <w:pPr>
        <w:keepLines w:val="0"/>
        <w:widowControl/>
        <w:jc w:val="left"/>
        <w:rPr>
          <w:rFonts w:ascii="Cambria" w:hAnsi="Cambria"/>
          <w:b/>
          <w:sz w:val="24"/>
          <w:szCs w:val="24"/>
          <w:u w:val="single"/>
        </w:rPr>
      </w:pPr>
      <w:r>
        <w:rPr>
          <w:rFonts w:ascii="Cambria" w:hAnsi="Cambria"/>
          <w:b/>
          <w:sz w:val="24"/>
          <w:szCs w:val="24"/>
          <w:u w:val="single"/>
        </w:rPr>
        <w:br w:type="page"/>
      </w:r>
    </w:p>
    <w:p w14:paraId="6A7BD638" w14:textId="77777777" w:rsidR="00730BF0" w:rsidRDefault="00730BF0" w:rsidP="00852DFE">
      <w:pPr>
        <w:ind w:left="567"/>
        <w:rPr>
          <w:rFonts w:ascii="Cambria" w:hAnsi="Cambria"/>
          <w:b/>
          <w:sz w:val="24"/>
          <w:szCs w:val="24"/>
          <w:u w:val="single"/>
        </w:rPr>
      </w:pPr>
    </w:p>
    <w:p w14:paraId="1B9BC824" w14:textId="77777777" w:rsidR="0080358E" w:rsidRPr="00B95161" w:rsidRDefault="0080358E" w:rsidP="00852DFE">
      <w:pPr>
        <w:pStyle w:val="Ttulo4"/>
        <w:widowControl/>
        <w:numPr>
          <w:ilvl w:val="0"/>
          <w:numId w:val="3"/>
        </w:numPr>
        <w:tabs>
          <w:tab w:val="clear" w:pos="360"/>
          <w:tab w:val="left" w:pos="-448"/>
          <w:tab w:val="num" w:pos="567"/>
        </w:tabs>
        <w:spacing w:before="0" w:after="0"/>
        <w:ind w:left="567" w:right="-1" w:hanging="567"/>
        <w:rPr>
          <w:rFonts w:ascii="Cambria" w:hAnsi="Cambria"/>
          <w:kern w:val="28"/>
          <w:sz w:val="24"/>
          <w:szCs w:val="24"/>
          <w:u w:val="single"/>
          <w:lang w:val="es-ES" w:eastAsia="en-US"/>
        </w:rPr>
      </w:pPr>
      <w:r w:rsidRPr="00B95161">
        <w:rPr>
          <w:rFonts w:ascii="Cambria" w:hAnsi="Cambria"/>
          <w:kern w:val="28"/>
          <w:sz w:val="24"/>
          <w:szCs w:val="24"/>
          <w:u w:val="single"/>
          <w:lang w:val="es-ES" w:eastAsia="en-US"/>
        </w:rPr>
        <w:t>Operaciones y saldos con partes vinculadas</w:t>
      </w:r>
    </w:p>
    <w:p w14:paraId="4259C7D2" w14:textId="77777777" w:rsidR="0080358E" w:rsidRPr="00F8465B" w:rsidRDefault="0080358E" w:rsidP="0024783F">
      <w:pPr>
        <w:pStyle w:val="Ttulo2"/>
        <w:keepNext/>
        <w:ind w:left="426"/>
        <w:rPr>
          <w:rFonts w:ascii="Cambria" w:hAnsi="Cambria"/>
          <w:sz w:val="24"/>
          <w:szCs w:val="24"/>
        </w:rPr>
      </w:pPr>
    </w:p>
    <w:p w14:paraId="0953ACB8" w14:textId="1D4377A7" w:rsidR="00C81445" w:rsidRPr="00F8465B" w:rsidRDefault="00601686" w:rsidP="00CF2719">
      <w:pPr>
        <w:pStyle w:val="Ttulo2"/>
        <w:keepNext/>
        <w:ind w:left="567"/>
        <w:rPr>
          <w:rFonts w:ascii="Cambria" w:hAnsi="Cambria"/>
          <w:szCs w:val="22"/>
        </w:rPr>
      </w:pPr>
      <w:r w:rsidRPr="00F8465B">
        <w:rPr>
          <w:rFonts w:ascii="Cambria" w:hAnsi="Cambria"/>
          <w:sz w:val="24"/>
          <w:szCs w:val="24"/>
        </w:rPr>
        <w:t>1</w:t>
      </w:r>
      <w:r w:rsidR="002C5320" w:rsidRPr="00F8465B">
        <w:rPr>
          <w:rFonts w:ascii="Cambria" w:hAnsi="Cambria"/>
          <w:sz w:val="24"/>
          <w:szCs w:val="24"/>
        </w:rPr>
        <w:t>0</w:t>
      </w:r>
      <w:r w:rsidR="00C81445" w:rsidRPr="00F8465B">
        <w:rPr>
          <w:rFonts w:ascii="Cambria" w:hAnsi="Cambria"/>
          <w:sz w:val="24"/>
          <w:szCs w:val="24"/>
        </w:rPr>
        <w:t>.1 Saldos</w:t>
      </w:r>
      <w:r w:rsidR="00C81445" w:rsidRPr="00F8465B">
        <w:rPr>
          <w:rFonts w:ascii="Cambria" w:hAnsi="Cambria"/>
          <w:szCs w:val="22"/>
        </w:rPr>
        <w:t xml:space="preserve"> con </w:t>
      </w:r>
      <w:r w:rsidR="007963D3">
        <w:rPr>
          <w:rFonts w:ascii="Cambria" w:hAnsi="Cambria"/>
          <w:szCs w:val="22"/>
        </w:rPr>
        <w:t xml:space="preserve">partes </w:t>
      </w:r>
      <w:r w:rsidR="00C81445" w:rsidRPr="00F8465B">
        <w:rPr>
          <w:rFonts w:ascii="Cambria" w:hAnsi="Cambria"/>
          <w:szCs w:val="22"/>
        </w:rPr>
        <w:t>vinculadas</w:t>
      </w:r>
    </w:p>
    <w:p w14:paraId="6A15B1C2" w14:textId="77777777" w:rsidR="00C81445" w:rsidRPr="00F8465B" w:rsidRDefault="00C81445" w:rsidP="0024783F">
      <w:pPr>
        <w:pStyle w:val="Lista"/>
        <w:ind w:left="426" w:firstLine="0"/>
        <w:rPr>
          <w:rFonts w:ascii="Cambria" w:hAnsi="Cambria"/>
          <w:szCs w:val="22"/>
        </w:rPr>
      </w:pPr>
    </w:p>
    <w:p w14:paraId="5D51520A" w14:textId="77777777" w:rsidR="00C81445" w:rsidRPr="00F8465B" w:rsidRDefault="00C81445" w:rsidP="00CF2719">
      <w:pPr>
        <w:pStyle w:val="Ttulo2"/>
        <w:keepNext/>
        <w:ind w:left="567"/>
        <w:rPr>
          <w:rFonts w:ascii="Cambria" w:hAnsi="Cambria"/>
          <w:i/>
          <w:sz w:val="24"/>
          <w:szCs w:val="24"/>
        </w:rPr>
      </w:pPr>
      <w:r w:rsidRPr="00F8465B">
        <w:rPr>
          <w:rFonts w:ascii="Cambria" w:hAnsi="Cambria"/>
          <w:i/>
          <w:sz w:val="24"/>
          <w:szCs w:val="24"/>
        </w:rPr>
        <w:t>Saldos deudores</w:t>
      </w:r>
    </w:p>
    <w:p w14:paraId="13C53F6C" w14:textId="77777777" w:rsidR="00C81445" w:rsidRPr="00F8465B" w:rsidRDefault="00C81445" w:rsidP="0024783F">
      <w:pPr>
        <w:pStyle w:val="Lista"/>
        <w:ind w:left="426" w:firstLine="0"/>
        <w:rPr>
          <w:rFonts w:ascii="Cambria" w:hAnsi="Cambria"/>
          <w:szCs w:val="22"/>
        </w:rPr>
      </w:pPr>
    </w:p>
    <w:p w14:paraId="111EDA65" w14:textId="597FDA3B" w:rsidR="00852DFE" w:rsidRPr="00F8465B" w:rsidRDefault="00C81445" w:rsidP="00852DFE">
      <w:pPr>
        <w:pStyle w:val="Ttulo1a"/>
        <w:ind w:left="567"/>
        <w:rPr>
          <w:rFonts w:ascii="Cambria" w:hAnsi="Cambria"/>
          <w:sz w:val="24"/>
          <w:szCs w:val="24"/>
        </w:rPr>
      </w:pPr>
      <w:r w:rsidRPr="00F8465B">
        <w:rPr>
          <w:rFonts w:ascii="Cambria" w:hAnsi="Cambria"/>
          <w:sz w:val="24"/>
          <w:szCs w:val="24"/>
        </w:rPr>
        <w:t xml:space="preserve">Los principales saldos deudores con </w:t>
      </w:r>
      <w:r w:rsidR="00E940E5" w:rsidRPr="00F8465B">
        <w:rPr>
          <w:rFonts w:ascii="Cambria" w:hAnsi="Cambria"/>
          <w:sz w:val="24"/>
          <w:szCs w:val="24"/>
        </w:rPr>
        <w:t>S</w:t>
      </w:r>
      <w:r w:rsidRPr="00F8465B">
        <w:rPr>
          <w:rFonts w:ascii="Cambria" w:hAnsi="Cambria"/>
          <w:sz w:val="24"/>
          <w:szCs w:val="24"/>
        </w:rPr>
        <w:t>ociedades del Grupo S.E.P.I.</w:t>
      </w:r>
      <w:r w:rsidR="00C56542" w:rsidRPr="00F8465B">
        <w:rPr>
          <w:rFonts w:ascii="Cambria" w:hAnsi="Cambria"/>
          <w:sz w:val="24"/>
          <w:szCs w:val="24"/>
        </w:rPr>
        <w:t>,</w:t>
      </w:r>
      <w:r w:rsidRPr="00F8465B">
        <w:rPr>
          <w:rFonts w:ascii="Cambria" w:hAnsi="Cambria"/>
          <w:sz w:val="24"/>
          <w:szCs w:val="24"/>
        </w:rPr>
        <w:t xml:space="preserve"> al 31 de diciembre de 20</w:t>
      </w:r>
      <w:r w:rsidR="005919B6">
        <w:rPr>
          <w:rFonts w:ascii="Cambria" w:hAnsi="Cambria"/>
          <w:sz w:val="24"/>
          <w:szCs w:val="24"/>
        </w:rPr>
        <w:t>20</w:t>
      </w:r>
      <w:r w:rsidRPr="00F8465B">
        <w:rPr>
          <w:rFonts w:ascii="Cambria" w:hAnsi="Cambria"/>
          <w:sz w:val="24"/>
          <w:szCs w:val="24"/>
        </w:rPr>
        <w:t xml:space="preserve"> y 20</w:t>
      </w:r>
      <w:r w:rsidR="000E1CBB" w:rsidRPr="00F8465B">
        <w:rPr>
          <w:rFonts w:ascii="Cambria" w:hAnsi="Cambria"/>
          <w:sz w:val="24"/>
          <w:szCs w:val="24"/>
        </w:rPr>
        <w:t>1</w:t>
      </w:r>
      <w:r w:rsidR="005919B6">
        <w:rPr>
          <w:rFonts w:ascii="Cambria" w:hAnsi="Cambria"/>
          <w:sz w:val="24"/>
          <w:szCs w:val="24"/>
        </w:rPr>
        <w:t>9</w:t>
      </w:r>
      <w:r w:rsidR="00C56542" w:rsidRPr="00F8465B">
        <w:rPr>
          <w:rFonts w:ascii="Cambria" w:hAnsi="Cambria"/>
          <w:sz w:val="24"/>
          <w:szCs w:val="24"/>
        </w:rPr>
        <w:t>,</w:t>
      </w:r>
      <w:r w:rsidRPr="00F8465B">
        <w:rPr>
          <w:rFonts w:ascii="Cambria" w:hAnsi="Cambria"/>
          <w:sz w:val="24"/>
          <w:szCs w:val="24"/>
        </w:rPr>
        <w:t xml:space="preserve"> son los siguientes</w:t>
      </w:r>
      <w:r w:rsidR="00D3661F" w:rsidRPr="00F8465B">
        <w:rPr>
          <w:rFonts w:ascii="Cambria" w:hAnsi="Cambria"/>
          <w:sz w:val="24"/>
          <w:szCs w:val="24"/>
        </w:rPr>
        <w:t xml:space="preserve"> (en</w:t>
      </w:r>
      <w:r w:rsidR="00037222" w:rsidRPr="00F8465B">
        <w:rPr>
          <w:rFonts w:ascii="Cambria" w:hAnsi="Cambria"/>
          <w:sz w:val="24"/>
          <w:szCs w:val="24"/>
        </w:rPr>
        <w:t xml:space="preserve"> miles de</w:t>
      </w:r>
      <w:r w:rsidR="00D3661F" w:rsidRPr="00F8465B">
        <w:rPr>
          <w:rFonts w:ascii="Cambria" w:hAnsi="Cambria"/>
          <w:sz w:val="24"/>
          <w:szCs w:val="24"/>
        </w:rPr>
        <w:t xml:space="preserve"> euros)</w:t>
      </w:r>
      <w:r w:rsidRPr="00F8465B">
        <w:rPr>
          <w:rFonts w:ascii="Cambria" w:hAnsi="Cambria"/>
          <w:sz w:val="24"/>
          <w:szCs w:val="24"/>
        </w:rPr>
        <w:t>:</w:t>
      </w:r>
    </w:p>
    <w:p w14:paraId="67AD0518" w14:textId="48A3D55D" w:rsidR="00C81445" w:rsidRPr="00F8465B" w:rsidRDefault="00C81445" w:rsidP="002D6127">
      <w:pPr>
        <w:keepLines w:val="0"/>
        <w:widowControl/>
        <w:jc w:val="left"/>
        <w:rPr>
          <w:rFonts w:ascii="Cambria" w:hAnsi="Cambria"/>
          <w:sz w:val="24"/>
          <w:szCs w:val="24"/>
        </w:rPr>
      </w:pPr>
    </w:p>
    <w:tbl>
      <w:tblPr>
        <w:tblW w:w="7761" w:type="dxa"/>
        <w:jc w:val="center"/>
        <w:tblCellMar>
          <w:left w:w="70" w:type="dxa"/>
          <w:right w:w="70" w:type="dxa"/>
        </w:tblCellMar>
        <w:tblLook w:val="04A0" w:firstRow="1" w:lastRow="0" w:firstColumn="1" w:lastColumn="0" w:noHBand="0" w:noVBand="1"/>
      </w:tblPr>
      <w:tblGrid>
        <w:gridCol w:w="5572"/>
        <w:gridCol w:w="970"/>
        <w:gridCol w:w="1219"/>
      </w:tblGrid>
      <w:tr w:rsidR="005919B6" w:rsidRPr="00F8465B" w14:paraId="75FEC8AC" w14:textId="77777777" w:rsidTr="005919B6">
        <w:trPr>
          <w:trHeight w:val="255"/>
          <w:jc w:val="center"/>
        </w:trPr>
        <w:tc>
          <w:tcPr>
            <w:tcW w:w="5572" w:type="dxa"/>
            <w:tcBorders>
              <w:bottom w:val="single" w:sz="4" w:space="0" w:color="auto"/>
              <w:right w:val="single" w:sz="4" w:space="0" w:color="auto"/>
            </w:tcBorders>
            <w:shd w:val="clear" w:color="000000" w:fill="FFFFFF"/>
          </w:tcPr>
          <w:p w14:paraId="73A95098" w14:textId="77777777" w:rsidR="005919B6" w:rsidRPr="00F8465B" w:rsidRDefault="005919B6" w:rsidP="005919B6">
            <w:pPr>
              <w:keepLines w:val="0"/>
              <w:widowControl/>
              <w:jc w:val="left"/>
              <w:rPr>
                <w:rFonts w:ascii="Cambria" w:hAnsi="Cambria"/>
                <w:sz w:val="20"/>
                <w:lang w:val="es-ES"/>
              </w:rPr>
            </w:pPr>
          </w:p>
        </w:tc>
        <w:tc>
          <w:tcPr>
            <w:tcW w:w="970" w:type="dxa"/>
            <w:tcBorders>
              <w:top w:val="single" w:sz="4" w:space="0" w:color="auto"/>
              <w:bottom w:val="single" w:sz="4" w:space="0" w:color="auto"/>
              <w:right w:val="single" w:sz="4" w:space="0" w:color="auto"/>
            </w:tcBorders>
            <w:shd w:val="clear" w:color="auto" w:fill="FFFFFF" w:themeFill="background1"/>
          </w:tcPr>
          <w:p w14:paraId="4185C01E" w14:textId="6AC94C3A" w:rsidR="005919B6" w:rsidRPr="00DF7D7E" w:rsidRDefault="005919B6" w:rsidP="005919B6">
            <w:pPr>
              <w:keepLines w:val="0"/>
              <w:widowControl/>
              <w:jc w:val="center"/>
              <w:rPr>
                <w:rFonts w:ascii="Cambria" w:hAnsi="Cambria"/>
                <w:b/>
                <w:sz w:val="20"/>
                <w:lang w:val="es-ES"/>
              </w:rPr>
            </w:pPr>
            <w:r w:rsidRPr="00DF7D7E">
              <w:rPr>
                <w:rFonts w:ascii="Cambria" w:hAnsi="Cambria"/>
                <w:b/>
                <w:sz w:val="20"/>
                <w:lang w:val="es-ES"/>
              </w:rPr>
              <w:t>20</w:t>
            </w:r>
            <w:r>
              <w:rPr>
                <w:rFonts w:ascii="Cambria" w:hAnsi="Cambria"/>
                <w:b/>
                <w:sz w:val="20"/>
                <w:lang w:val="es-ES"/>
              </w:rPr>
              <w:t>20</w:t>
            </w:r>
          </w:p>
        </w:tc>
        <w:tc>
          <w:tcPr>
            <w:tcW w:w="1219" w:type="dxa"/>
            <w:tcBorders>
              <w:top w:val="single" w:sz="4" w:space="0" w:color="auto"/>
              <w:bottom w:val="single" w:sz="4" w:space="0" w:color="auto"/>
              <w:right w:val="single" w:sz="4" w:space="0" w:color="auto"/>
            </w:tcBorders>
            <w:shd w:val="clear" w:color="000000" w:fill="FFFFFF"/>
          </w:tcPr>
          <w:p w14:paraId="6B10F9CA" w14:textId="6D8849A2" w:rsidR="005919B6" w:rsidRPr="00DF7D7E" w:rsidRDefault="005919B6" w:rsidP="005919B6">
            <w:pPr>
              <w:keepLines w:val="0"/>
              <w:widowControl/>
              <w:jc w:val="center"/>
              <w:rPr>
                <w:rFonts w:ascii="Cambria" w:hAnsi="Cambria"/>
                <w:b/>
                <w:sz w:val="20"/>
                <w:lang w:val="es-ES"/>
              </w:rPr>
            </w:pPr>
            <w:r w:rsidRPr="00DF7D7E">
              <w:rPr>
                <w:rFonts w:ascii="Cambria" w:hAnsi="Cambria"/>
                <w:b/>
                <w:sz w:val="20"/>
                <w:lang w:val="es-ES"/>
              </w:rPr>
              <w:t>2019</w:t>
            </w:r>
          </w:p>
        </w:tc>
      </w:tr>
      <w:tr w:rsidR="005919B6" w:rsidRPr="00F8465B" w14:paraId="3419CBA6" w14:textId="77777777" w:rsidTr="00BD245D">
        <w:trPr>
          <w:trHeight w:val="255"/>
          <w:jc w:val="center"/>
        </w:trPr>
        <w:tc>
          <w:tcPr>
            <w:tcW w:w="5572" w:type="dxa"/>
            <w:tcBorders>
              <w:top w:val="nil"/>
              <w:left w:val="single" w:sz="4" w:space="0" w:color="auto"/>
              <w:right w:val="single" w:sz="4" w:space="0" w:color="auto"/>
            </w:tcBorders>
            <w:shd w:val="clear" w:color="auto" w:fill="auto"/>
          </w:tcPr>
          <w:p w14:paraId="4A6561A6" w14:textId="77777777" w:rsidR="005919B6" w:rsidRPr="00F8465B" w:rsidRDefault="005919B6" w:rsidP="005919B6">
            <w:pPr>
              <w:keepLines w:val="0"/>
              <w:widowControl/>
              <w:jc w:val="left"/>
              <w:rPr>
                <w:rFonts w:ascii="Cambria" w:hAnsi="Cambria"/>
                <w:b/>
                <w:bCs/>
                <w:sz w:val="20"/>
                <w:lang w:val="es-ES"/>
              </w:rPr>
            </w:pPr>
            <w:r w:rsidRPr="00F8465B">
              <w:rPr>
                <w:rFonts w:ascii="Cambria" w:hAnsi="Cambria"/>
                <w:b/>
                <w:bCs/>
                <w:sz w:val="20"/>
                <w:lang w:val="es-ES"/>
              </w:rPr>
              <w:t>Clientes empresas del Grupo y asociadas</w:t>
            </w:r>
          </w:p>
        </w:tc>
        <w:tc>
          <w:tcPr>
            <w:tcW w:w="970" w:type="dxa"/>
            <w:tcBorders>
              <w:top w:val="nil"/>
              <w:left w:val="single" w:sz="4" w:space="0" w:color="auto"/>
              <w:right w:val="single" w:sz="4" w:space="0" w:color="auto"/>
            </w:tcBorders>
            <w:shd w:val="clear" w:color="auto" w:fill="FFFFFF" w:themeFill="background1"/>
          </w:tcPr>
          <w:p w14:paraId="2E5FFE30" w14:textId="77777777" w:rsidR="005919B6" w:rsidRPr="009F3012" w:rsidRDefault="005919B6" w:rsidP="005919B6">
            <w:pPr>
              <w:keepLines w:val="0"/>
              <w:widowControl/>
              <w:jc w:val="left"/>
              <w:rPr>
                <w:rFonts w:ascii="Cambria" w:hAnsi="Cambria"/>
                <w:sz w:val="20"/>
                <w:lang w:val="es-ES"/>
              </w:rPr>
            </w:pPr>
          </w:p>
        </w:tc>
        <w:tc>
          <w:tcPr>
            <w:tcW w:w="1219" w:type="dxa"/>
            <w:tcBorders>
              <w:top w:val="nil"/>
              <w:left w:val="single" w:sz="4" w:space="0" w:color="auto"/>
              <w:right w:val="single" w:sz="4" w:space="0" w:color="auto"/>
            </w:tcBorders>
            <w:shd w:val="clear" w:color="000000" w:fill="FFFFFF"/>
          </w:tcPr>
          <w:p w14:paraId="403A182D" w14:textId="77777777" w:rsidR="005919B6" w:rsidRPr="00015DA0" w:rsidRDefault="005919B6" w:rsidP="005919B6">
            <w:pPr>
              <w:keepLines w:val="0"/>
              <w:widowControl/>
              <w:jc w:val="left"/>
              <w:rPr>
                <w:rFonts w:ascii="Cambria" w:hAnsi="Cambria"/>
                <w:sz w:val="20"/>
                <w:lang w:val="es-ES"/>
              </w:rPr>
            </w:pPr>
          </w:p>
        </w:tc>
      </w:tr>
      <w:tr w:rsidR="005919B6" w:rsidRPr="00F8465B" w14:paraId="3FD7C961" w14:textId="77777777" w:rsidTr="00BD245D">
        <w:trPr>
          <w:trHeight w:val="255"/>
          <w:jc w:val="center"/>
        </w:trPr>
        <w:tc>
          <w:tcPr>
            <w:tcW w:w="5572" w:type="dxa"/>
            <w:tcBorders>
              <w:top w:val="nil"/>
              <w:left w:val="single" w:sz="4" w:space="0" w:color="auto"/>
              <w:right w:val="single" w:sz="4" w:space="0" w:color="auto"/>
            </w:tcBorders>
            <w:shd w:val="clear" w:color="auto" w:fill="auto"/>
          </w:tcPr>
          <w:p w14:paraId="5CA66A62" w14:textId="77777777" w:rsidR="005919B6" w:rsidRPr="00F8465B" w:rsidRDefault="005919B6" w:rsidP="005919B6">
            <w:pPr>
              <w:keepLines w:val="0"/>
              <w:widowControl/>
              <w:jc w:val="left"/>
              <w:rPr>
                <w:rFonts w:ascii="Cambria" w:hAnsi="Cambria"/>
                <w:sz w:val="20"/>
                <w:lang w:val="es-ES"/>
              </w:rPr>
            </w:pPr>
            <w:r w:rsidRPr="00F8465B">
              <w:rPr>
                <w:rFonts w:ascii="Cambria" w:hAnsi="Cambria"/>
                <w:sz w:val="20"/>
                <w:lang w:val="es-ES"/>
              </w:rPr>
              <w:t>S.E.P.I</w:t>
            </w:r>
          </w:p>
        </w:tc>
        <w:tc>
          <w:tcPr>
            <w:tcW w:w="970" w:type="dxa"/>
            <w:tcBorders>
              <w:top w:val="nil"/>
              <w:left w:val="single" w:sz="4" w:space="0" w:color="auto"/>
              <w:right w:val="single" w:sz="4" w:space="0" w:color="auto"/>
            </w:tcBorders>
            <w:shd w:val="clear" w:color="auto" w:fill="FFFFFF" w:themeFill="background1"/>
          </w:tcPr>
          <w:p w14:paraId="774C0B96" w14:textId="4FE02C60" w:rsidR="005919B6" w:rsidRPr="009F3012" w:rsidRDefault="005919B6" w:rsidP="005919B6">
            <w:pPr>
              <w:keepLines w:val="0"/>
              <w:widowControl/>
              <w:jc w:val="center"/>
              <w:rPr>
                <w:rFonts w:ascii="Cambria" w:hAnsi="Cambria"/>
                <w:sz w:val="20"/>
                <w:lang w:val="es-ES"/>
              </w:rPr>
            </w:pPr>
            <w:r>
              <w:rPr>
                <w:rFonts w:ascii="Cambria" w:hAnsi="Cambria"/>
                <w:sz w:val="20"/>
                <w:lang w:val="es-ES"/>
              </w:rPr>
              <w:t>-</w:t>
            </w:r>
          </w:p>
        </w:tc>
        <w:tc>
          <w:tcPr>
            <w:tcW w:w="1219" w:type="dxa"/>
            <w:tcBorders>
              <w:top w:val="nil"/>
              <w:left w:val="single" w:sz="4" w:space="0" w:color="auto"/>
              <w:right w:val="single" w:sz="4" w:space="0" w:color="auto"/>
            </w:tcBorders>
          </w:tcPr>
          <w:p w14:paraId="14C91F96" w14:textId="207DC862" w:rsidR="005919B6" w:rsidRPr="005919B6" w:rsidRDefault="005919B6" w:rsidP="005919B6">
            <w:pPr>
              <w:keepLines w:val="0"/>
              <w:widowControl/>
              <w:jc w:val="right"/>
              <w:rPr>
                <w:rFonts w:ascii="Cambria" w:hAnsi="Cambria"/>
                <w:sz w:val="20"/>
                <w:lang w:val="es-ES"/>
              </w:rPr>
            </w:pPr>
            <w:r w:rsidRPr="005919B6">
              <w:rPr>
                <w:rFonts w:ascii="Cambria" w:hAnsi="Cambria"/>
                <w:sz w:val="20"/>
                <w:lang w:val="es-ES"/>
              </w:rPr>
              <w:t>2</w:t>
            </w:r>
          </w:p>
        </w:tc>
      </w:tr>
      <w:tr w:rsidR="005919B6" w:rsidRPr="00F8465B" w14:paraId="13753503" w14:textId="77777777" w:rsidTr="00BD245D">
        <w:trPr>
          <w:trHeight w:val="255"/>
          <w:jc w:val="center"/>
        </w:trPr>
        <w:tc>
          <w:tcPr>
            <w:tcW w:w="5572" w:type="dxa"/>
            <w:tcBorders>
              <w:left w:val="single" w:sz="4" w:space="0" w:color="auto"/>
              <w:right w:val="single" w:sz="4" w:space="0" w:color="auto"/>
            </w:tcBorders>
            <w:shd w:val="clear" w:color="auto" w:fill="auto"/>
            <w:vAlign w:val="center"/>
          </w:tcPr>
          <w:p w14:paraId="51D92C22" w14:textId="7290B376" w:rsidR="005919B6" w:rsidRPr="005919B6" w:rsidRDefault="005919B6" w:rsidP="005919B6">
            <w:pPr>
              <w:keepLines w:val="0"/>
              <w:widowControl/>
              <w:jc w:val="left"/>
              <w:rPr>
                <w:rFonts w:ascii="Cambria" w:hAnsi="Cambria"/>
                <w:sz w:val="20"/>
                <w:lang w:val="es-ES"/>
              </w:rPr>
            </w:pPr>
            <w:r w:rsidRPr="005919B6">
              <w:rPr>
                <w:rFonts w:ascii="Cambria" w:hAnsi="Cambria"/>
                <w:sz w:val="20"/>
                <w:lang w:val="es-ES"/>
              </w:rPr>
              <w:t>IZAR CONSTRUCCIONES NAVALES</w:t>
            </w:r>
          </w:p>
        </w:tc>
        <w:tc>
          <w:tcPr>
            <w:tcW w:w="970" w:type="dxa"/>
            <w:tcBorders>
              <w:left w:val="single" w:sz="4" w:space="0" w:color="auto"/>
              <w:right w:val="single" w:sz="4" w:space="0" w:color="auto"/>
            </w:tcBorders>
            <w:shd w:val="clear" w:color="auto" w:fill="FFFFFF" w:themeFill="background1"/>
          </w:tcPr>
          <w:p w14:paraId="137EF756" w14:textId="66135110" w:rsidR="005919B6" w:rsidRPr="005919B6" w:rsidRDefault="005919B6" w:rsidP="005919B6">
            <w:pPr>
              <w:keepLines w:val="0"/>
              <w:widowControl/>
              <w:jc w:val="right"/>
              <w:rPr>
                <w:rFonts w:ascii="Cambria" w:hAnsi="Cambria"/>
                <w:sz w:val="20"/>
                <w:lang w:val="es-ES"/>
              </w:rPr>
            </w:pPr>
            <w:r w:rsidRPr="005919B6">
              <w:rPr>
                <w:rFonts w:ascii="Cambria" w:hAnsi="Cambria"/>
                <w:sz w:val="20"/>
                <w:lang w:val="es-ES"/>
              </w:rPr>
              <w:t>2</w:t>
            </w:r>
          </w:p>
        </w:tc>
        <w:tc>
          <w:tcPr>
            <w:tcW w:w="1219" w:type="dxa"/>
            <w:tcBorders>
              <w:left w:val="single" w:sz="4" w:space="0" w:color="auto"/>
              <w:right w:val="single" w:sz="4" w:space="0" w:color="auto"/>
            </w:tcBorders>
          </w:tcPr>
          <w:p w14:paraId="08E34FB3" w14:textId="19184C3E" w:rsidR="005919B6" w:rsidRPr="005919B6" w:rsidRDefault="005919B6" w:rsidP="005919B6">
            <w:pPr>
              <w:keepLines w:val="0"/>
              <w:widowControl/>
              <w:jc w:val="center"/>
              <w:rPr>
                <w:rFonts w:ascii="Cambria" w:hAnsi="Cambria"/>
                <w:sz w:val="20"/>
                <w:lang w:val="es-ES"/>
              </w:rPr>
            </w:pPr>
            <w:r w:rsidRPr="005919B6">
              <w:rPr>
                <w:rFonts w:ascii="Cambria" w:hAnsi="Cambria"/>
                <w:sz w:val="20"/>
                <w:lang w:val="es-ES"/>
              </w:rPr>
              <w:t>-</w:t>
            </w:r>
          </w:p>
        </w:tc>
      </w:tr>
      <w:tr w:rsidR="005919B6" w:rsidRPr="00F8465B" w14:paraId="29E6FE6E" w14:textId="77777777" w:rsidTr="00BD245D">
        <w:trPr>
          <w:trHeight w:val="255"/>
          <w:jc w:val="center"/>
        </w:trPr>
        <w:tc>
          <w:tcPr>
            <w:tcW w:w="5572" w:type="dxa"/>
            <w:tcBorders>
              <w:left w:val="single" w:sz="4" w:space="0" w:color="auto"/>
              <w:bottom w:val="single" w:sz="4" w:space="0" w:color="auto"/>
              <w:right w:val="single" w:sz="4" w:space="0" w:color="auto"/>
            </w:tcBorders>
            <w:shd w:val="clear" w:color="auto" w:fill="auto"/>
            <w:vAlign w:val="center"/>
          </w:tcPr>
          <w:p w14:paraId="477DA3AF" w14:textId="6802CB04" w:rsidR="005919B6" w:rsidRPr="005919B6" w:rsidRDefault="005919B6" w:rsidP="005919B6">
            <w:pPr>
              <w:keepLines w:val="0"/>
              <w:widowControl/>
              <w:jc w:val="left"/>
              <w:rPr>
                <w:rFonts w:ascii="Cambria" w:hAnsi="Cambria"/>
                <w:sz w:val="20"/>
                <w:lang w:val="es-ES"/>
              </w:rPr>
            </w:pPr>
            <w:r w:rsidRPr="005919B6">
              <w:rPr>
                <w:rFonts w:ascii="Cambria" w:hAnsi="Cambria"/>
                <w:sz w:val="20"/>
                <w:lang w:val="es-ES"/>
              </w:rPr>
              <w:t>ALIME</w:t>
            </w:r>
            <w:r>
              <w:rPr>
                <w:rFonts w:ascii="Cambria" w:hAnsi="Cambria"/>
                <w:sz w:val="20"/>
                <w:lang w:val="es-ES"/>
              </w:rPr>
              <w:t>N</w:t>
            </w:r>
            <w:r w:rsidRPr="005919B6">
              <w:rPr>
                <w:rFonts w:ascii="Cambria" w:hAnsi="Cambria"/>
                <w:sz w:val="20"/>
                <w:lang w:val="es-ES"/>
              </w:rPr>
              <w:t>TOS Y ACEITES</w:t>
            </w:r>
          </w:p>
        </w:tc>
        <w:tc>
          <w:tcPr>
            <w:tcW w:w="970" w:type="dxa"/>
            <w:tcBorders>
              <w:left w:val="single" w:sz="4" w:space="0" w:color="auto"/>
              <w:bottom w:val="single" w:sz="4" w:space="0" w:color="auto"/>
              <w:right w:val="single" w:sz="4" w:space="0" w:color="auto"/>
            </w:tcBorders>
            <w:shd w:val="clear" w:color="auto" w:fill="FFFFFF" w:themeFill="background1"/>
          </w:tcPr>
          <w:p w14:paraId="39FD4A30" w14:textId="0E19CC20" w:rsidR="005919B6" w:rsidRPr="005919B6" w:rsidRDefault="005919B6" w:rsidP="005919B6">
            <w:pPr>
              <w:keepLines w:val="0"/>
              <w:widowControl/>
              <w:jc w:val="right"/>
              <w:rPr>
                <w:rFonts w:ascii="Cambria" w:hAnsi="Cambria"/>
                <w:sz w:val="20"/>
                <w:lang w:val="es-ES"/>
              </w:rPr>
            </w:pPr>
            <w:r w:rsidRPr="005919B6">
              <w:rPr>
                <w:rFonts w:ascii="Cambria" w:hAnsi="Cambria"/>
                <w:sz w:val="20"/>
                <w:lang w:val="es-ES"/>
              </w:rPr>
              <w:t>2</w:t>
            </w:r>
          </w:p>
        </w:tc>
        <w:tc>
          <w:tcPr>
            <w:tcW w:w="1219" w:type="dxa"/>
            <w:tcBorders>
              <w:left w:val="single" w:sz="4" w:space="0" w:color="auto"/>
              <w:bottom w:val="single" w:sz="4" w:space="0" w:color="auto"/>
              <w:right w:val="single" w:sz="4" w:space="0" w:color="auto"/>
            </w:tcBorders>
          </w:tcPr>
          <w:p w14:paraId="4513F691" w14:textId="5431A131" w:rsidR="005919B6" w:rsidRPr="005919B6" w:rsidRDefault="005919B6" w:rsidP="005919B6">
            <w:pPr>
              <w:keepLines w:val="0"/>
              <w:widowControl/>
              <w:jc w:val="center"/>
              <w:rPr>
                <w:rFonts w:ascii="Cambria" w:hAnsi="Cambria"/>
                <w:sz w:val="20"/>
                <w:lang w:val="es-ES"/>
              </w:rPr>
            </w:pPr>
            <w:r w:rsidRPr="005919B6">
              <w:rPr>
                <w:rFonts w:ascii="Cambria" w:hAnsi="Cambria"/>
                <w:sz w:val="20"/>
                <w:lang w:val="es-ES"/>
              </w:rPr>
              <w:t>-</w:t>
            </w:r>
          </w:p>
        </w:tc>
      </w:tr>
      <w:tr w:rsidR="005919B6" w:rsidRPr="00F8465B" w14:paraId="0F6A7698" w14:textId="77777777" w:rsidTr="00BD245D">
        <w:trPr>
          <w:trHeight w:val="255"/>
          <w:jc w:val="center"/>
        </w:trPr>
        <w:tc>
          <w:tcPr>
            <w:tcW w:w="5572" w:type="dxa"/>
            <w:tcBorders>
              <w:top w:val="single" w:sz="4" w:space="0" w:color="auto"/>
              <w:left w:val="single" w:sz="4" w:space="0" w:color="auto"/>
              <w:bottom w:val="single" w:sz="4" w:space="0" w:color="auto"/>
              <w:right w:val="single" w:sz="4" w:space="0" w:color="auto"/>
            </w:tcBorders>
            <w:shd w:val="clear" w:color="auto" w:fill="auto"/>
            <w:vAlign w:val="center"/>
          </w:tcPr>
          <w:p w14:paraId="54555D36" w14:textId="77777777" w:rsidR="005919B6" w:rsidRPr="00F8465B" w:rsidRDefault="005919B6" w:rsidP="005919B6">
            <w:pPr>
              <w:keepLines w:val="0"/>
              <w:widowControl/>
              <w:jc w:val="left"/>
              <w:rPr>
                <w:rFonts w:ascii="Cambria" w:hAnsi="Cambria"/>
                <w:b/>
                <w:bCs/>
                <w:sz w:val="20"/>
                <w:lang w:val="es-ES"/>
              </w:rPr>
            </w:pPr>
            <w:r w:rsidRPr="00F8465B">
              <w:rPr>
                <w:rFonts w:ascii="Cambria" w:hAnsi="Cambria"/>
                <w:b/>
                <w:bCs/>
                <w:sz w:val="20"/>
                <w:lang w:val="es-ES"/>
              </w:rPr>
              <w:t>Total</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9E5CBB0" w14:textId="5B932112" w:rsidR="005919B6" w:rsidRPr="009F3012" w:rsidRDefault="005919B6" w:rsidP="005919B6">
            <w:pPr>
              <w:keepLines w:val="0"/>
              <w:widowControl/>
              <w:jc w:val="right"/>
              <w:rPr>
                <w:rFonts w:ascii="Cambria" w:hAnsi="Cambria"/>
                <w:b/>
                <w:bCs/>
                <w:sz w:val="20"/>
                <w:lang w:val="es-ES"/>
              </w:rPr>
            </w:pPr>
            <w:r>
              <w:rPr>
                <w:rFonts w:ascii="Cambria" w:hAnsi="Cambria"/>
                <w:b/>
                <w:bCs/>
                <w:sz w:val="20"/>
                <w:lang w:val="es-ES"/>
              </w:rPr>
              <w:t>4</w:t>
            </w:r>
          </w:p>
        </w:tc>
        <w:tc>
          <w:tcPr>
            <w:tcW w:w="1219" w:type="dxa"/>
            <w:tcBorders>
              <w:top w:val="single" w:sz="4" w:space="0" w:color="auto"/>
              <w:left w:val="single" w:sz="4" w:space="0" w:color="auto"/>
              <w:bottom w:val="single" w:sz="4" w:space="0" w:color="auto"/>
              <w:right w:val="single" w:sz="4" w:space="0" w:color="auto"/>
            </w:tcBorders>
          </w:tcPr>
          <w:p w14:paraId="1D1D9B28" w14:textId="147D2D3F" w:rsidR="005919B6" w:rsidRPr="009F3012" w:rsidRDefault="005919B6" w:rsidP="005919B6">
            <w:pPr>
              <w:keepLines w:val="0"/>
              <w:widowControl/>
              <w:jc w:val="right"/>
              <w:rPr>
                <w:rFonts w:ascii="Cambria" w:hAnsi="Cambria"/>
                <w:b/>
                <w:bCs/>
                <w:sz w:val="20"/>
                <w:lang w:val="es-ES"/>
              </w:rPr>
            </w:pPr>
            <w:r>
              <w:rPr>
                <w:rFonts w:ascii="Cambria" w:hAnsi="Cambria"/>
                <w:b/>
                <w:bCs/>
                <w:sz w:val="20"/>
                <w:lang w:val="es-ES"/>
              </w:rPr>
              <w:t>2</w:t>
            </w:r>
          </w:p>
        </w:tc>
      </w:tr>
      <w:tr w:rsidR="005919B6" w:rsidRPr="00F8465B" w14:paraId="5A2F0846" w14:textId="77777777" w:rsidTr="005919B6">
        <w:trPr>
          <w:trHeight w:val="255"/>
          <w:jc w:val="center"/>
        </w:trPr>
        <w:tc>
          <w:tcPr>
            <w:tcW w:w="5572" w:type="dxa"/>
            <w:tcBorders>
              <w:top w:val="nil"/>
              <w:left w:val="single" w:sz="4" w:space="0" w:color="auto"/>
              <w:bottom w:val="nil"/>
              <w:right w:val="single" w:sz="4" w:space="0" w:color="auto"/>
            </w:tcBorders>
            <w:shd w:val="clear" w:color="auto" w:fill="auto"/>
          </w:tcPr>
          <w:p w14:paraId="02545687" w14:textId="77777777" w:rsidR="005919B6" w:rsidRPr="00F8465B" w:rsidRDefault="005919B6" w:rsidP="005919B6">
            <w:pPr>
              <w:keepLines w:val="0"/>
              <w:widowControl/>
              <w:jc w:val="left"/>
              <w:rPr>
                <w:rFonts w:ascii="Cambria" w:hAnsi="Cambria"/>
                <w:b/>
                <w:bCs/>
                <w:sz w:val="20"/>
                <w:lang w:val="es-ES"/>
              </w:rPr>
            </w:pPr>
            <w:r w:rsidRPr="00F8465B">
              <w:rPr>
                <w:rFonts w:ascii="Cambria" w:hAnsi="Cambria"/>
                <w:b/>
                <w:bCs/>
                <w:sz w:val="20"/>
                <w:lang w:val="es-ES"/>
              </w:rPr>
              <w:t>Créditos a Empresas del Grupo y vinculadas</w:t>
            </w:r>
          </w:p>
        </w:tc>
        <w:tc>
          <w:tcPr>
            <w:tcW w:w="970" w:type="dxa"/>
            <w:tcBorders>
              <w:top w:val="nil"/>
              <w:left w:val="single" w:sz="4" w:space="0" w:color="auto"/>
              <w:bottom w:val="nil"/>
              <w:right w:val="single" w:sz="4" w:space="0" w:color="auto"/>
            </w:tcBorders>
            <w:shd w:val="clear" w:color="auto" w:fill="FFFFFF" w:themeFill="background1"/>
          </w:tcPr>
          <w:p w14:paraId="78881A15" w14:textId="77777777" w:rsidR="005919B6" w:rsidRPr="009F3012" w:rsidRDefault="005919B6" w:rsidP="005919B6">
            <w:pPr>
              <w:keepLines w:val="0"/>
              <w:widowControl/>
              <w:jc w:val="left"/>
              <w:rPr>
                <w:rFonts w:ascii="Cambria" w:hAnsi="Cambria"/>
                <w:sz w:val="20"/>
                <w:lang w:val="es-ES"/>
              </w:rPr>
            </w:pPr>
          </w:p>
        </w:tc>
        <w:tc>
          <w:tcPr>
            <w:tcW w:w="1219" w:type="dxa"/>
            <w:tcBorders>
              <w:top w:val="nil"/>
              <w:left w:val="single" w:sz="4" w:space="0" w:color="auto"/>
              <w:bottom w:val="nil"/>
              <w:right w:val="single" w:sz="4" w:space="0" w:color="auto"/>
            </w:tcBorders>
            <w:shd w:val="clear" w:color="000000" w:fill="FFFFFF"/>
          </w:tcPr>
          <w:p w14:paraId="1860FF52" w14:textId="77777777" w:rsidR="005919B6" w:rsidRPr="00015DA0" w:rsidRDefault="005919B6" w:rsidP="005919B6">
            <w:pPr>
              <w:keepLines w:val="0"/>
              <w:widowControl/>
              <w:jc w:val="left"/>
              <w:rPr>
                <w:rFonts w:ascii="Cambria" w:hAnsi="Cambria"/>
                <w:sz w:val="20"/>
                <w:lang w:val="es-ES"/>
              </w:rPr>
            </w:pPr>
          </w:p>
        </w:tc>
      </w:tr>
      <w:tr w:rsidR="005919B6" w:rsidRPr="00F8465B" w14:paraId="65F6E8E3" w14:textId="77777777" w:rsidTr="00BD245D">
        <w:trPr>
          <w:trHeight w:val="255"/>
          <w:jc w:val="center"/>
        </w:trPr>
        <w:tc>
          <w:tcPr>
            <w:tcW w:w="5572" w:type="dxa"/>
            <w:tcBorders>
              <w:top w:val="nil"/>
              <w:left w:val="single" w:sz="4" w:space="0" w:color="auto"/>
              <w:right w:val="single" w:sz="4" w:space="0" w:color="auto"/>
            </w:tcBorders>
            <w:shd w:val="clear" w:color="auto" w:fill="auto"/>
            <w:vAlign w:val="bottom"/>
          </w:tcPr>
          <w:p w14:paraId="595D487C" w14:textId="77777777" w:rsidR="005919B6" w:rsidRPr="00D5774E" w:rsidRDefault="005919B6" w:rsidP="005919B6">
            <w:pPr>
              <w:keepLines w:val="0"/>
              <w:widowControl/>
              <w:rPr>
                <w:rFonts w:ascii="Cambria" w:hAnsi="Cambria"/>
                <w:sz w:val="20"/>
                <w:lang w:val="es-ES"/>
              </w:rPr>
            </w:pPr>
            <w:r w:rsidRPr="00D5774E">
              <w:rPr>
                <w:rFonts w:ascii="Cambria" w:hAnsi="Cambria"/>
                <w:sz w:val="20"/>
              </w:rPr>
              <w:t>Crédito – S.E.P.I.</w:t>
            </w:r>
          </w:p>
        </w:tc>
        <w:tc>
          <w:tcPr>
            <w:tcW w:w="970" w:type="dxa"/>
            <w:tcBorders>
              <w:top w:val="nil"/>
              <w:left w:val="single" w:sz="4" w:space="0" w:color="auto"/>
              <w:right w:val="single" w:sz="4" w:space="0" w:color="auto"/>
            </w:tcBorders>
            <w:shd w:val="clear" w:color="auto" w:fill="FFFFFF" w:themeFill="background1"/>
          </w:tcPr>
          <w:p w14:paraId="6AB29BD4" w14:textId="4B4799E1" w:rsidR="005919B6" w:rsidRPr="00D5774E" w:rsidRDefault="005100E5" w:rsidP="005919B6">
            <w:pPr>
              <w:keepLines w:val="0"/>
              <w:widowControl/>
              <w:jc w:val="right"/>
              <w:rPr>
                <w:rFonts w:ascii="Cambria" w:hAnsi="Cambria"/>
                <w:sz w:val="20"/>
                <w:lang w:val="es-ES"/>
              </w:rPr>
            </w:pPr>
            <w:r w:rsidRPr="00D5774E">
              <w:rPr>
                <w:rFonts w:ascii="Cambria" w:hAnsi="Cambria"/>
                <w:sz w:val="20"/>
                <w:lang w:val="es-ES"/>
              </w:rPr>
              <w:t>88.519</w:t>
            </w:r>
          </w:p>
        </w:tc>
        <w:tc>
          <w:tcPr>
            <w:tcW w:w="1219" w:type="dxa"/>
            <w:tcBorders>
              <w:top w:val="nil"/>
              <w:left w:val="single" w:sz="4" w:space="0" w:color="auto"/>
              <w:right w:val="single" w:sz="4" w:space="0" w:color="auto"/>
            </w:tcBorders>
            <w:shd w:val="clear" w:color="000000" w:fill="FFFFFF"/>
          </w:tcPr>
          <w:p w14:paraId="2BFB8D2B" w14:textId="213D94F8" w:rsidR="005919B6" w:rsidRPr="00D5774E" w:rsidRDefault="005919B6" w:rsidP="005919B6">
            <w:pPr>
              <w:keepLines w:val="0"/>
              <w:widowControl/>
              <w:jc w:val="right"/>
              <w:rPr>
                <w:rFonts w:ascii="Cambria" w:hAnsi="Cambria"/>
                <w:sz w:val="20"/>
                <w:lang w:val="es-ES"/>
              </w:rPr>
            </w:pPr>
            <w:r w:rsidRPr="00D5774E">
              <w:rPr>
                <w:rFonts w:ascii="Cambria" w:hAnsi="Cambria"/>
                <w:sz w:val="20"/>
                <w:lang w:val="es-ES"/>
              </w:rPr>
              <w:t>97.769</w:t>
            </w:r>
          </w:p>
        </w:tc>
      </w:tr>
      <w:tr w:rsidR="00172475" w:rsidRPr="00F8465B" w14:paraId="23584CB8" w14:textId="77777777" w:rsidTr="00BD245D">
        <w:trPr>
          <w:trHeight w:val="255"/>
          <w:jc w:val="center"/>
        </w:trPr>
        <w:tc>
          <w:tcPr>
            <w:tcW w:w="5572" w:type="dxa"/>
            <w:tcBorders>
              <w:left w:val="single" w:sz="4" w:space="0" w:color="auto"/>
              <w:right w:val="single" w:sz="4" w:space="0" w:color="auto"/>
            </w:tcBorders>
            <w:shd w:val="clear" w:color="auto" w:fill="auto"/>
            <w:vAlign w:val="bottom"/>
          </w:tcPr>
          <w:p w14:paraId="6492D156" w14:textId="2619E995" w:rsidR="00172475" w:rsidRPr="00D5774E" w:rsidRDefault="00172475" w:rsidP="00172475">
            <w:pPr>
              <w:keepLines w:val="0"/>
              <w:widowControl/>
              <w:jc w:val="left"/>
              <w:rPr>
                <w:rFonts w:ascii="Cambria" w:hAnsi="Cambria"/>
                <w:sz w:val="20"/>
              </w:rPr>
            </w:pPr>
            <w:r w:rsidRPr="00D5774E">
              <w:rPr>
                <w:rFonts w:ascii="Cambria" w:hAnsi="Cambria"/>
                <w:sz w:val="20"/>
              </w:rPr>
              <w:t>S.E.P.I. – Crédito fiscal Grupo Consolidable (Nota 12.2)</w:t>
            </w:r>
          </w:p>
        </w:tc>
        <w:tc>
          <w:tcPr>
            <w:tcW w:w="970" w:type="dxa"/>
            <w:tcBorders>
              <w:left w:val="single" w:sz="4" w:space="0" w:color="auto"/>
              <w:right w:val="single" w:sz="4" w:space="0" w:color="auto"/>
            </w:tcBorders>
            <w:shd w:val="clear" w:color="auto" w:fill="FFFFFF" w:themeFill="background1"/>
          </w:tcPr>
          <w:p w14:paraId="6F75C3EE" w14:textId="006EC7B5" w:rsidR="00172475" w:rsidRPr="00D5774E" w:rsidRDefault="001D445E" w:rsidP="00172475">
            <w:pPr>
              <w:keepLines w:val="0"/>
              <w:widowControl/>
              <w:jc w:val="right"/>
              <w:rPr>
                <w:rFonts w:ascii="Cambria" w:hAnsi="Cambria"/>
                <w:sz w:val="20"/>
                <w:lang w:val="es-ES"/>
              </w:rPr>
            </w:pPr>
            <w:r>
              <w:rPr>
                <w:rFonts w:ascii="Cambria" w:hAnsi="Cambria"/>
                <w:sz w:val="20"/>
                <w:lang w:val="es-ES"/>
              </w:rPr>
              <w:t>1.553</w:t>
            </w:r>
          </w:p>
        </w:tc>
        <w:tc>
          <w:tcPr>
            <w:tcW w:w="1219" w:type="dxa"/>
            <w:tcBorders>
              <w:left w:val="single" w:sz="4" w:space="0" w:color="auto"/>
              <w:right w:val="single" w:sz="4" w:space="0" w:color="auto"/>
            </w:tcBorders>
            <w:shd w:val="clear" w:color="000000" w:fill="FFFFFF"/>
          </w:tcPr>
          <w:p w14:paraId="13EA6CB0" w14:textId="4B22C3E8" w:rsidR="00172475" w:rsidRPr="00D5774E" w:rsidRDefault="00172475" w:rsidP="00172475">
            <w:pPr>
              <w:keepLines w:val="0"/>
              <w:widowControl/>
              <w:jc w:val="center"/>
              <w:rPr>
                <w:rFonts w:ascii="Cambria" w:hAnsi="Cambria"/>
                <w:sz w:val="20"/>
                <w:lang w:val="es-ES"/>
              </w:rPr>
            </w:pPr>
            <w:r w:rsidRPr="00D5774E">
              <w:rPr>
                <w:rFonts w:ascii="Cambria" w:hAnsi="Cambria"/>
                <w:sz w:val="20"/>
                <w:lang w:val="es-ES"/>
              </w:rPr>
              <w:t>-</w:t>
            </w:r>
          </w:p>
        </w:tc>
      </w:tr>
      <w:tr w:rsidR="00172475" w:rsidRPr="00F8465B" w14:paraId="2C5A9D26" w14:textId="77777777" w:rsidTr="00BD245D">
        <w:trPr>
          <w:trHeight w:val="255"/>
          <w:jc w:val="center"/>
        </w:trPr>
        <w:tc>
          <w:tcPr>
            <w:tcW w:w="5572" w:type="dxa"/>
            <w:tcBorders>
              <w:left w:val="single" w:sz="4" w:space="0" w:color="auto"/>
              <w:bottom w:val="single" w:sz="4" w:space="0" w:color="auto"/>
              <w:right w:val="single" w:sz="4" w:space="0" w:color="auto"/>
            </w:tcBorders>
            <w:shd w:val="clear" w:color="auto" w:fill="auto"/>
            <w:vAlign w:val="bottom"/>
          </w:tcPr>
          <w:p w14:paraId="5004C219" w14:textId="77777777" w:rsidR="00172475" w:rsidRPr="00D5774E" w:rsidRDefault="00172475" w:rsidP="00172475">
            <w:pPr>
              <w:keepLines w:val="0"/>
              <w:widowControl/>
              <w:jc w:val="left"/>
              <w:rPr>
                <w:rFonts w:ascii="Cambria" w:hAnsi="Cambria"/>
                <w:sz w:val="20"/>
                <w:lang w:val="es-ES"/>
              </w:rPr>
            </w:pPr>
            <w:r w:rsidRPr="00D5774E">
              <w:rPr>
                <w:rFonts w:ascii="Cambria" w:hAnsi="Cambria"/>
                <w:sz w:val="20"/>
              </w:rPr>
              <w:t xml:space="preserve">Retenciones y pagos a cuenta </w:t>
            </w:r>
          </w:p>
        </w:tc>
        <w:tc>
          <w:tcPr>
            <w:tcW w:w="970" w:type="dxa"/>
            <w:tcBorders>
              <w:left w:val="single" w:sz="4" w:space="0" w:color="auto"/>
              <w:bottom w:val="single" w:sz="4" w:space="0" w:color="auto"/>
              <w:right w:val="single" w:sz="4" w:space="0" w:color="auto"/>
            </w:tcBorders>
            <w:shd w:val="clear" w:color="auto" w:fill="FFFFFF" w:themeFill="background1"/>
          </w:tcPr>
          <w:p w14:paraId="61971FF5" w14:textId="2E7E8E3C" w:rsidR="00172475" w:rsidRPr="00D5774E" w:rsidRDefault="00172475" w:rsidP="00172475">
            <w:pPr>
              <w:keepLines w:val="0"/>
              <w:widowControl/>
              <w:jc w:val="right"/>
              <w:rPr>
                <w:rFonts w:ascii="Cambria" w:hAnsi="Cambria"/>
                <w:sz w:val="20"/>
                <w:lang w:val="es-ES"/>
              </w:rPr>
            </w:pPr>
            <w:r w:rsidRPr="00D5774E">
              <w:rPr>
                <w:rFonts w:ascii="Cambria" w:hAnsi="Cambria"/>
                <w:sz w:val="20"/>
                <w:lang w:val="es-ES"/>
              </w:rPr>
              <w:t>25</w:t>
            </w:r>
          </w:p>
        </w:tc>
        <w:tc>
          <w:tcPr>
            <w:tcW w:w="1219" w:type="dxa"/>
            <w:tcBorders>
              <w:left w:val="single" w:sz="4" w:space="0" w:color="auto"/>
              <w:bottom w:val="single" w:sz="4" w:space="0" w:color="auto"/>
              <w:right w:val="single" w:sz="4" w:space="0" w:color="auto"/>
            </w:tcBorders>
            <w:shd w:val="clear" w:color="000000" w:fill="FFFFFF"/>
          </w:tcPr>
          <w:p w14:paraId="38581660" w14:textId="44DF064A" w:rsidR="00172475" w:rsidRPr="00D5774E" w:rsidRDefault="00172475" w:rsidP="00172475">
            <w:pPr>
              <w:keepLines w:val="0"/>
              <w:widowControl/>
              <w:jc w:val="right"/>
              <w:rPr>
                <w:rFonts w:ascii="Cambria" w:hAnsi="Cambria"/>
                <w:sz w:val="20"/>
                <w:lang w:val="es-ES"/>
              </w:rPr>
            </w:pPr>
            <w:r w:rsidRPr="00D5774E">
              <w:rPr>
                <w:rFonts w:ascii="Cambria" w:hAnsi="Cambria"/>
                <w:sz w:val="20"/>
                <w:lang w:val="es-ES"/>
              </w:rPr>
              <w:t>32</w:t>
            </w:r>
          </w:p>
        </w:tc>
      </w:tr>
      <w:tr w:rsidR="00172475" w:rsidRPr="00F8465B" w14:paraId="02F68C60" w14:textId="77777777" w:rsidTr="005919B6">
        <w:trPr>
          <w:trHeight w:val="255"/>
          <w:jc w:val="center"/>
        </w:trPr>
        <w:tc>
          <w:tcPr>
            <w:tcW w:w="5572" w:type="dxa"/>
            <w:tcBorders>
              <w:top w:val="single" w:sz="4" w:space="0" w:color="auto"/>
              <w:left w:val="single" w:sz="4" w:space="0" w:color="auto"/>
              <w:bottom w:val="single" w:sz="4" w:space="0" w:color="auto"/>
              <w:right w:val="single" w:sz="4" w:space="0" w:color="auto"/>
            </w:tcBorders>
            <w:shd w:val="clear" w:color="auto" w:fill="auto"/>
            <w:vAlign w:val="bottom"/>
          </w:tcPr>
          <w:p w14:paraId="2B4B7D91" w14:textId="77777777" w:rsidR="00172475" w:rsidRPr="00D5774E" w:rsidRDefault="00172475" w:rsidP="00172475">
            <w:pPr>
              <w:keepLines w:val="0"/>
              <w:widowControl/>
              <w:jc w:val="left"/>
              <w:rPr>
                <w:rFonts w:ascii="Cambria" w:hAnsi="Cambria"/>
                <w:b/>
                <w:bCs/>
                <w:sz w:val="20"/>
                <w:lang w:val="es-ES"/>
              </w:rPr>
            </w:pPr>
            <w:r w:rsidRPr="00D5774E">
              <w:rPr>
                <w:rFonts w:ascii="Cambria" w:hAnsi="Cambria"/>
                <w:b/>
                <w:bCs/>
                <w:sz w:val="20"/>
              </w:rPr>
              <w:t>Total</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A1CF773" w14:textId="34F01E28" w:rsidR="00172475" w:rsidRPr="00D5774E" w:rsidRDefault="00D5774E" w:rsidP="00172475">
            <w:pPr>
              <w:keepLines w:val="0"/>
              <w:widowControl/>
              <w:jc w:val="right"/>
              <w:rPr>
                <w:rFonts w:ascii="Cambria" w:hAnsi="Cambria"/>
                <w:b/>
                <w:bCs/>
                <w:sz w:val="20"/>
                <w:lang w:val="es-ES"/>
              </w:rPr>
            </w:pPr>
            <w:r w:rsidRPr="00D5774E">
              <w:rPr>
                <w:rFonts w:ascii="Cambria" w:hAnsi="Cambria"/>
                <w:b/>
                <w:bCs/>
                <w:sz w:val="20"/>
                <w:lang w:val="es-ES"/>
              </w:rPr>
              <w:t>90</w:t>
            </w:r>
            <w:r w:rsidR="006D3486">
              <w:rPr>
                <w:rFonts w:ascii="Cambria" w:hAnsi="Cambria"/>
                <w:b/>
                <w:bCs/>
                <w:sz w:val="20"/>
                <w:lang w:val="es-ES"/>
              </w:rPr>
              <w:t>.</w:t>
            </w:r>
            <w:r w:rsidR="001D445E">
              <w:rPr>
                <w:rFonts w:ascii="Cambria" w:hAnsi="Cambria"/>
                <w:b/>
                <w:bCs/>
                <w:sz w:val="20"/>
                <w:lang w:val="es-ES"/>
              </w:rPr>
              <w:t>097</w:t>
            </w:r>
          </w:p>
        </w:tc>
        <w:tc>
          <w:tcPr>
            <w:tcW w:w="1219" w:type="dxa"/>
            <w:tcBorders>
              <w:top w:val="single" w:sz="4" w:space="0" w:color="auto"/>
              <w:left w:val="single" w:sz="4" w:space="0" w:color="auto"/>
              <w:bottom w:val="single" w:sz="4" w:space="0" w:color="auto"/>
              <w:right w:val="single" w:sz="4" w:space="0" w:color="auto"/>
            </w:tcBorders>
            <w:shd w:val="clear" w:color="000000" w:fill="FFFFFF"/>
          </w:tcPr>
          <w:p w14:paraId="2B42F3D9" w14:textId="3B0113DC" w:rsidR="00172475" w:rsidRPr="00D5774E" w:rsidRDefault="00172475" w:rsidP="00172475">
            <w:pPr>
              <w:keepLines w:val="0"/>
              <w:widowControl/>
              <w:jc w:val="right"/>
              <w:rPr>
                <w:rFonts w:ascii="Cambria" w:hAnsi="Cambria"/>
                <w:b/>
                <w:bCs/>
                <w:sz w:val="20"/>
                <w:lang w:val="es-ES"/>
              </w:rPr>
            </w:pPr>
            <w:r w:rsidRPr="00D5774E">
              <w:rPr>
                <w:rFonts w:ascii="Cambria" w:hAnsi="Cambria"/>
                <w:b/>
                <w:bCs/>
                <w:sz w:val="20"/>
                <w:lang w:val="es-ES"/>
              </w:rPr>
              <w:t>97.801</w:t>
            </w:r>
          </w:p>
        </w:tc>
      </w:tr>
    </w:tbl>
    <w:p w14:paraId="4773EEC1" w14:textId="77777777" w:rsidR="00B7249E" w:rsidRDefault="00B7249E" w:rsidP="0024783F">
      <w:pPr>
        <w:pStyle w:val="Lista"/>
        <w:rPr>
          <w:rFonts w:ascii="Cambria" w:hAnsi="Cambria"/>
          <w:szCs w:val="22"/>
        </w:rPr>
      </w:pPr>
    </w:p>
    <w:p w14:paraId="6FBC83C9" w14:textId="2970B573" w:rsidR="00D3661F" w:rsidRPr="00F8465B" w:rsidRDefault="00A01C5F" w:rsidP="00CF2719">
      <w:pPr>
        <w:pStyle w:val="Ttulo1a"/>
        <w:ind w:left="567"/>
        <w:rPr>
          <w:rFonts w:ascii="Cambria" w:hAnsi="Cambria"/>
          <w:sz w:val="24"/>
          <w:szCs w:val="24"/>
        </w:rPr>
      </w:pPr>
      <w:bookmarkStart w:id="8" w:name="_Hlk63935989"/>
      <w:r w:rsidRPr="00DF7D7E">
        <w:rPr>
          <w:rFonts w:ascii="Cambria" w:hAnsi="Cambria"/>
          <w:sz w:val="24"/>
          <w:szCs w:val="24"/>
        </w:rPr>
        <w:t xml:space="preserve">De </w:t>
      </w:r>
      <w:r w:rsidR="00D3661F" w:rsidRPr="00DF7D7E">
        <w:rPr>
          <w:rFonts w:ascii="Cambria" w:hAnsi="Cambria"/>
          <w:sz w:val="24"/>
          <w:szCs w:val="24"/>
        </w:rPr>
        <w:t>los crédito</w:t>
      </w:r>
      <w:r w:rsidRPr="00DF7D7E">
        <w:rPr>
          <w:rFonts w:ascii="Cambria" w:hAnsi="Cambria"/>
          <w:sz w:val="24"/>
          <w:szCs w:val="24"/>
        </w:rPr>
        <w:t>s a empresas del Grupo registrados a 31 de diciembre de 20</w:t>
      </w:r>
      <w:r w:rsidR="005100E5">
        <w:rPr>
          <w:rFonts w:ascii="Cambria" w:hAnsi="Cambria"/>
          <w:sz w:val="24"/>
          <w:szCs w:val="24"/>
        </w:rPr>
        <w:t>20</w:t>
      </w:r>
      <w:r w:rsidRPr="00DF7D7E">
        <w:rPr>
          <w:rFonts w:ascii="Cambria" w:hAnsi="Cambria"/>
          <w:sz w:val="24"/>
          <w:szCs w:val="24"/>
        </w:rPr>
        <w:t xml:space="preserve">, </w:t>
      </w:r>
      <w:r w:rsidR="005100E5">
        <w:rPr>
          <w:rFonts w:ascii="Cambria" w:hAnsi="Cambria"/>
          <w:sz w:val="24"/>
          <w:szCs w:val="24"/>
        </w:rPr>
        <w:t>88.519</w:t>
      </w:r>
      <w:r w:rsidRPr="00DF7D7E">
        <w:rPr>
          <w:rFonts w:ascii="Cambria" w:hAnsi="Cambria"/>
          <w:sz w:val="24"/>
          <w:szCs w:val="24"/>
        </w:rPr>
        <w:t xml:space="preserve"> miles de euros (</w:t>
      </w:r>
      <w:r w:rsidR="005100E5">
        <w:rPr>
          <w:rFonts w:ascii="Cambria" w:hAnsi="Cambria"/>
          <w:sz w:val="24"/>
          <w:szCs w:val="24"/>
        </w:rPr>
        <w:t>97.769</w:t>
      </w:r>
      <w:r w:rsidRPr="0051000A">
        <w:rPr>
          <w:rFonts w:ascii="Cambria" w:hAnsi="Cambria"/>
          <w:sz w:val="24"/>
          <w:szCs w:val="24"/>
        </w:rPr>
        <w:t xml:space="preserve"> </w:t>
      </w:r>
      <w:r w:rsidR="007963D3">
        <w:rPr>
          <w:rFonts w:ascii="Cambria" w:hAnsi="Cambria"/>
          <w:sz w:val="24"/>
          <w:szCs w:val="24"/>
        </w:rPr>
        <w:t>miles de euros al 31 de diciembre de</w:t>
      </w:r>
      <w:r w:rsidR="007963D3" w:rsidRPr="0051000A">
        <w:rPr>
          <w:rFonts w:ascii="Cambria" w:hAnsi="Cambria"/>
          <w:sz w:val="24"/>
          <w:szCs w:val="24"/>
        </w:rPr>
        <w:t xml:space="preserve"> </w:t>
      </w:r>
      <w:r w:rsidRPr="0051000A">
        <w:rPr>
          <w:rFonts w:ascii="Cambria" w:hAnsi="Cambria"/>
          <w:sz w:val="24"/>
          <w:szCs w:val="24"/>
        </w:rPr>
        <w:t>201</w:t>
      </w:r>
      <w:r w:rsidR="005100E5">
        <w:rPr>
          <w:rFonts w:ascii="Cambria" w:hAnsi="Cambria"/>
          <w:sz w:val="24"/>
          <w:szCs w:val="24"/>
        </w:rPr>
        <w:t>9</w:t>
      </w:r>
      <w:r w:rsidRPr="0051000A">
        <w:rPr>
          <w:rFonts w:ascii="Cambria" w:hAnsi="Cambria"/>
          <w:sz w:val="24"/>
          <w:szCs w:val="24"/>
        </w:rPr>
        <w:t xml:space="preserve">) corresponden a </w:t>
      </w:r>
      <w:r w:rsidR="00037222" w:rsidRPr="0051000A">
        <w:rPr>
          <w:rFonts w:ascii="Cambria" w:hAnsi="Cambria"/>
          <w:sz w:val="24"/>
          <w:szCs w:val="24"/>
        </w:rPr>
        <w:t>los</w:t>
      </w:r>
      <w:r w:rsidR="00D3661F" w:rsidRPr="0051000A">
        <w:rPr>
          <w:rFonts w:ascii="Cambria" w:hAnsi="Cambria"/>
          <w:sz w:val="24"/>
          <w:szCs w:val="24"/>
        </w:rPr>
        <w:t xml:space="preserve"> crédito</w:t>
      </w:r>
      <w:r w:rsidR="00037222" w:rsidRPr="0051000A">
        <w:rPr>
          <w:rFonts w:ascii="Cambria" w:hAnsi="Cambria"/>
          <w:sz w:val="24"/>
          <w:szCs w:val="24"/>
        </w:rPr>
        <w:t>s</w:t>
      </w:r>
      <w:r w:rsidR="00D3661F" w:rsidRPr="0051000A">
        <w:rPr>
          <w:rFonts w:ascii="Cambria" w:hAnsi="Cambria"/>
          <w:sz w:val="24"/>
          <w:szCs w:val="24"/>
        </w:rPr>
        <w:t xml:space="preserve"> </w:t>
      </w:r>
      <w:r w:rsidR="00B44ECD" w:rsidRPr="0051000A">
        <w:rPr>
          <w:rFonts w:ascii="Cambria" w:hAnsi="Cambria"/>
          <w:sz w:val="24"/>
          <w:szCs w:val="24"/>
        </w:rPr>
        <w:t>concedidos</w:t>
      </w:r>
      <w:r w:rsidR="00D3661F" w:rsidRPr="0051000A">
        <w:rPr>
          <w:rFonts w:ascii="Cambria" w:hAnsi="Cambria"/>
          <w:sz w:val="24"/>
          <w:szCs w:val="24"/>
        </w:rPr>
        <w:t xml:space="preserve"> a la Sociedad Estatal de Participaciones Industriales (SEPI), </w:t>
      </w:r>
      <w:r w:rsidR="00624DC1" w:rsidRPr="00DF7D7E">
        <w:rPr>
          <w:rFonts w:ascii="Cambria" w:hAnsi="Cambria"/>
          <w:sz w:val="24"/>
          <w:szCs w:val="24"/>
        </w:rPr>
        <w:t xml:space="preserve">Accionista </w:t>
      </w:r>
      <w:r w:rsidR="00E940E5" w:rsidRPr="00DF7D7E">
        <w:rPr>
          <w:rFonts w:ascii="Cambria" w:hAnsi="Cambria"/>
          <w:sz w:val="24"/>
          <w:szCs w:val="24"/>
        </w:rPr>
        <w:t>Único</w:t>
      </w:r>
      <w:r w:rsidR="00D3661F" w:rsidRPr="00DF7D7E">
        <w:rPr>
          <w:rFonts w:ascii="Cambria" w:hAnsi="Cambria"/>
          <w:sz w:val="24"/>
          <w:szCs w:val="24"/>
        </w:rPr>
        <w:t xml:space="preserve"> de la Sociedad, con vencimiento e</w:t>
      </w:r>
      <w:r w:rsidR="00B810C4" w:rsidRPr="00DF7D7E">
        <w:rPr>
          <w:rFonts w:ascii="Cambria" w:hAnsi="Cambria"/>
          <w:sz w:val="24"/>
          <w:szCs w:val="24"/>
        </w:rPr>
        <w:t>n</w:t>
      </w:r>
      <w:r w:rsidR="00D3661F" w:rsidRPr="00DF7D7E">
        <w:rPr>
          <w:rFonts w:ascii="Cambria" w:hAnsi="Cambria"/>
          <w:sz w:val="24"/>
          <w:szCs w:val="24"/>
        </w:rPr>
        <w:t xml:space="preserve"> enero de 20</w:t>
      </w:r>
      <w:r w:rsidR="00DF7D7E">
        <w:rPr>
          <w:rFonts w:ascii="Cambria" w:hAnsi="Cambria"/>
          <w:sz w:val="24"/>
          <w:szCs w:val="24"/>
        </w:rPr>
        <w:t>2</w:t>
      </w:r>
      <w:r w:rsidR="005100E5">
        <w:rPr>
          <w:rFonts w:ascii="Cambria" w:hAnsi="Cambria"/>
          <w:sz w:val="24"/>
          <w:szCs w:val="24"/>
        </w:rPr>
        <w:t>1</w:t>
      </w:r>
      <w:r w:rsidR="00D3661F" w:rsidRPr="00DF7D7E">
        <w:rPr>
          <w:rFonts w:ascii="Cambria" w:hAnsi="Cambria"/>
          <w:sz w:val="24"/>
          <w:szCs w:val="24"/>
        </w:rPr>
        <w:t xml:space="preserve"> y </w:t>
      </w:r>
      <w:r w:rsidR="00D3661F" w:rsidRPr="00061E26">
        <w:rPr>
          <w:rFonts w:ascii="Cambria" w:hAnsi="Cambria"/>
          <w:sz w:val="24"/>
          <w:szCs w:val="24"/>
        </w:rPr>
        <w:t>que devenga</w:t>
      </w:r>
      <w:r w:rsidR="00B73B4A" w:rsidRPr="00061E26">
        <w:rPr>
          <w:rFonts w:ascii="Cambria" w:hAnsi="Cambria"/>
          <w:sz w:val="24"/>
          <w:szCs w:val="24"/>
        </w:rPr>
        <w:t>n</w:t>
      </w:r>
      <w:r w:rsidR="00D3661F" w:rsidRPr="00061E26">
        <w:rPr>
          <w:rFonts w:ascii="Cambria" w:hAnsi="Cambria"/>
          <w:sz w:val="24"/>
          <w:szCs w:val="24"/>
        </w:rPr>
        <w:t xml:space="preserve"> un tipo de interés </w:t>
      </w:r>
      <w:r w:rsidR="00037222" w:rsidRPr="00061E26">
        <w:rPr>
          <w:rFonts w:ascii="Cambria" w:hAnsi="Cambria"/>
          <w:sz w:val="24"/>
          <w:szCs w:val="24"/>
        </w:rPr>
        <w:t xml:space="preserve">medio </w:t>
      </w:r>
      <w:r w:rsidR="00037222" w:rsidRPr="00123B75">
        <w:rPr>
          <w:rFonts w:ascii="Cambria" w:hAnsi="Cambria"/>
          <w:sz w:val="24"/>
          <w:szCs w:val="24"/>
        </w:rPr>
        <w:t xml:space="preserve">del </w:t>
      </w:r>
      <w:r w:rsidR="00393CEB" w:rsidRPr="00123B75">
        <w:rPr>
          <w:rFonts w:ascii="Cambria" w:hAnsi="Cambria"/>
          <w:sz w:val="24"/>
          <w:szCs w:val="24"/>
        </w:rPr>
        <w:t>0,0</w:t>
      </w:r>
      <w:r w:rsidR="00D3661F" w:rsidRPr="00123B75">
        <w:rPr>
          <w:rFonts w:ascii="Cambria" w:hAnsi="Cambria"/>
          <w:sz w:val="24"/>
          <w:szCs w:val="24"/>
        </w:rPr>
        <w:t>% anual.</w:t>
      </w:r>
      <w:r w:rsidR="000D2E0E" w:rsidRPr="00061E26">
        <w:rPr>
          <w:rFonts w:ascii="Cambria" w:hAnsi="Cambria"/>
          <w:sz w:val="24"/>
          <w:szCs w:val="24"/>
        </w:rPr>
        <w:t xml:space="preserve"> Estos créditos se han renovado a su</w:t>
      </w:r>
      <w:r w:rsidR="000D2E0E" w:rsidRPr="00DF7D7E">
        <w:rPr>
          <w:rFonts w:ascii="Cambria" w:hAnsi="Cambria"/>
          <w:sz w:val="24"/>
          <w:szCs w:val="24"/>
        </w:rPr>
        <w:t xml:space="preserve"> vencimiento con nuevos plazos y tipos de interés.</w:t>
      </w:r>
      <w:r w:rsidR="000D2E0E" w:rsidRPr="00F8465B">
        <w:rPr>
          <w:rFonts w:ascii="Cambria" w:hAnsi="Cambria"/>
          <w:sz w:val="24"/>
          <w:szCs w:val="24"/>
        </w:rPr>
        <w:t xml:space="preserve"> </w:t>
      </w:r>
    </w:p>
    <w:bookmarkEnd w:id="8"/>
    <w:p w14:paraId="2E18B5EC" w14:textId="77777777" w:rsidR="00286611" w:rsidRPr="00F8465B" w:rsidRDefault="00286611" w:rsidP="00CF2719">
      <w:pPr>
        <w:pStyle w:val="Ttulo1a"/>
        <w:ind w:left="567"/>
        <w:rPr>
          <w:rFonts w:ascii="Cambria" w:hAnsi="Cambria"/>
          <w:sz w:val="24"/>
          <w:szCs w:val="24"/>
        </w:rPr>
      </w:pPr>
    </w:p>
    <w:p w14:paraId="0507FAFA" w14:textId="77777777" w:rsidR="006B3D41" w:rsidRPr="00F8465B" w:rsidRDefault="006B3D41" w:rsidP="006B3D41">
      <w:pPr>
        <w:pStyle w:val="Ttulo2"/>
        <w:keepNext/>
        <w:ind w:left="567"/>
        <w:rPr>
          <w:rFonts w:ascii="Cambria" w:hAnsi="Cambria"/>
          <w:i/>
          <w:sz w:val="24"/>
          <w:szCs w:val="24"/>
        </w:rPr>
      </w:pPr>
      <w:r w:rsidRPr="00F8465B">
        <w:rPr>
          <w:rFonts w:ascii="Cambria" w:hAnsi="Cambria"/>
          <w:i/>
          <w:sz w:val="24"/>
          <w:szCs w:val="24"/>
        </w:rPr>
        <w:t>Saldos acreedores</w:t>
      </w:r>
    </w:p>
    <w:p w14:paraId="1E33ECF0" w14:textId="77777777" w:rsidR="006B3D41" w:rsidRPr="00F8465B" w:rsidRDefault="006B3D41" w:rsidP="006B3D41">
      <w:pPr>
        <w:pStyle w:val="Ttulo1a"/>
        <w:ind w:left="567"/>
        <w:rPr>
          <w:rFonts w:ascii="Cambria" w:hAnsi="Cambria"/>
          <w:sz w:val="24"/>
          <w:szCs w:val="24"/>
        </w:rPr>
      </w:pPr>
    </w:p>
    <w:p w14:paraId="49157BCB" w14:textId="2CB414BA" w:rsidR="006B3D41" w:rsidRPr="00F8465B" w:rsidRDefault="006B3D41" w:rsidP="006B3D41">
      <w:pPr>
        <w:pStyle w:val="Ttulo1a"/>
        <w:ind w:left="567"/>
        <w:rPr>
          <w:rFonts w:ascii="Cambria" w:hAnsi="Cambria"/>
          <w:sz w:val="24"/>
          <w:szCs w:val="24"/>
        </w:rPr>
      </w:pPr>
      <w:r w:rsidRPr="00F8465B">
        <w:rPr>
          <w:rFonts w:ascii="Cambria" w:hAnsi="Cambria"/>
          <w:sz w:val="24"/>
          <w:szCs w:val="24"/>
        </w:rPr>
        <w:t>Los principales saldos acreedores con Sociedades del Grupo S.E.P.I. al 31 de diciembre de 20</w:t>
      </w:r>
      <w:r w:rsidR="005100E5">
        <w:rPr>
          <w:rFonts w:ascii="Cambria" w:hAnsi="Cambria"/>
          <w:sz w:val="24"/>
          <w:szCs w:val="24"/>
        </w:rPr>
        <w:t>20</w:t>
      </w:r>
      <w:r w:rsidRPr="00F8465B">
        <w:rPr>
          <w:rFonts w:ascii="Cambria" w:hAnsi="Cambria"/>
          <w:sz w:val="24"/>
          <w:szCs w:val="24"/>
        </w:rPr>
        <w:t xml:space="preserve"> y 201</w:t>
      </w:r>
      <w:r w:rsidR="005100E5">
        <w:rPr>
          <w:rFonts w:ascii="Cambria" w:hAnsi="Cambria"/>
          <w:sz w:val="24"/>
          <w:szCs w:val="24"/>
        </w:rPr>
        <w:t>9</w:t>
      </w:r>
      <w:r w:rsidRPr="00F8465B">
        <w:rPr>
          <w:rFonts w:ascii="Cambria" w:hAnsi="Cambria"/>
          <w:sz w:val="24"/>
          <w:szCs w:val="24"/>
        </w:rPr>
        <w:t>, son los siguientes (en miles de euros):</w:t>
      </w:r>
    </w:p>
    <w:p w14:paraId="583AF4F5" w14:textId="77777777" w:rsidR="006B3D41" w:rsidRPr="00F8465B" w:rsidRDefault="006B3D41" w:rsidP="006B3D41">
      <w:pPr>
        <w:pStyle w:val="Ttulo1a"/>
        <w:ind w:left="567"/>
        <w:rPr>
          <w:rFonts w:ascii="Cambria" w:hAnsi="Cambria"/>
          <w:sz w:val="24"/>
          <w:szCs w:val="24"/>
        </w:rPr>
      </w:pPr>
    </w:p>
    <w:tbl>
      <w:tblPr>
        <w:tblW w:w="7707" w:type="dxa"/>
        <w:jc w:val="center"/>
        <w:tblCellMar>
          <w:left w:w="70" w:type="dxa"/>
          <w:right w:w="70" w:type="dxa"/>
        </w:tblCellMar>
        <w:tblLook w:val="04A0" w:firstRow="1" w:lastRow="0" w:firstColumn="1" w:lastColumn="0" w:noHBand="0" w:noVBand="1"/>
      </w:tblPr>
      <w:tblGrid>
        <w:gridCol w:w="5529"/>
        <w:gridCol w:w="992"/>
        <w:gridCol w:w="1186"/>
      </w:tblGrid>
      <w:tr w:rsidR="005100E5" w:rsidRPr="00F8465B" w14:paraId="6FC28C00" w14:textId="77777777" w:rsidTr="005100E5">
        <w:trPr>
          <w:cantSplit/>
          <w:trHeight w:val="255"/>
          <w:jc w:val="center"/>
        </w:trPr>
        <w:tc>
          <w:tcPr>
            <w:tcW w:w="5529" w:type="dxa"/>
            <w:tcBorders>
              <w:top w:val="nil"/>
              <w:left w:val="nil"/>
              <w:bottom w:val="single" w:sz="4" w:space="0" w:color="auto"/>
              <w:right w:val="single" w:sz="4" w:space="0" w:color="auto"/>
            </w:tcBorders>
            <w:shd w:val="clear" w:color="000000" w:fill="FFFFFF"/>
            <w:noWrap/>
            <w:vAlign w:val="bottom"/>
          </w:tcPr>
          <w:p w14:paraId="68D44F84" w14:textId="77777777" w:rsidR="005100E5" w:rsidRPr="00F8465B" w:rsidRDefault="005100E5" w:rsidP="005100E5">
            <w:pPr>
              <w:keepLines w:val="0"/>
              <w:widowControl/>
              <w:jc w:val="center"/>
              <w:rPr>
                <w:rFonts w:ascii="Cambria" w:hAnsi="Cambria"/>
                <w:sz w:val="20"/>
                <w:lang w:val="es-ES"/>
              </w:rPr>
            </w:pPr>
            <w:r w:rsidRPr="00F8465B">
              <w:rPr>
                <w:rFonts w:ascii="Cambria" w:hAnsi="Cambria"/>
                <w:sz w:val="20"/>
                <w:lang w:val="es-E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3FB661A" w14:textId="6A9CB7D6" w:rsidR="005100E5" w:rsidRPr="00196D54" w:rsidRDefault="005100E5" w:rsidP="005100E5">
            <w:pPr>
              <w:keepLines w:val="0"/>
              <w:widowControl/>
              <w:jc w:val="center"/>
              <w:rPr>
                <w:rFonts w:ascii="Cambria" w:hAnsi="Cambria"/>
                <w:b/>
                <w:bCs/>
                <w:snapToGrid w:val="0"/>
                <w:sz w:val="20"/>
                <w:lang w:val="es-ES"/>
              </w:rPr>
            </w:pPr>
            <w:r>
              <w:rPr>
                <w:rFonts w:ascii="Cambria" w:hAnsi="Cambria"/>
                <w:b/>
                <w:bCs/>
                <w:snapToGrid w:val="0"/>
                <w:sz w:val="20"/>
                <w:lang w:val="es-ES"/>
              </w:rPr>
              <w:t>2020</w:t>
            </w:r>
          </w:p>
        </w:tc>
        <w:tc>
          <w:tcPr>
            <w:tcW w:w="1186" w:type="dxa"/>
            <w:tcBorders>
              <w:top w:val="single" w:sz="8" w:space="0" w:color="auto"/>
              <w:left w:val="single" w:sz="4" w:space="0" w:color="auto"/>
              <w:bottom w:val="single" w:sz="4" w:space="0" w:color="auto"/>
              <w:right w:val="single" w:sz="4" w:space="0" w:color="auto"/>
            </w:tcBorders>
            <w:shd w:val="clear" w:color="000000" w:fill="FFFFFF"/>
          </w:tcPr>
          <w:p w14:paraId="25AD19CB" w14:textId="6532B547" w:rsidR="005100E5" w:rsidRPr="00196D54" w:rsidRDefault="005100E5" w:rsidP="005100E5">
            <w:pPr>
              <w:keepLines w:val="0"/>
              <w:widowControl/>
              <w:jc w:val="center"/>
              <w:rPr>
                <w:rFonts w:ascii="Cambria" w:hAnsi="Cambria"/>
                <w:b/>
                <w:bCs/>
                <w:snapToGrid w:val="0"/>
                <w:sz w:val="20"/>
                <w:lang w:val="es-ES"/>
              </w:rPr>
            </w:pPr>
            <w:r>
              <w:rPr>
                <w:rFonts w:ascii="Cambria" w:hAnsi="Cambria"/>
                <w:b/>
                <w:bCs/>
                <w:snapToGrid w:val="0"/>
                <w:sz w:val="20"/>
                <w:lang w:val="es-ES"/>
              </w:rPr>
              <w:t>2019</w:t>
            </w:r>
          </w:p>
        </w:tc>
      </w:tr>
      <w:tr w:rsidR="005100E5" w:rsidRPr="00F8465B" w14:paraId="43BA0DA4" w14:textId="77777777" w:rsidTr="005100E5">
        <w:trPr>
          <w:trHeight w:val="255"/>
          <w:jc w:val="center"/>
        </w:trPr>
        <w:tc>
          <w:tcPr>
            <w:tcW w:w="5529" w:type="dxa"/>
            <w:tcBorders>
              <w:top w:val="single" w:sz="4" w:space="0" w:color="auto"/>
              <w:left w:val="single" w:sz="4" w:space="0" w:color="auto"/>
              <w:bottom w:val="nil"/>
              <w:right w:val="single" w:sz="4" w:space="0" w:color="auto"/>
            </w:tcBorders>
            <w:shd w:val="clear" w:color="000000" w:fill="FFFFFF"/>
          </w:tcPr>
          <w:p w14:paraId="1581DA68" w14:textId="77777777" w:rsidR="005100E5" w:rsidRPr="00F8465B" w:rsidRDefault="005100E5" w:rsidP="005100E5">
            <w:pPr>
              <w:keepLines w:val="0"/>
              <w:widowControl/>
              <w:jc w:val="left"/>
              <w:rPr>
                <w:rFonts w:ascii="Cambria" w:hAnsi="Cambria"/>
                <w:b/>
                <w:bCs/>
                <w:sz w:val="20"/>
                <w:lang w:val="es-ES"/>
              </w:rPr>
            </w:pPr>
            <w:r w:rsidRPr="00F8465B">
              <w:rPr>
                <w:rFonts w:ascii="Cambria" w:hAnsi="Cambria"/>
                <w:b/>
                <w:bCs/>
                <w:sz w:val="20"/>
                <w:lang w:val="es-ES"/>
              </w:rPr>
              <w:t>Proveedores empresas del Grupo y asociadas</w:t>
            </w:r>
          </w:p>
        </w:tc>
        <w:tc>
          <w:tcPr>
            <w:tcW w:w="992" w:type="dxa"/>
            <w:tcBorders>
              <w:top w:val="single" w:sz="4" w:space="0" w:color="auto"/>
              <w:left w:val="single" w:sz="4" w:space="0" w:color="auto"/>
              <w:bottom w:val="nil"/>
              <w:right w:val="single" w:sz="4" w:space="0" w:color="auto"/>
            </w:tcBorders>
            <w:shd w:val="clear" w:color="000000" w:fill="FFFFFF"/>
          </w:tcPr>
          <w:p w14:paraId="31A48BBE" w14:textId="77777777" w:rsidR="005100E5" w:rsidRPr="00196D54" w:rsidRDefault="005100E5" w:rsidP="005100E5">
            <w:pPr>
              <w:keepLines w:val="0"/>
              <w:widowControl/>
              <w:jc w:val="center"/>
              <w:rPr>
                <w:rFonts w:ascii="Cambria" w:hAnsi="Cambria"/>
                <w:b/>
                <w:sz w:val="20"/>
                <w:lang w:val="es-ES"/>
              </w:rPr>
            </w:pPr>
          </w:p>
        </w:tc>
        <w:tc>
          <w:tcPr>
            <w:tcW w:w="1186" w:type="dxa"/>
            <w:tcBorders>
              <w:top w:val="single" w:sz="4" w:space="0" w:color="auto"/>
              <w:left w:val="single" w:sz="4" w:space="0" w:color="auto"/>
              <w:bottom w:val="nil"/>
              <w:right w:val="single" w:sz="4" w:space="0" w:color="auto"/>
            </w:tcBorders>
            <w:shd w:val="clear" w:color="000000" w:fill="FFFFFF"/>
          </w:tcPr>
          <w:p w14:paraId="69410EA9" w14:textId="77777777" w:rsidR="005100E5" w:rsidRPr="00015DA0" w:rsidRDefault="005100E5" w:rsidP="005100E5">
            <w:pPr>
              <w:keepLines w:val="0"/>
              <w:widowControl/>
              <w:jc w:val="center"/>
              <w:rPr>
                <w:rFonts w:ascii="Cambria" w:hAnsi="Cambria"/>
                <w:b/>
                <w:sz w:val="20"/>
                <w:lang w:val="es-ES"/>
              </w:rPr>
            </w:pPr>
          </w:p>
        </w:tc>
      </w:tr>
      <w:tr w:rsidR="005100E5" w:rsidRPr="00F8465B" w14:paraId="1027D3AD" w14:textId="77777777" w:rsidTr="005100E5">
        <w:trPr>
          <w:trHeight w:val="255"/>
          <w:jc w:val="center"/>
        </w:trPr>
        <w:tc>
          <w:tcPr>
            <w:tcW w:w="5529" w:type="dxa"/>
            <w:tcBorders>
              <w:top w:val="nil"/>
              <w:left w:val="single" w:sz="4" w:space="0" w:color="auto"/>
              <w:right w:val="single" w:sz="4" w:space="0" w:color="auto"/>
            </w:tcBorders>
            <w:shd w:val="clear" w:color="000000" w:fill="FFFFFF"/>
          </w:tcPr>
          <w:p w14:paraId="53AA207F" w14:textId="72ECAFD5" w:rsidR="005100E5" w:rsidRPr="00F8465B" w:rsidRDefault="005100E5" w:rsidP="005100E5">
            <w:pPr>
              <w:keepLines w:val="0"/>
              <w:widowControl/>
              <w:jc w:val="left"/>
              <w:rPr>
                <w:rFonts w:ascii="Cambria" w:hAnsi="Cambria"/>
                <w:sz w:val="20"/>
                <w:lang w:val="es-ES"/>
              </w:rPr>
            </w:pPr>
            <w:r>
              <w:rPr>
                <w:rFonts w:ascii="Cambria" w:hAnsi="Cambria"/>
                <w:sz w:val="20"/>
                <w:lang w:val="es-ES"/>
              </w:rPr>
              <w:t>TRAGSATEC</w:t>
            </w:r>
          </w:p>
        </w:tc>
        <w:tc>
          <w:tcPr>
            <w:tcW w:w="992" w:type="dxa"/>
            <w:tcBorders>
              <w:top w:val="nil"/>
              <w:left w:val="single" w:sz="4" w:space="0" w:color="auto"/>
              <w:right w:val="single" w:sz="4" w:space="0" w:color="auto"/>
            </w:tcBorders>
            <w:shd w:val="clear" w:color="000000" w:fill="FFFFFF"/>
          </w:tcPr>
          <w:p w14:paraId="40AD92C3" w14:textId="2EAF93D7" w:rsidR="005100E5" w:rsidRPr="00196D54" w:rsidRDefault="005100E5" w:rsidP="005100E5">
            <w:pPr>
              <w:keepLines w:val="0"/>
              <w:widowControl/>
              <w:jc w:val="right"/>
              <w:rPr>
                <w:rFonts w:ascii="Cambria" w:hAnsi="Cambria"/>
                <w:sz w:val="20"/>
                <w:lang w:val="es-ES"/>
              </w:rPr>
            </w:pPr>
            <w:r>
              <w:rPr>
                <w:rFonts w:ascii="Cambria" w:hAnsi="Cambria"/>
                <w:sz w:val="20"/>
                <w:lang w:val="es-ES"/>
              </w:rPr>
              <w:t>6</w:t>
            </w:r>
          </w:p>
        </w:tc>
        <w:tc>
          <w:tcPr>
            <w:tcW w:w="1186" w:type="dxa"/>
            <w:tcBorders>
              <w:top w:val="nil"/>
              <w:left w:val="single" w:sz="4" w:space="0" w:color="auto"/>
              <w:right w:val="single" w:sz="4" w:space="0" w:color="auto"/>
            </w:tcBorders>
            <w:shd w:val="clear" w:color="000000" w:fill="FFFFFF"/>
          </w:tcPr>
          <w:p w14:paraId="419E945D" w14:textId="65614333" w:rsidR="005100E5" w:rsidRPr="00196D54" w:rsidRDefault="005100E5" w:rsidP="005100E5">
            <w:pPr>
              <w:keepLines w:val="0"/>
              <w:widowControl/>
              <w:jc w:val="center"/>
              <w:rPr>
                <w:rFonts w:ascii="Cambria" w:hAnsi="Cambria"/>
                <w:sz w:val="20"/>
                <w:lang w:val="es-ES"/>
              </w:rPr>
            </w:pPr>
            <w:r>
              <w:rPr>
                <w:rFonts w:ascii="Cambria" w:hAnsi="Cambria"/>
                <w:sz w:val="20"/>
                <w:lang w:val="es-ES"/>
              </w:rPr>
              <w:t>-</w:t>
            </w:r>
          </w:p>
        </w:tc>
      </w:tr>
      <w:tr w:rsidR="005100E5" w:rsidRPr="00F8465B" w14:paraId="3D74D13A" w14:textId="77777777" w:rsidTr="005100E5">
        <w:trPr>
          <w:trHeight w:val="255"/>
          <w:jc w:val="center"/>
        </w:trPr>
        <w:tc>
          <w:tcPr>
            <w:tcW w:w="5529" w:type="dxa"/>
            <w:tcBorders>
              <w:top w:val="single" w:sz="4" w:space="0" w:color="auto"/>
              <w:left w:val="single" w:sz="8" w:space="0" w:color="auto"/>
              <w:bottom w:val="single" w:sz="4" w:space="0" w:color="auto"/>
              <w:right w:val="single" w:sz="4" w:space="0" w:color="auto"/>
            </w:tcBorders>
            <w:shd w:val="clear" w:color="000000" w:fill="FFFFFF"/>
          </w:tcPr>
          <w:p w14:paraId="15A1B98E" w14:textId="77777777" w:rsidR="005100E5" w:rsidRPr="00F8465B" w:rsidRDefault="005100E5" w:rsidP="005100E5">
            <w:pPr>
              <w:keepLines w:val="0"/>
              <w:widowControl/>
              <w:jc w:val="left"/>
              <w:rPr>
                <w:rFonts w:ascii="Cambria" w:hAnsi="Cambria"/>
                <w:b/>
                <w:sz w:val="20"/>
                <w:lang w:val="es-ES"/>
              </w:rPr>
            </w:pPr>
            <w:r w:rsidRPr="00F8465B">
              <w:rPr>
                <w:rFonts w:ascii="Cambria" w:hAnsi="Cambria"/>
                <w:b/>
                <w:sz w:val="20"/>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8584364" w14:textId="1EEDB3CC" w:rsidR="005100E5" w:rsidRPr="00196D54" w:rsidRDefault="005100E5" w:rsidP="005100E5">
            <w:pPr>
              <w:keepLines w:val="0"/>
              <w:widowControl/>
              <w:jc w:val="right"/>
              <w:rPr>
                <w:rFonts w:ascii="Cambria" w:hAnsi="Cambria"/>
                <w:b/>
                <w:sz w:val="20"/>
                <w:lang w:val="es-ES"/>
              </w:rPr>
            </w:pPr>
            <w:r>
              <w:rPr>
                <w:rFonts w:ascii="Cambria" w:hAnsi="Cambria"/>
                <w:b/>
                <w:sz w:val="20"/>
                <w:lang w:val="es-ES"/>
              </w:rPr>
              <w:t>6</w:t>
            </w:r>
          </w:p>
        </w:tc>
        <w:tc>
          <w:tcPr>
            <w:tcW w:w="1186" w:type="dxa"/>
            <w:tcBorders>
              <w:top w:val="single" w:sz="4" w:space="0" w:color="auto"/>
              <w:left w:val="single" w:sz="4" w:space="0" w:color="auto"/>
              <w:bottom w:val="single" w:sz="4" w:space="0" w:color="auto"/>
              <w:right w:val="single" w:sz="4" w:space="0" w:color="auto"/>
            </w:tcBorders>
            <w:shd w:val="clear" w:color="000000" w:fill="FFFFFF"/>
          </w:tcPr>
          <w:p w14:paraId="0AF93AAE" w14:textId="66118F66" w:rsidR="005100E5" w:rsidRPr="00196D54" w:rsidRDefault="005100E5" w:rsidP="005100E5">
            <w:pPr>
              <w:keepLines w:val="0"/>
              <w:widowControl/>
              <w:jc w:val="center"/>
              <w:rPr>
                <w:rFonts w:ascii="Cambria" w:hAnsi="Cambria"/>
                <w:b/>
                <w:sz w:val="20"/>
                <w:lang w:val="es-ES"/>
              </w:rPr>
            </w:pPr>
            <w:r>
              <w:rPr>
                <w:rFonts w:ascii="Cambria" w:hAnsi="Cambria"/>
                <w:b/>
                <w:sz w:val="20"/>
                <w:lang w:val="es-ES"/>
              </w:rPr>
              <w:t>-</w:t>
            </w:r>
          </w:p>
        </w:tc>
      </w:tr>
      <w:tr w:rsidR="005100E5" w:rsidRPr="00F8465B" w14:paraId="0C6551F6" w14:textId="77777777" w:rsidTr="005100E5">
        <w:trPr>
          <w:trHeight w:val="255"/>
          <w:jc w:val="center"/>
        </w:trPr>
        <w:tc>
          <w:tcPr>
            <w:tcW w:w="5529" w:type="dxa"/>
            <w:tcBorders>
              <w:top w:val="single" w:sz="4" w:space="0" w:color="auto"/>
              <w:left w:val="single" w:sz="8" w:space="0" w:color="auto"/>
              <w:right w:val="single" w:sz="4" w:space="0" w:color="auto"/>
            </w:tcBorders>
            <w:shd w:val="clear" w:color="000000" w:fill="FFFFFF"/>
          </w:tcPr>
          <w:p w14:paraId="17A681BA" w14:textId="6FC39B81" w:rsidR="005100E5" w:rsidRPr="00F8465B" w:rsidRDefault="005100E5" w:rsidP="005100E5">
            <w:pPr>
              <w:keepLines w:val="0"/>
              <w:widowControl/>
              <w:jc w:val="left"/>
              <w:rPr>
                <w:rFonts w:ascii="Cambria" w:hAnsi="Cambria"/>
                <w:b/>
                <w:sz w:val="20"/>
                <w:lang w:val="es-ES"/>
              </w:rPr>
            </w:pPr>
            <w:r>
              <w:rPr>
                <w:rFonts w:ascii="Cambria" w:hAnsi="Cambria"/>
                <w:b/>
                <w:sz w:val="20"/>
                <w:lang w:val="es-ES"/>
              </w:rPr>
              <w:t xml:space="preserve">Deudas con empresas del Grupo a corto plazo </w:t>
            </w:r>
          </w:p>
        </w:tc>
        <w:tc>
          <w:tcPr>
            <w:tcW w:w="992" w:type="dxa"/>
            <w:tcBorders>
              <w:top w:val="single" w:sz="4" w:space="0" w:color="auto"/>
              <w:left w:val="single" w:sz="4" w:space="0" w:color="auto"/>
              <w:right w:val="single" w:sz="4" w:space="0" w:color="auto"/>
            </w:tcBorders>
            <w:shd w:val="clear" w:color="000000" w:fill="FFFFFF"/>
          </w:tcPr>
          <w:p w14:paraId="69CB7DFB" w14:textId="649B3417" w:rsidR="005100E5" w:rsidRPr="00172475" w:rsidRDefault="005100E5" w:rsidP="005100E5">
            <w:pPr>
              <w:keepLines w:val="0"/>
              <w:widowControl/>
              <w:jc w:val="center"/>
              <w:rPr>
                <w:rFonts w:ascii="Cambria" w:hAnsi="Cambria"/>
                <w:b/>
                <w:sz w:val="20"/>
                <w:lang w:val="es-ES"/>
              </w:rPr>
            </w:pPr>
          </w:p>
        </w:tc>
        <w:tc>
          <w:tcPr>
            <w:tcW w:w="1186" w:type="dxa"/>
            <w:tcBorders>
              <w:top w:val="single" w:sz="4" w:space="0" w:color="auto"/>
              <w:left w:val="single" w:sz="4" w:space="0" w:color="auto"/>
              <w:right w:val="single" w:sz="4" w:space="0" w:color="auto"/>
            </w:tcBorders>
            <w:shd w:val="clear" w:color="000000" w:fill="FFFFFF"/>
          </w:tcPr>
          <w:p w14:paraId="1BFF56AC" w14:textId="77777777" w:rsidR="005100E5" w:rsidRPr="00196D54" w:rsidRDefault="005100E5" w:rsidP="005100E5">
            <w:pPr>
              <w:keepLines w:val="0"/>
              <w:widowControl/>
              <w:jc w:val="right"/>
              <w:rPr>
                <w:rFonts w:ascii="Cambria" w:hAnsi="Cambria"/>
                <w:b/>
                <w:sz w:val="20"/>
                <w:lang w:val="es-ES"/>
              </w:rPr>
            </w:pPr>
          </w:p>
        </w:tc>
      </w:tr>
      <w:tr w:rsidR="005100E5" w:rsidRPr="00F8465B" w14:paraId="4F6B22AE" w14:textId="77777777" w:rsidTr="00BD245D">
        <w:trPr>
          <w:trHeight w:val="255"/>
          <w:jc w:val="center"/>
        </w:trPr>
        <w:tc>
          <w:tcPr>
            <w:tcW w:w="5529" w:type="dxa"/>
            <w:tcBorders>
              <w:left w:val="single" w:sz="8" w:space="0" w:color="auto"/>
              <w:right w:val="single" w:sz="4" w:space="0" w:color="auto"/>
            </w:tcBorders>
            <w:shd w:val="clear" w:color="auto" w:fill="auto"/>
          </w:tcPr>
          <w:p w14:paraId="4A97B616" w14:textId="7D5BF6B4" w:rsidR="005100E5" w:rsidRPr="00821170" w:rsidRDefault="005100E5" w:rsidP="005100E5">
            <w:pPr>
              <w:keepLines w:val="0"/>
              <w:widowControl/>
              <w:jc w:val="left"/>
              <w:rPr>
                <w:rFonts w:ascii="Cambria" w:hAnsi="Cambria"/>
                <w:sz w:val="20"/>
                <w:lang w:val="es-ES"/>
              </w:rPr>
            </w:pPr>
            <w:r>
              <w:rPr>
                <w:rFonts w:ascii="Cambria" w:hAnsi="Cambria"/>
                <w:sz w:val="20"/>
                <w:lang w:val="es-ES"/>
              </w:rPr>
              <w:t>Recompra de crédito fiscal - S.E.P.I. (Nota 12.2)</w:t>
            </w:r>
          </w:p>
        </w:tc>
        <w:tc>
          <w:tcPr>
            <w:tcW w:w="992" w:type="dxa"/>
            <w:tcBorders>
              <w:left w:val="single" w:sz="4" w:space="0" w:color="auto"/>
              <w:right w:val="single" w:sz="4" w:space="0" w:color="auto"/>
            </w:tcBorders>
            <w:shd w:val="clear" w:color="000000" w:fill="FFFFFF"/>
          </w:tcPr>
          <w:p w14:paraId="39315285" w14:textId="33771746" w:rsidR="005100E5" w:rsidRPr="00172475" w:rsidRDefault="00172475" w:rsidP="005100E5">
            <w:pPr>
              <w:keepLines w:val="0"/>
              <w:widowControl/>
              <w:jc w:val="center"/>
              <w:rPr>
                <w:rFonts w:ascii="Cambria" w:hAnsi="Cambria"/>
                <w:sz w:val="20"/>
                <w:lang w:val="es-ES"/>
              </w:rPr>
            </w:pPr>
            <w:r w:rsidRPr="00172475">
              <w:rPr>
                <w:rFonts w:ascii="Cambria" w:hAnsi="Cambria"/>
                <w:sz w:val="20"/>
                <w:lang w:val="es-ES"/>
              </w:rPr>
              <w:t>-</w:t>
            </w:r>
          </w:p>
        </w:tc>
        <w:tc>
          <w:tcPr>
            <w:tcW w:w="1186" w:type="dxa"/>
            <w:tcBorders>
              <w:left w:val="single" w:sz="4" w:space="0" w:color="auto"/>
              <w:right w:val="single" w:sz="4" w:space="0" w:color="auto"/>
            </w:tcBorders>
            <w:shd w:val="clear" w:color="000000" w:fill="FFFFFF"/>
          </w:tcPr>
          <w:p w14:paraId="5AEB528F" w14:textId="4AB72122" w:rsidR="005100E5" w:rsidRDefault="005100E5" w:rsidP="005100E5">
            <w:pPr>
              <w:keepLines w:val="0"/>
              <w:widowControl/>
              <w:jc w:val="right"/>
              <w:rPr>
                <w:rFonts w:ascii="Cambria" w:hAnsi="Cambria"/>
                <w:sz w:val="20"/>
                <w:lang w:val="es-ES"/>
              </w:rPr>
            </w:pPr>
            <w:r>
              <w:rPr>
                <w:rFonts w:ascii="Cambria" w:hAnsi="Cambria"/>
                <w:sz w:val="20"/>
                <w:lang w:val="es-ES"/>
              </w:rPr>
              <w:t>162</w:t>
            </w:r>
          </w:p>
        </w:tc>
      </w:tr>
      <w:tr w:rsidR="005100E5" w:rsidRPr="00F8465B" w14:paraId="1EE02E30" w14:textId="77777777" w:rsidTr="00BD245D">
        <w:trPr>
          <w:trHeight w:val="255"/>
          <w:jc w:val="center"/>
        </w:trPr>
        <w:tc>
          <w:tcPr>
            <w:tcW w:w="5529" w:type="dxa"/>
            <w:tcBorders>
              <w:left w:val="single" w:sz="8" w:space="0" w:color="auto"/>
              <w:right w:val="single" w:sz="4" w:space="0" w:color="auto"/>
            </w:tcBorders>
            <w:shd w:val="clear" w:color="auto" w:fill="auto"/>
          </w:tcPr>
          <w:p w14:paraId="2A324F09" w14:textId="4C144FBA" w:rsidR="005100E5" w:rsidRDefault="005100E5" w:rsidP="005100E5">
            <w:pPr>
              <w:keepLines w:val="0"/>
              <w:widowControl/>
              <w:jc w:val="left"/>
              <w:rPr>
                <w:rFonts w:ascii="Cambria" w:hAnsi="Cambria"/>
                <w:sz w:val="20"/>
                <w:lang w:val="es-ES"/>
              </w:rPr>
            </w:pPr>
            <w:r>
              <w:rPr>
                <w:rFonts w:ascii="Cambria" w:hAnsi="Cambria"/>
                <w:sz w:val="20"/>
                <w:lang w:val="es-ES"/>
              </w:rPr>
              <w:t>Cuota positiva en concepto de I.S a pagar a S.E.P.I.</w:t>
            </w:r>
          </w:p>
        </w:tc>
        <w:tc>
          <w:tcPr>
            <w:tcW w:w="992" w:type="dxa"/>
            <w:tcBorders>
              <w:left w:val="single" w:sz="4" w:space="0" w:color="auto"/>
              <w:right w:val="single" w:sz="4" w:space="0" w:color="auto"/>
            </w:tcBorders>
            <w:shd w:val="clear" w:color="000000" w:fill="FFFFFF"/>
          </w:tcPr>
          <w:p w14:paraId="670EE116" w14:textId="7AC49EEF" w:rsidR="005100E5" w:rsidRPr="00172475" w:rsidRDefault="00172475" w:rsidP="005100E5">
            <w:pPr>
              <w:keepLines w:val="0"/>
              <w:widowControl/>
              <w:jc w:val="center"/>
              <w:rPr>
                <w:rFonts w:ascii="Cambria" w:hAnsi="Cambria"/>
                <w:sz w:val="20"/>
                <w:lang w:val="es-ES"/>
              </w:rPr>
            </w:pPr>
            <w:r w:rsidRPr="00172475">
              <w:rPr>
                <w:rFonts w:ascii="Cambria" w:hAnsi="Cambria"/>
                <w:sz w:val="20"/>
                <w:lang w:val="es-ES"/>
              </w:rPr>
              <w:t>-</w:t>
            </w:r>
          </w:p>
        </w:tc>
        <w:tc>
          <w:tcPr>
            <w:tcW w:w="1186" w:type="dxa"/>
            <w:tcBorders>
              <w:left w:val="single" w:sz="4" w:space="0" w:color="auto"/>
              <w:right w:val="single" w:sz="4" w:space="0" w:color="auto"/>
            </w:tcBorders>
            <w:shd w:val="clear" w:color="000000" w:fill="FFFFFF"/>
          </w:tcPr>
          <w:p w14:paraId="58E96A64" w14:textId="6E7EF076" w:rsidR="005100E5" w:rsidRDefault="005100E5" w:rsidP="005100E5">
            <w:pPr>
              <w:keepLines w:val="0"/>
              <w:widowControl/>
              <w:jc w:val="right"/>
              <w:rPr>
                <w:rFonts w:ascii="Cambria" w:hAnsi="Cambria"/>
                <w:sz w:val="20"/>
                <w:lang w:val="es-ES"/>
              </w:rPr>
            </w:pPr>
            <w:r>
              <w:rPr>
                <w:rFonts w:ascii="Cambria" w:hAnsi="Cambria"/>
                <w:sz w:val="20"/>
                <w:lang w:val="es-ES"/>
              </w:rPr>
              <w:t>403</w:t>
            </w:r>
          </w:p>
        </w:tc>
      </w:tr>
      <w:tr w:rsidR="005100E5" w:rsidRPr="00F8465B" w14:paraId="06A278DD" w14:textId="77777777" w:rsidTr="00BD245D">
        <w:trPr>
          <w:trHeight w:val="255"/>
          <w:jc w:val="center"/>
        </w:trPr>
        <w:tc>
          <w:tcPr>
            <w:tcW w:w="5529" w:type="dxa"/>
            <w:tcBorders>
              <w:left w:val="single" w:sz="8" w:space="0" w:color="auto"/>
              <w:bottom w:val="single" w:sz="4" w:space="0" w:color="auto"/>
              <w:right w:val="single" w:sz="4" w:space="0" w:color="auto"/>
            </w:tcBorders>
            <w:shd w:val="clear" w:color="auto" w:fill="auto"/>
          </w:tcPr>
          <w:p w14:paraId="7E4BD651" w14:textId="5D67BCD2" w:rsidR="005100E5" w:rsidRPr="00821170" w:rsidRDefault="005100E5" w:rsidP="005100E5">
            <w:pPr>
              <w:keepLines w:val="0"/>
              <w:widowControl/>
              <w:jc w:val="left"/>
              <w:rPr>
                <w:rFonts w:ascii="Cambria" w:hAnsi="Cambria"/>
                <w:sz w:val="20"/>
                <w:lang w:val="es-ES"/>
              </w:rPr>
            </w:pPr>
            <w:r>
              <w:rPr>
                <w:rFonts w:ascii="Cambria" w:hAnsi="Cambria"/>
                <w:sz w:val="20"/>
                <w:lang w:val="es-ES"/>
              </w:rPr>
              <w:t>Deuda regularización fiscal – S.E.P.I. (Nota 12.2)</w:t>
            </w:r>
          </w:p>
        </w:tc>
        <w:tc>
          <w:tcPr>
            <w:tcW w:w="992" w:type="dxa"/>
            <w:tcBorders>
              <w:left w:val="single" w:sz="4" w:space="0" w:color="auto"/>
              <w:bottom w:val="single" w:sz="4" w:space="0" w:color="auto"/>
              <w:right w:val="single" w:sz="4" w:space="0" w:color="auto"/>
            </w:tcBorders>
            <w:shd w:val="clear" w:color="000000" w:fill="FFFFFF"/>
          </w:tcPr>
          <w:p w14:paraId="3E69DDCF" w14:textId="65436148" w:rsidR="005100E5" w:rsidRPr="00172475" w:rsidRDefault="005100E5" w:rsidP="005100E5">
            <w:pPr>
              <w:keepLines w:val="0"/>
              <w:widowControl/>
              <w:jc w:val="center"/>
              <w:rPr>
                <w:rFonts w:ascii="Cambria" w:hAnsi="Cambria"/>
                <w:sz w:val="20"/>
                <w:lang w:val="es-ES"/>
              </w:rPr>
            </w:pPr>
            <w:r w:rsidRPr="00172475">
              <w:rPr>
                <w:rFonts w:ascii="Cambria" w:hAnsi="Cambria"/>
                <w:sz w:val="20"/>
                <w:lang w:val="es-ES"/>
              </w:rPr>
              <w:t>-</w:t>
            </w:r>
          </w:p>
        </w:tc>
        <w:tc>
          <w:tcPr>
            <w:tcW w:w="1186" w:type="dxa"/>
            <w:tcBorders>
              <w:left w:val="single" w:sz="4" w:space="0" w:color="auto"/>
              <w:bottom w:val="single" w:sz="4" w:space="0" w:color="auto"/>
              <w:right w:val="single" w:sz="4" w:space="0" w:color="auto"/>
            </w:tcBorders>
            <w:shd w:val="clear" w:color="000000" w:fill="FFFFFF"/>
          </w:tcPr>
          <w:p w14:paraId="4FED0A9C" w14:textId="16DBDA47" w:rsidR="005100E5" w:rsidRDefault="005100E5" w:rsidP="005100E5">
            <w:pPr>
              <w:keepLines w:val="0"/>
              <w:widowControl/>
              <w:jc w:val="right"/>
              <w:rPr>
                <w:rFonts w:ascii="Cambria" w:hAnsi="Cambria"/>
                <w:sz w:val="20"/>
                <w:lang w:val="es-ES"/>
              </w:rPr>
            </w:pPr>
            <w:r>
              <w:rPr>
                <w:rFonts w:ascii="Cambria" w:hAnsi="Cambria"/>
                <w:sz w:val="20"/>
                <w:lang w:val="es-ES"/>
              </w:rPr>
              <w:t>868</w:t>
            </w:r>
          </w:p>
        </w:tc>
      </w:tr>
      <w:tr w:rsidR="005100E5" w:rsidRPr="00F8465B" w14:paraId="1E202C8F" w14:textId="77777777" w:rsidTr="005100E5">
        <w:trPr>
          <w:trHeight w:val="255"/>
          <w:jc w:val="center"/>
        </w:trPr>
        <w:tc>
          <w:tcPr>
            <w:tcW w:w="5529" w:type="dxa"/>
            <w:tcBorders>
              <w:top w:val="single" w:sz="4" w:space="0" w:color="auto"/>
              <w:left w:val="single" w:sz="4" w:space="0" w:color="auto"/>
              <w:bottom w:val="single" w:sz="4" w:space="0" w:color="auto"/>
              <w:right w:val="single" w:sz="4" w:space="0" w:color="auto"/>
            </w:tcBorders>
            <w:shd w:val="clear" w:color="000000" w:fill="FFFFFF"/>
          </w:tcPr>
          <w:p w14:paraId="51983992" w14:textId="26801BDF" w:rsidR="005100E5" w:rsidRDefault="005100E5" w:rsidP="005100E5">
            <w:pPr>
              <w:keepLines w:val="0"/>
              <w:widowControl/>
              <w:jc w:val="left"/>
              <w:rPr>
                <w:rFonts w:ascii="Cambria" w:hAnsi="Cambria"/>
                <w:b/>
                <w:sz w:val="20"/>
                <w:lang w:val="es-ES"/>
              </w:rPr>
            </w:pPr>
            <w:r>
              <w:rPr>
                <w:rFonts w:ascii="Cambria" w:hAnsi="Cambria"/>
                <w:b/>
                <w:sz w:val="20"/>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7E57A24" w14:textId="2965BE43" w:rsidR="005100E5" w:rsidRPr="00172475" w:rsidRDefault="00172475" w:rsidP="005100E5">
            <w:pPr>
              <w:keepLines w:val="0"/>
              <w:widowControl/>
              <w:jc w:val="center"/>
              <w:rPr>
                <w:rFonts w:ascii="Cambria" w:hAnsi="Cambria"/>
                <w:b/>
                <w:sz w:val="20"/>
                <w:lang w:val="es-ES"/>
              </w:rPr>
            </w:pPr>
            <w:r w:rsidRPr="00172475">
              <w:rPr>
                <w:rFonts w:ascii="Cambria" w:hAnsi="Cambria"/>
                <w:b/>
                <w:sz w:val="20"/>
                <w:lang w:val="es-ES"/>
              </w:rPr>
              <w:t>-</w:t>
            </w:r>
          </w:p>
        </w:tc>
        <w:tc>
          <w:tcPr>
            <w:tcW w:w="1186" w:type="dxa"/>
            <w:tcBorders>
              <w:top w:val="single" w:sz="4" w:space="0" w:color="auto"/>
              <w:left w:val="single" w:sz="4" w:space="0" w:color="auto"/>
              <w:bottom w:val="single" w:sz="4" w:space="0" w:color="auto"/>
              <w:right w:val="single" w:sz="4" w:space="0" w:color="auto"/>
            </w:tcBorders>
            <w:shd w:val="clear" w:color="000000" w:fill="FFFFFF"/>
          </w:tcPr>
          <w:p w14:paraId="1024F69A" w14:textId="0B518F91" w:rsidR="005100E5" w:rsidRDefault="005100E5" w:rsidP="005100E5">
            <w:pPr>
              <w:keepLines w:val="0"/>
              <w:widowControl/>
              <w:jc w:val="right"/>
              <w:rPr>
                <w:rFonts w:ascii="Cambria" w:hAnsi="Cambria"/>
                <w:b/>
                <w:sz w:val="20"/>
                <w:lang w:val="es-ES"/>
              </w:rPr>
            </w:pPr>
            <w:r>
              <w:rPr>
                <w:rFonts w:ascii="Cambria" w:hAnsi="Cambria"/>
                <w:b/>
                <w:sz w:val="20"/>
                <w:lang w:val="es-ES"/>
              </w:rPr>
              <w:t>1.433</w:t>
            </w:r>
          </w:p>
        </w:tc>
      </w:tr>
    </w:tbl>
    <w:p w14:paraId="458B804D" w14:textId="48053D44" w:rsidR="003D63B9" w:rsidRDefault="003D63B9" w:rsidP="006B3D41">
      <w:pPr>
        <w:pStyle w:val="Ttulo2"/>
        <w:keepNext/>
        <w:ind w:left="426"/>
        <w:rPr>
          <w:rFonts w:ascii="Cambria" w:hAnsi="Cambria"/>
          <w:sz w:val="24"/>
          <w:szCs w:val="24"/>
        </w:rPr>
      </w:pPr>
    </w:p>
    <w:p w14:paraId="0C0C222A" w14:textId="77777777" w:rsidR="003D63B9" w:rsidRDefault="003D63B9">
      <w:pPr>
        <w:keepLines w:val="0"/>
        <w:widowControl/>
        <w:jc w:val="left"/>
        <w:rPr>
          <w:rFonts w:ascii="Cambria" w:hAnsi="Cambria"/>
          <w:b/>
          <w:sz w:val="24"/>
          <w:szCs w:val="24"/>
        </w:rPr>
      </w:pPr>
      <w:r>
        <w:rPr>
          <w:rFonts w:ascii="Cambria" w:hAnsi="Cambria"/>
          <w:sz w:val="24"/>
          <w:szCs w:val="24"/>
        </w:rPr>
        <w:br w:type="page"/>
      </w:r>
    </w:p>
    <w:p w14:paraId="4C327D7F" w14:textId="77777777" w:rsidR="006B3D41" w:rsidRPr="00F8465B" w:rsidRDefault="006B3D41" w:rsidP="006B3D41">
      <w:pPr>
        <w:pStyle w:val="Ttulo2"/>
        <w:keepNext/>
        <w:ind w:left="426"/>
        <w:rPr>
          <w:rFonts w:ascii="Cambria" w:hAnsi="Cambria"/>
          <w:sz w:val="24"/>
          <w:szCs w:val="24"/>
        </w:rPr>
      </w:pPr>
    </w:p>
    <w:p w14:paraId="13C5E8D6" w14:textId="4AFAF46F" w:rsidR="00D3661F" w:rsidRPr="00F8465B" w:rsidRDefault="00601686" w:rsidP="00CF2719">
      <w:pPr>
        <w:pStyle w:val="Ttulo2"/>
        <w:keepNext/>
        <w:ind w:left="567"/>
        <w:rPr>
          <w:rFonts w:ascii="Cambria" w:hAnsi="Cambria"/>
          <w:sz w:val="24"/>
          <w:szCs w:val="24"/>
        </w:rPr>
      </w:pPr>
      <w:bookmarkStart w:id="9" w:name="_Hlk63936435"/>
      <w:r w:rsidRPr="00F8465B">
        <w:rPr>
          <w:rFonts w:ascii="Cambria" w:hAnsi="Cambria"/>
          <w:sz w:val="24"/>
          <w:szCs w:val="24"/>
        </w:rPr>
        <w:t>1</w:t>
      </w:r>
      <w:r w:rsidR="002C5320" w:rsidRPr="00F8465B">
        <w:rPr>
          <w:rFonts w:ascii="Cambria" w:hAnsi="Cambria"/>
          <w:sz w:val="24"/>
          <w:szCs w:val="24"/>
        </w:rPr>
        <w:t>0</w:t>
      </w:r>
      <w:r w:rsidR="00D3661F" w:rsidRPr="00F8465B">
        <w:rPr>
          <w:rFonts w:ascii="Cambria" w:hAnsi="Cambria"/>
          <w:sz w:val="24"/>
          <w:szCs w:val="24"/>
        </w:rPr>
        <w:t xml:space="preserve">.2 Operaciones con </w:t>
      </w:r>
      <w:r w:rsidR="007963D3">
        <w:rPr>
          <w:rFonts w:ascii="Cambria" w:hAnsi="Cambria"/>
          <w:sz w:val="24"/>
          <w:szCs w:val="24"/>
        </w:rPr>
        <w:t xml:space="preserve">partes </w:t>
      </w:r>
      <w:r w:rsidR="00D3661F" w:rsidRPr="00F8465B">
        <w:rPr>
          <w:rFonts w:ascii="Cambria" w:hAnsi="Cambria"/>
          <w:sz w:val="24"/>
          <w:szCs w:val="24"/>
        </w:rPr>
        <w:t>vinculadas</w:t>
      </w:r>
    </w:p>
    <w:p w14:paraId="2A820B92" w14:textId="77777777" w:rsidR="00D3661F" w:rsidRPr="00F8465B" w:rsidRDefault="00D3661F" w:rsidP="00CF2719">
      <w:pPr>
        <w:pStyle w:val="Ttulo1a"/>
        <w:ind w:left="567"/>
        <w:rPr>
          <w:rFonts w:ascii="Cambria" w:hAnsi="Cambria"/>
          <w:sz w:val="24"/>
          <w:szCs w:val="24"/>
        </w:rPr>
      </w:pPr>
    </w:p>
    <w:p w14:paraId="5A02B1DC" w14:textId="72781D58" w:rsidR="00D3661F" w:rsidRPr="00F8465B" w:rsidRDefault="00193DA0" w:rsidP="00CF2719">
      <w:pPr>
        <w:pStyle w:val="Ttulo1a"/>
        <w:ind w:left="567"/>
        <w:rPr>
          <w:rFonts w:ascii="Cambria" w:hAnsi="Cambria"/>
          <w:sz w:val="24"/>
          <w:szCs w:val="24"/>
        </w:rPr>
      </w:pPr>
      <w:r w:rsidRPr="00F8465B">
        <w:rPr>
          <w:rFonts w:ascii="Cambria" w:hAnsi="Cambria"/>
          <w:sz w:val="24"/>
          <w:szCs w:val="24"/>
        </w:rPr>
        <w:t>Las principales transacciones realizadas con empresas</w:t>
      </w:r>
      <w:r w:rsidR="00D3661F" w:rsidRPr="00F8465B">
        <w:rPr>
          <w:rFonts w:ascii="Cambria" w:hAnsi="Cambria"/>
          <w:sz w:val="24"/>
          <w:szCs w:val="24"/>
        </w:rPr>
        <w:t xml:space="preserve"> del Grupo S.E.P.I.</w:t>
      </w:r>
      <w:r w:rsidR="001D52F3" w:rsidRPr="00F8465B">
        <w:rPr>
          <w:rFonts w:ascii="Cambria" w:hAnsi="Cambria"/>
          <w:sz w:val="24"/>
          <w:szCs w:val="24"/>
        </w:rPr>
        <w:t>,</w:t>
      </w:r>
      <w:r w:rsidR="00D3661F" w:rsidRPr="00F8465B">
        <w:rPr>
          <w:rFonts w:ascii="Cambria" w:hAnsi="Cambria"/>
          <w:sz w:val="24"/>
          <w:szCs w:val="24"/>
        </w:rPr>
        <w:t xml:space="preserve"> </w:t>
      </w:r>
      <w:r w:rsidR="00F634C5" w:rsidRPr="00F8465B">
        <w:rPr>
          <w:rFonts w:ascii="Cambria" w:hAnsi="Cambria"/>
          <w:sz w:val="24"/>
          <w:szCs w:val="24"/>
        </w:rPr>
        <w:t>durante los ejercicios 20</w:t>
      </w:r>
      <w:r w:rsidR="00D9153F">
        <w:rPr>
          <w:rFonts w:ascii="Cambria" w:hAnsi="Cambria"/>
          <w:sz w:val="24"/>
          <w:szCs w:val="24"/>
        </w:rPr>
        <w:t>20</w:t>
      </w:r>
      <w:r w:rsidR="00F634C5" w:rsidRPr="00F8465B">
        <w:rPr>
          <w:rFonts w:ascii="Cambria" w:hAnsi="Cambria"/>
          <w:sz w:val="24"/>
          <w:szCs w:val="24"/>
        </w:rPr>
        <w:t xml:space="preserve"> y 20</w:t>
      </w:r>
      <w:r w:rsidR="000E1CBB" w:rsidRPr="00F8465B">
        <w:rPr>
          <w:rFonts w:ascii="Cambria" w:hAnsi="Cambria"/>
          <w:sz w:val="24"/>
          <w:szCs w:val="24"/>
        </w:rPr>
        <w:t>1</w:t>
      </w:r>
      <w:r w:rsidR="00D9153F">
        <w:rPr>
          <w:rFonts w:ascii="Cambria" w:hAnsi="Cambria"/>
          <w:sz w:val="24"/>
          <w:szCs w:val="24"/>
        </w:rPr>
        <w:t>9</w:t>
      </w:r>
      <w:r w:rsidR="001D52F3" w:rsidRPr="00F8465B">
        <w:rPr>
          <w:rFonts w:ascii="Cambria" w:hAnsi="Cambria"/>
          <w:sz w:val="24"/>
          <w:szCs w:val="24"/>
        </w:rPr>
        <w:t>,</w:t>
      </w:r>
      <w:r w:rsidR="00F634C5" w:rsidRPr="00F8465B">
        <w:rPr>
          <w:rFonts w:ascii="Cambria" w:hAnsi="Cambria"/>
          <w:sz w:val="24"/>
          <w:szCs w:val="24"/>
        </w:rPr>
        <w:t xml:space="preserve"> son </w:t>
      </w:r>
      <w:r w:rsidR="00D3661F" w:rsidRPr="00F8465B">
        <w:rPr>
          <w:rFonts w:ascii="Cambria" w:hAnsi="Cambria"/>
          <w:sz w:val="24"/>
          <w:szCs w:val="24"/>
        </w:rPr>
        <w:t>las siguientes</w:t>
      </w:r>
      <w:r w:rsidR="00A35BF7" w:rsidRPr="00F8465B">
        <w:rPr>
          <w:rFonts w:ascii="Cambria" w:hAnsi="Cambria"/>
          <w:sz w:val="24"/>
          <w:szCs w:val="24"/>
        </w:rPr>
        <w:t xml:space="preserve"> (en </w:t>
      </w:r>
      <w:r w:rsidR="005E43ED" w:rsidRPr="00F8465B">
        <w:rPr>
          <w:rFonts w:ascii="Cambria" w:hAnsi="Cambria"/>
          <w:sz w:val="24"/>
          <w:szCs w:val="24"/>
        </w:rPr>
        <w:t xml:space="preserve">miles de </w:t>
      </w:r>
      <w:r w:rsidR="00A35BF7" w:rsidRPr="00F8465B">
        <w:rPr>
          <w:rFonts w:ascii="Cambria" w:hAnsi="Cambria"/>
          <w:sz w:val="24"/>
          <w:szCs w:val="24"/>
        </w:rPr>
        <w:t>euros)</w:t>
      </w:r>
      <w:r w:rsidR="00D3661F" w:rsidRPr="00F8465B">
        <w:rPr>
          <w:rFonts w:ascii="Cambria" w:hAnsi="Cambria"/>
          <w:sz w:val="24"/>
          <w:szCs w:val="24"/>
        </w:rPr>
        <w:t>:</w:t>
      </w:r>
    </w:p>
    <w:p w14:paraId="346E2C40" w14:textId="2A227F8A" w:rsidR="00751398" w:rsidRPr="00F8465B" w:rsidRDefault="00751398" w:rsidP="00751398"/>
    <w:tbl>
      <w:tblPr>
        <w:tblW w:w="7938" w:type="dxa"/>
        <w:jc w:val="center"/>
        <w:tblCellMar>
          <w:left w:w="70" w:type="dxa"/>
          <w:right w:w="70" w:type="dxa"/>
        </w:tblCellMar>
        <w:tblLook w:val="04A0" w:firstRow="1" w:lastRow="0" w:firstColumn="1" w:lastColumn="0" w:noHBand="0" w:noVBand="1"/>
      </w:tblPr>
      <w:tblGrid>
        <w:gridCol w:w="5812"/>
        <w:gridCol w:w="1134"/>
        <w:gridCol w:w="992"/>
      </w:tblGrid>
      <w:tr w:rsidR="00D9153F" w:rsidRPr="00F8465B" w14:paraId="67935AD1" w14:textId="77777777" w:rsidTr="00D9153F">
        <w:trPr>
          <w:trHeight w:val="255"/>
          <w:jc w:val="center"/>
        </w:trPr>
        <w:tc>
          <w:tcPr>
            <w:tcW w:w="5812" w:type="dxa"/>
            <w:tcBorders>
              <w:top w:val="nil"/>
              <w:left w:val="nil"/>
              <w:bottom w:val="single" w:sz="8" w:space="0" w:color="auto"/>
              <w:right w:val="single" w:sz="4" w:space="0" w:color="auto"/>
            </w:tcBorders>
            <w:shd w:val="clear" w:color="000000" w:fill="FFFFFF"/>
            <w:noWrap/>
            <w:vAlign w:val="bottom"/>
          </w:tcPr>
          <w:p w14:paraId="01A4593D" w14:textId="77777777" w:rsidR="00D9153F" w:rsidRPr="00F8465B" w:rsidRDefault="00D9153F" w:rsidP="00D9153F">
            <w:pPr>
              <w:keepLines w:val="0"/>
              <w:widowControl/>
              <w:jc w:val="center"/>
              <w:rPr>
                <w:rFonts w:ascii="Cambria" w:hAnsi="Cambria"/>
                <w:color w:val="000000"/>
                <w:sz w:val="20"/>
                <w:lang w:val="es-ES"/>
              </w:rPr>
            </w:pPr>
            <w:r w:rsidRPr="00F8465B">
              <w:rPr>
                <w:rFonts w:ascii="Cambria" w:hAnsi="Cambria"/>
                <w:sz w:val="24"/>
                <w:szCs w:val="24"/>
              </w:rPr>
              <w:br w:type="page"/>
            </w:r>
            <w:r w:rsidRPr="00F8465B">
              <w:rPr>
                <w:rFonts w:ascii="Cambria" w:hAnsi="Cambria"/>
                <w:color w:val="000000"/>
                <w:sz w:val="20"/>
                <w:lang w:val="es-ES"/>
              </w:rPr>
              <w:t> </w:t>
            </w:r>
          </w:p>
        </w:tc>
        <w:tc>
          <w:tcPr>
            <w:tcW w:w="1134" w:type="dxa"/>
            <w:tcBorders>
              <w:top w:val="single" w:sz="4" w:space="0" w:color="auto"/>
              <w:left w:val="single" w:sz="4" w:space="0" w:color="auto"/>
              <w:bottom w:val="single" w:sz="8" w:space="0" w:color="auto"/>
              <w:right w:val="single" w:sz="4" w:space="0" w:color="auto"/>
            </w:tcBorders>
            <w:shd w:val="clear" w:color="auto" w:fill="auto"/>
          </w:tcPr>
          <w:p w14:paraId="19001F4D" w14:textId="69B4E36D" w:rsidR="00D9153F" w:rsidRPr="00196D54" w:rsidRDefault="00D9153F" w:rsidP="00D9153F">
            <w:pPr>
              <w:keepLines w:val="0"/>
              <w:widowControl/>
              <w:jc w:val="center"/>
              <w:rPr>
                <w:rFonts w:ascii="Cambria" w:hAnsi="Cambria"/>
                <w:b/>
                <w:bCs/>
                <w:snapToGrid w:val="0"/>
                <w:color w:val="000000"/>
                <w:sz w:val="20"/>
                <w:lang w:val="es-ES"/>
              </w:rPr>
            </w:pPr>
            <w:r w:rsidRPr="008007E8">
              <w:rPr>
                <w:rFonts w:ascii="Cambria" w:hAnsi="Cambria"/>
                <w:b/>
                <w:bCs/>
                <w:snapToGrid w:val="0"/>
                <w:color w:val="000000"/>
                <w:sz w:val="20"/>
                <w:lang w:val="es-ES"/>
              </w:rPr>
              <w:t>20</w:t>
            </w:r>
            <w:r>
              <w:rPr>
                <w:rFonts w:ascii="Cambria" w:hAnsi="Cambria"/>
                <w:b/>
                <w:bCs/>
                <w:snapToGrid w:val="0"/>
                <w:color w:val="000000"/>
                <w:sz w:val="20"/>
                <w:lang w:val="es-ES"/>
              </w:rPr>
              <w:t>20</w:t>
            </w:r>
          </w:p>
        </w:tc>
        <w:tc>
          <w:tcPr>
            <w:tcW w:w="992" w:type="dxa"/>
            <w:tcBorders>
              <w:top w:val="single" w:sz="8" w:space="0" w:color="auto"/>
              <w:left w:val="single" w:sz="4" w:space="0" w:color="auto"/>
              <w:bottom w:val="single" w:sz="8" w:space="0" w:color="auto"/>
              <w:right w:val="single" w:sz="4" w:space="0" w:color="auto"/>
            </w:tcBorders>
          </w:tcPr>
          <w:p w14:paraId="27F78CF2" w14:textId="5159F90E" w:rsidR="00D9153F" w:rsidRPr="00196D54" w:rsidRDefault="00D9153F" w:rsidP="00D9153F">
            <w:pPr>
              <w:keepLines w:val="0"/>
              <w:widowControl/>
              <w:jc w:val="center"/>
              <w:rPr>
                <w:rFonts w:ascii="Cambria" w:hAnsi="Cambria"/>
                <w:b/>
                <w:bCs/>
                <w:snapToGrid w:val="0"/>
                <w:color w:val="000000"/>
                <w:sz w:val="20"/>
                <w:lang w:val="es-ES"/>
              </w:rPr>
            </w:pPr>
            <w:r w:rsidRPr="008007E8">
              <w:rPr>
                <w:rFonts w:ascii="Cambria" w:hAnsi="Cambria"/>
                <w:b/>
                <w:bCs/>
                <w:snapToGrid w:val="0"/>
                <w:color w:val="000000"/>
                <w:sz w:val="20"/>
                <w:lang w:val="es-ES"/>
              </w:rPr>
              <w:t>2019</w:t>
            </w:r>
          </w:p>
        </w:tc>
      </w:tr>
      <w:tr w:rsidR="00A57B01" w:rsidRPr="00F8465B" w14:paraId="03AB26DF" w14:textId="77777777" w:rsidTr="00D9153F">
        <w:trPr>
          <w:trHeight w:val="255"/>
          <w:jc w:val="center"/>
        </w:trPr>
        <w:tc>
          <w:tcPr>
            <w:tcW w:w="5812" w:type="dxa"/>
            <w:tcBorders>
              <w:top w:val="nil"/>
              <w:left w:val="single" w:sz="8" w:space="0" w:color="auto"/>
              <w:bottom w:val="nil"/>
              <w:right w:val="single" w:sz="4" w:space="0" w:color="auto"/>
            </w:tcBorders>
            <w:shd w:val="clear" w:color="000000" w:fill="FFFFFF"/>
          </w:tcPr>
          <w:p w14:paraId="1B0FEAD8" w14:textId="77777777" w:rsidR="00A57B01" w:rsidRPr="00A57B01" w:rsidRDefault="00A57B01" w:rsidP="00A57B01">
            <w:pPr>
              <w:keepLines w:val="0"/>
              <w:widowControl/>
              <w:jc w:val="left"/>
              <w:rPr>
                <w:rFonts w:ascii="Cambria" w:hAnsi="Cambria"/>
                <w:b/>
                <w:bCs/>
                <w:color w:val="000000"/>
                <w:sz w:val="20"/>
                <w:lang w:val="es-ES"/>
              </w:rPr>
            </w:pPr>
            <w:r w:rsidRPr="00A57B01">
              <w:rPr>
                <w:rFonts w:ascii="Cambria" w:hAnsi="Cambria"/>
                <w:b/>
                <w:bCs/>
                <w:color w:val="000000"/>
                <w:sz w:val="20"/>
                <w:lang w:val="es-ES"/>
              </w:rPr>
              <w:t xml:space="preserve">Prestación de Servicios de Administración </w:t>
            </w:r>
          </w:p>
        </w:tc>
        <w:tc>
          <w:tcPr>
            <w:tcW w:w="1134" w:type="dxa"/>
            <w:tcBorders>
              <w:top w:val="nil"/>
              <w:left w:val="single" w:sz="4" w:space="0" w:color="auto"/>
              <w:bottom w:val="nil"/>
              <w:right w:val="single" w:sz="4" w:space="0" w:color="auto"/>
            </w:tcBorders>
            <w:shd w:val="clear" w:color="000000" w:fill="FFFFFF"/>
          </w:tcPr>
          <w:p w14:paraId="4CB11345" w14:textId="158BC73F" w:rsidR="00A57B01" w:rsidRPr="00A57B01" w:rsidRDefault="00A57B01" w:rsidP="00A57B01">
            <w:pPr>
              <w:keepLines w:val="0"/>
              <w:widowControl/>
              <w:jc w:val="right"/>
              <w:rPr>
                <w:rFonts w:ascii="Cambria" w:hAnsi="Cambria"/>
                <w:b/>
                <w:bCs/>
                <w:sz w:val="20"/>
                <w:lang w:val="es-ES"/>
              </w:rPr>
            </w:pPr>
            <w:r w:rsidRPr="00A57B01">
              <w:rPr>
                <w:rFonts w:ascii="Cambria" w:hAnsi="Cambria"/>
                <w:b/>
                <w:bCs/>
                <w:sz w:val="20"/>
                <w:lang w:val="es-ES"/>
              </w:rPr>
              <w:t>777</w:t>
            </w:r>
          </w:p>
        </w:tc>
        <w:tc>
          <w:tcPr>
            <w:tcW w:w="992" w:type="dxa"/>
            <w:tcBorders>
              <w:top w:val="nil"/>
              <w:left w:val="single" w:sz="4" w:space="0" w:color="auto"/>
              <w:bottom w:val="nil"/>
              <w:right w:val="single" w:sz="4" w:space="0" w:color="auto"/>
            </w:tcBorders>
            <w:shd w:val="clear" w:color="000000" w:fill="FFFFFF"/>
          </w:tcPr>
          <w:p w14:paraId="5D251D00" w14:textId="03B46F7F" w:rsidR="00A57B01" w:rsidRPr="00A57B01" w:rsidRDefault="00A57B01" w:rsidP="00A57B01">
            <w:pPr>
              <w:keepLines w:val="0"/>
              <w:widowControl/>
              <w:jc w:val="right"/>
              <w:rPr>
                <w:rFonts w:ascii="Cambria" w:hAnsi="Cambria"/>
                <w:b/>
                <w:bCs/>
                <w:sz w:val="20"/>
                <w:lang w:val="es-ES"/>
              </w:rPr>
            </w:pPr>
            <w:r w:rsidRPr="00A57B01">
              <w:rPr>
                <w:rFonts w:ascii="Cambria" w:hAnsi="Cambria"/>
                <w:b/>
                <w:bCs/>
                <w:sz w:val="20"/>
                <w:lang w:val="es-ES"/>
              </w:rPr>
              <w:t>777</w:t>
            </w:r>
          </w:p>
        </w:tc>
      </w:tr>
      <w:tr w:rsidR="00A57B01" w:rsidRPr="00F8465B" w14:paraId="6A51D97C" w14:textId="77777777" w:rsidTr="00D9153F">
        <w:trPr>
          <w:trHeight w:val="255"/>
          <w:jc w:val="center"/>
        </w:trPr>
        <w:tc>
          <w:tcPr>
            <w:tcW w:w="5812" w:type="dxa"/>
            <w:tcBorders>
              <w:top w:val="nil"/>
              <w:left w:val="single" w:sz="8" w:space="0" w:color="auto"/>
              <w:bottom w:val="nil"/>
              <w:right w:val="single" w:sz="4" w:space="0" w:color="auto"/>
            </w:tcBorders>
            <w:shd w:val="clear" w:color="000000" w:fill="FFFFFF"/>
          </w:tcPr>
          <w:p w14:paraId="57FEDD80" w14:textId="77777777" w:rsidR="00A57B01" w:rsidRPr="00A57B01" w:rsidRDefault="00A57B01" w:rsidP="00A57B01">
            <w:pPr>
              <w:keepLines w:val="0"/>
              <w:widowControl/>
              <w:jc w:val="left"/>
              <w:rPr>
                <w:rFonts w:ascii="Cambria" w:hAnsi="Cambria"/>
                <w:color w:val="000000"/>
                <w:sz w:val="20"/>
                <w:lang w:val="es-ES"/>
              </w:rPr>
            </w:pPr>
            <w:r w:rsidRPr="00A57B01">
              <w:rPr>
                <w:rFonts w:ascii="Cambria" w:hAnsi="Cambria"/>
                <w:color w:val="000000"/>
                <w:sz w:val="20"/>
                <w:lang w:val="es-ES"/>
              </w:rPr>
              <w:t>Empresas del Grupo S.E.P.I. (Nota 13.1)</w:t>
            </w:r>
          </w:p>
        </w:tc>
        <w:tc>
          <w:tcPr>
            <w:tcW w:w="1134" w:type="dxa"/>
            <w:tcBorders>
              <w:top w:val="nil"/>
              <w:left w:val="single" w:sz="4" w:space="0" w:color="auto"/>
              <w:bottom w:val="nil"/>
              <w:right w:val="single" w:sz="4" w:space="0" w:color="auto"/>
            </w:tcBorders>
            <w:shd w:val="clear" w:color="000000" w:fill="FFFFFF"/>
          </w:tcPr>
          <w:p w14:paraId="678462F2" w14:textId="2E676C38" w:rsidR="00A57B01" w:rsidRPr="00A57B01" w:rsidRDefault="00A57B01" w:rsidP="00A57B01">
            <w:pPr>
              <w:keepLines w:val="0"/>
              <w:widowControl/>
              <w:jc w:val="right"/>
              <w:rPr>
                <w:rFonts w:ascii="Cambria" w:hAnsi="Cambria"/>
                <w:sz w:val="20"/>
                <w:lang w:val="es-ES"/>
              </w:rPr>
            </w:pPr>
            <w:r w:rsidRPr="00A57B01">
              <w:rPr>
                <w:rFonts w:ascii="Cambria" w:hAnsi="Cambria"/>
                <w:sz w:val="20"/>
                <w:lang w:val="es-ES"/>
              </w:rPr>
              <w:t>777</w:t>
            </w:r>
          </w:p>
        </w:tc>
        <w:tc>
          <w:tcPr>
            <w:tcW w:w="992" w:type="dxa"/>
            <w:tcBorders>
              <w:top w:val="nil"/>
              <w:left w:val="single" w:sz="4" w:space="0" w:color="auto"/>
              <w:bottom w:val="nil"/>
              <w:right w:val="single" w:sz="4" w:space="0" w:color="auto"/>
            </w:tcBorders>
            <w:shd w:val="clear" w:color="000000" w:fill="FFFFFF"/>
          </w:tcPr>
          <w:p w14:paraId="0555245B" w14:textId="3C2613B5" w:rsidR="00A57B01" w:rsidRPr="00A57B01" w:rsidRDefault="00A57B01" w:rsidP="00A57B01">
            <w:pPr>
              <w:keepLines w:val="0"/>
              <w:widowControl/>
              <w:jc w:val="right"/>
              <w:rPr>
                <w:rFonts w:ascii="Cambria" w:hAnsi="Cambria"/>
                <w:sz w:val="20"/>
                <w:lang w:val="es-ES"/>
              </w:rPr>
            </w:pPr>
            <w:r w:rsidRPr="00A57B01">
              <w:rPr>
                <w:rFonts w:ascii="Cambria" w:hAnsi="Cambria"/>
                <w:sz w:val="20"/>
                <w:lang w:val="es-ES"/>
              </w:rPr>
              <w:t>777</w:t>
            </w:r>
          </w:p>
        </w:tc>
      </w:tr>
      <w:tr w:rsidR="00D9153F" w:rsidRPr="00F8465B" w14:paraId="5C150E1D" w14:textId="77777777" w:rsidTr="00D9153F">
        <w:trPr>
          <w:trHeight w:val="255"/>
          <w:jc w:val="center"/>
        </w:trPr>
        <w:tc>
          <w:tcPr>
            <w:tcW w:w="5812" w:type="dxa"/>
            <w:tcBorders>
              <w:top w:val="nil"/>
              <w:left w:val="single" w:sz="8" w:space="0" w:color="auto"/>
              <w:bottom w:val="nil"/>
              <w:right w:val="single" w:sz="4" w:space="0" w:color="auto"/>
            </w:tcBorders>
            <w:shd w:val="clear" w:color="000000" w:fill="FFFFFF"/>
          </w:tcPr>
          <w:p w14:paraId="611169F3" w14:textId="77777777" w:rsidR="00D9153F" w:rsidRPr="00A57B01" w:rsidRDefault="00D9153F" w:rsidP="00D9153F">
            <w:pPr>
              <w:keepLines w:val="0"/>
              <w:widowControl/>
              <w:jc w:val="left"/>
              <w:rPr>
                <w:rFonts w:ascii="Cambria" w:hAnsi="Cambria"/>
                <w:b/>
                <w:bCs/>
                <w:color w:val="000000"/>
                <w:sz w:val="20"/>
                <w:lang w:val="es-ES"/>
              </w:rPr>
            </w:pPr>
            <w:r w:rsidRPr="00A57B01">
              <w:rPr>
                <w:rFonts w:ascii="Cambria" w:hAnsi="Cambria"/>
                <w:b/>
                <w:bCs/>
                <w:color w:val="000000"/>
                <w:sz w:val="20"/>
                <w:lang w:val="es-ES"/>
              </w:rPr>
              <w:t>Intereses de créditos a Empresas del Grupo y vinculadas</w:t>
            </w:r>
          </w:p>
        </w:tc>
        <w:tc>
          <w:tcPr>
            <w:tcW w:w="1134" w:type="dxa"/>
            <w:tcBorders>
              <w:top w:val="nil"/>
              <w:left w:val="single" w:sz="4" w:space="0" w:color="auto"/>
              <w:bottom w:val="nil"/>
              <w:right w:val="single" w:sz="4" w:space="0" w:color="auto"/>
            </w:tcBorders>
            <w:shd w:val="clear" w:color="000000" w:fill="FFFFFF"/>
          </w:tcPr>
          <w:p w14:paraId="741A6B70" w14:textId="1205A863" w:rsidR="00D9153F" w:rsidRPr="00A57B01" w:rsidRDefault="00D9153F" w:rsidP="00D9153F">
            <w:pPr>
              <w:keepLines w:val="0"/>
              <w:widowControl/>
              <w:jc w:val="center"/>
              <w:rPr>
                <w:rFonts w:ascii="Cambria" w:hAnsi="Cambria"/>
                <w:b/>
                <w:bCs/>
                <w:sz w:val="20"/>
                <w:lang w:val="es-ES"/>
              </w:rPr>
            </w:pPr>
            <w:r w:rsidRPr="00A57B01">
              <w:rPr>
                <w:rFonts w:ascii="Cambria" w:hAnsi="Cambria"/>
                <w:b/>
                <w:bCs/>
                <w:sz w:val="20"/>
                <w:lang w:val="es-ES"/>
              </w:rPr>
              <w:t>-</w:t>
            </w:r>
          </w:p>
        </w:tc>
        <w:tc>
          <w:tcPr>
            <w:tcW w:w="992" w:type="dxa"/>
            <w:tcBorders>
              <w:top w:val="nil"/>
              <w:left w:val="single" w:sz="4" w:space="0" w:color="auto"/>
              <w:bottom w:val="nil"/>
              <w:right w:val="single" w:sz="4" w:space="0" w:color="auto"/>
            </w:tcBorders>
            <w:shd w:val="clear" w:color="000000" w:fill="FFFFFF"/>
          </w:tcPr>
          <w:p w14:paraId="433D22F1" w14:textId="1BCEE5EA" w:rsidR="00D9153F" w:rsidRPr="00A57B01" w:rsidRDefault="00D9153F" w:rsidP="00D9153F">
            <w:pPr>
              <w:keepLines w:val="0"/>
              <w:widowControl/>
              <w:jc w:val="right"/>
              <w:rPr>
                <w:rFonts w:ascii="Cambria" w:hAnsi="Cambria"/>
                <w:b/>
                <w:bCs/>
                <w:sz w:val="20"/>
                <w:lang w:val="es-ES"/>
              </w:rPr>
            </w:pPr>
            <w:r w:rsidRPr="00A57B01">
              <w:rPr>
                <w:rFonts w:ascii="Cambria" w:hAnsi="Cambria"/>
                <w:b/>
                <w:bCs/>
                <w:sz w:val="20"/>
                <w:lang w:val="es-ES"/>
              </w:rPr>
              <w:t>79</w:t>
            </w:r>
          </w:p>
        </w:tc>
      </w:tr>
      <w:tr w:rsidR="00D9153F" w:rsidRPr="00F8465B" w14:paraId="6A89C855" w14:textId="77777777" w:rsidTr="00D9153F">
        <w:trPr>
          <w:trHeight w:val="255"/>
          <w:jc w:val="center"/>
        </w:trPr>
        <w:tc>
          <w:tcPr>
            <w:tcW w:w="5812" w:type="dxa"/>
            <w:tcBorders>
              <w:top w:val="nil"/>
              <w:left w:val="single" w:sz="8" w:space="0" w:color="auto"/>
              <w:bottom w:val="nil"/>
              <w:right w:val="single" w:sz="4" w:space="0" w:color="auto"/>
            </w:tcBorders>
            <w:shd w:val="clear" w:color="000000" w:fill="FFFFFF"/>
            <w:vAlign w:val="bottom"/>
          </w:tcPr>
          <w:p w14:paraId="2ECB4F58" w14:textId="77777777" w:rsidR="00D9153F" w:rsidRPr="00A57B01" w:rsidRDefault="00D9153F" w:rsidP="00D9153F">
            <w:pPr>
              <w:keepLines w:val="0"/>
              <w:widowControl/>
              <w:rPr>
                <w:rFonts w:ascii="Cambria" w:hAnsi="Cambria"/>
                <w:color w:val="000000"/>
                <w:sz w:val="20"/>
                <w:lang w:val="es-ES"/>
              </w:rPr>
            </w:pPr>
            <w:r w:rsidRPr="00A57B01">
              <w:rPr>
                <w:rFonts w:ascii="Cambria" w:hAnsi="Cambria"/>
                <w:color w:val="000000"/>
                <w:sz w:val="20"/>
              </w:rPr>
              <w:t>Crédito – S.E.P.I. (Nota 13.4)</w:t>
            </w:r>
          </w:p>
        </w:tc>
        <w:tc>
          <w:tcPr>
            <w:tcW w:w="1134" w:type="dxa"/>
            <w:tcBorders>
              <w:top w:val="nil"/>
              <w:left w:val="single" w:sz="4" w:space="0" w:color="auto"/>
              <w:bottom w:val="nil"/>
              <w:right w:val="single" w:sz="4" w:space="0" w:color="auto"/>
            </w:tcBorders>
            <w:shd w:val="clear" w:color="000000" w:fill="FFFFFF"/>
          </w:tcPr>
          <w:p w14:paraId="48AFB085" w14:textId="40F1A9A3" w:rsidR="00D9153F" w:rsidRPr="00A57B01" w:rsidRDefault="00D9153F" w:rsidP="00D9153F">
            <w:pPr>
              <w:keepLines w:val="0"/>
              <w:widowControl/>
              <w:jc w:val="center"/>
              <w:rPr>
                <w:rFonts w:ascii="Cambria" w:hAnsi="Cambria"/>
                <w:sz w:val="20"/>
                <w:lang w:val="es-ES"/>
              </w:rPr>
            </w:pPr>
            <w:r w:rsidRPr="00A57B01">
              <w:rPr>
                <w:rFonts w:ascii="Cambria" w:hAnsi="Cambria"/>
                <w:sz w:val="20"/>
                <w:lang w:val="es-ES"/>
              </w:rPr>
              <w:t>-</w:t>
            </w:r>
          </w:p>
        </w:tc>
        <w:tc>
          <w:tcPr>
            <w:tcW w:w="992" w:type="dxa"/>
            <w:tcBorders>
              <w:top w:val="nil"/>
              <w:left w:val="single" w:sz="4" w:space="0" w:color="auto"/>
              <w:bottom w:val="nil"/>
              <w:right w:val="single" w:sz="4" w:space="0" w:color="auto"/>
            </w:tcBorders>
            <w:shd w:val="clear" w:color="000000" w:fill="FFFFFF"/>
          </w:tcPr>
          <w:p w14:paraId="0CEB2C85" w14:textId="6B570FB5" w:rsidR="00D9153F" w:rsidRPr="00A57B01" w:rsidRDefault="00D9153F" w:rsidP="00D9153F">
            <w:pPr>
              <w:keepLines w:val="0"/>
              <w:widowControl/>
              <w:jc w:val="right"/>
              <w:rPr>
                <w:rFonts w:ascii="Cambria" w:hAnsi="Cambria"/>
                <w:sz w:val="20"/>
                <w:lang w:val="es-ES"/>
              </w:rPr>
            </w:pPr>
            <w:r w:rsidRPr="00A57B01">
              <w:rPr>
                <w:rFonts w:ascii="Cambria" w:hAnsi="Cambria"/>
                <w:sz w:val="20"/>
                <w:lang w:val="es-ES"/>
              </w:rPr>
              <w:t>79</w:t>
            </w:r>
          </w:p>
        </w:tc>
      </w:tr>
      <w:tr w:rsidR="00D9153F" w:rsidRPr="00F8465B" w14:paraId="73F333BB" w14:textId="77777777" w:rsidTr="00D9153F">
        <w:trPr>
          <w:trHeight w:val="255"/>
          <w:jc w:val="center"/>
        </w:trPr>
        <w:tc>
          <w:tcPr>
            <w:tcW w:w="5812" w:type="dxa"/>
            <w:tcBorders>
              <w:top w:val="nil"/>
              <w:left w:val="single" w:sz="8" w:space="0" w:color="auto"/>
              <w:bottom w:val="nil"/>
              <w:right w:val="single" w:sz="4" w:space="0" w:color="auto"/>
            </w:tcBorders>
            <w:shd w:val="clear" w:color="000000" w:fill="FFFFFF"/>
            <w:vAlign w:val="bottom"/>
          </w:tcPr>
          <w:p w14:paraId="0413C400" w14:textId="77777777" w:rsidR="00D9153F" w:rsidRPr="00A57B01" w:rsidRDefault="00D9153F" w:rsidP="00D9153F">
            <w:pPr>
              <w:keepLines w:val="0"/>
              <w:widowControl/>
              <w:rPr>
                <w:rFonts w:ascii="Cambria" w:hAnsi="Cambria"/>
                <w:b/>
                <w:bCs/>
                <w:color w:val="000000"/>
                <w:sz w:val="20"/>
                <w:lang w:val="es-ES"/>
              </w:rPr>
            </w:pPr>
            <w:r w:rsidRPr="00A57B01">
              <w:rPr>
                <w:rFonts w:ascii="Cambria" w:hAnsi="Cambria"/>
                <w:b/>
                <w:bCs/>
                <w:color w:val="000000"/>
                <w:sz w:val="20"/>
              </w:rPr>
              <w:t>Servicios prestados por empresas del Grupo y vinculadas</w:t>
            </w:r>
          </w:p>
        </w:tc>
        <w:tc>
          <w:tcPr>
            <w:tcW w:w="1134" w:type="dxa"/>
            <w:tcBorders>
              <w:top w:val="nil"/>
              <w:left w:val="single" w:sz="4" w:space="0" w:color="auto"/>
              <w:bottom w:val="nil"/>
              <w:right w:val="single" w:sz="4" w:space="0" w:color="auto"/>
            </w:tcBorders>
            <w:shd w:val="clear" w:color="000000" w:fill="FFFFFF"/>
          </w:tcPr>
          <w:p w14:paraId="0552F3C5" w14:textId="183A9034" w:rsidR="00D9153F" w:rsidRPr="00A57B01" w:rsidRDefault="00E41F3A" w:rsidP="00D9153F">
            <w:pPr>
              <w:keepLines w:val="0"/>
              <w:widowControl/>
              <w:jc w:val="right"/>
              <w:rPr>
                <w:rFonts w:ascii="Cambria" w:hAnsi="Cambria"/>
                <w:b/>
                <w:bCs/>
                <w:sz w:val="20"/>
                <w:lang w:val="es-ES"/>
              </w:rPr>
            </w:pPr>
            <w:r>
              <w:rPr>
                <w:rFonts w:ascii="Cambria" w:hAnsi="Cambria"/>
                <w:b/>
                <w:bCs/>
                <w:sz w:val="20"/>
                <w:lang w:val="es-ES"/>
              </w:rPr>
              <w:t>(20)</w:t>
            </w:r>
          </w:p>
        </w:tc>
        <w:tc>
          <w:tcPr>
            <w:tcW w:w="992" w:type="dxa"/>
            <w:tcBorders>
              <w:top w:val="nil"/>
              <w:left w:val="single" w:sz="4" w:space="0" w:color="auto"/>
              <w:bottom w:val="nil"/>
              <w:right w:val="single" w:sz="4" w:space="0" w:color="auto"/>
            </w:tcBorders>
            <w:shd w:val="clear" w:color="000000" w:fill="FFFFFF"/>
          </w:tcPr>
          <w:p w14:paraId="65CE0943" w14:textId="06027A75" w:rsidR="00D9153F" w:rsidRPr="00A57B01" w:rsidRDefault="00D9153F" w:rsidP="00D9153F">
            <w:pPr>
              <w:keepLines w:val="0"/>
              <w:widowControl/>
              <w:jc w:val="right"/>
              <w:rPr>
                <w:rFonts w:ascii="Cambria" w:hAnsi="Cambria"/>
                <w:b/>
                <w:bCs/>
                <w:sz w:val="20"/>
                <w:lang w:val="es-ES"/>
              </w:rPr>
            </w:pPr>
            <w:r w:rsidRPr="00A57B01">
              <w:rPr>
                <w:rFonts w:ascii="Cambria" w:hAnsi="Cambria"/>
                <w:b/>
                <w:bCs/>
                <w:sz w:val="20"/>
                <w:lang w:val="es-ES"/>
              </w:rPr>
              <w:t>(25)</w:t>
            </w:r>
          </w:p>
        </w:tc>
      </w:tr>
      <w:tr w:rsidR="00D9153F" w:rsidRPr="00F8465B" w14:paraId="60ABDC7D" w14:textId="77777777" w:rsidTr="00D9153F">
        <w:trPr>
          <w:trHeight w:val="255"/>
          <w:jc w:val="center"/>
        </w:trPr>
        <w:tc>
          <w:tcPr>
            <w:tcW w:w="5812" w:type="dxa"/>
            <w:tcBorders>
              <w:top w:val="nil"/>
              <w:left w:val="single" w:sz="8" w:space="0" w:color="auto"/>
              <w:bottom w:val="nil"/>
              <w:right w:val="single" w:sz="4" w:space="0" w:color="auto"/>
            </w:tcBorders>
            <w:shd w:val="clear" w:color="000000" w:fill="FFFFFF"/>
            <w:vAlign w:val="bottom"/>
          </w:tcPr>
          <w:p w14:paraId="5414723C" w14:textId="77777777" w:rsidR="00D9153F" w:rsidRPr="00A57B01" w:rsidRDefault="00D9153F" w:rsidP="00D9153F">
            <w:pPr>
              <w:keepLines w:val="0"/>
              <w:widowControl/>
              <w:jc w:val="left"/>
              <w:rPr>
                <w:rFonts w:ascii="Cambria" w:hAnsi="Cambria"/>
                <w:color w:val="000000"/>
                <w:sz w:val="20"/>
              </w:rPr>
            </w:pPr>
            <w:r w:rsidRPr="00A57B01">
              <w:rPr>
                <w:rFonts w:ascii="Cambria" w:hAnsi="Cambria"/>
                <w:color w:val="000000"/>
                <w:sz w:val="20"/>
              </w:rPr>
              <w:t xml:space="preserve">SEPI, S.A. </w:t>
            </w:r>
          </w:p>
        </w:tc>
        <w:tc>
          <w:tcPr>
            <w:tcW w:w="1134" w:type="dxa"/>
            <w:tcBorders>
              <w:top w:val="nil"/>
              <w:left w:val="single" w:sz="4" w:space="0" w:color="auto"/>
              <w:bottom w:val="nil"/>
              <w:right w:val="single" w:sz="4" w:space="0" w:color="auto"/>
            </w:tcBorders>
            <w:shd w:val="clear" w:color="000000" w:fill="FFFFFF"/>
          </w:tcPr>
          <w:p w14:paraId="2F6F57D1" w14:textId="596A8F92" w:rsidR="00D9153F" w:rsidRPr="00A57B01" w:rsidRDefault="00A57B01" w:rsidP="00A57B01">
            <w:pPr>
              <w:keepLines w:val="0"/>
              <w:widowControl/>
              <w:jc w:val="center"/>
              <w:rPr>
                <w:rFonts w:ascii="Cambria" w:hAnsi="Cambria"/>
                <w:sz w:val="20"/>
              </w:rPr>
            </w:pPr>
            <w:r>
              <w:rPr>
                <w:rFonts w:ascii="Cambria" w:hAnsi="Cambria"/>
                <w:sz w:val="20"/>
              </w:rPr>
              <w:t>-</w:t>
            </w:r>
          </w:p>
        </w:tc>
        <w:tc>
          <w:tcPr>
            <w:tcW w:w="992" w:type="dxa"/>
            <w:tcBorders>
              <w:top w:val="nil"/>
              <w:left w:val="single" w:sz="4" w:space="0" w:color="auto"/>
              <w:bottom w:val="nil"/>
              <w:right w:val="single" w:sz="4" w:space="0" w:color="auto"/>
            </w:tcBorders>
            <w:shd w:val="clear" w:color="000000" w:fill="FFFFFF"/>
          </w:tcPr>
          <w:p w14:paraId="1CAC041B" w14:textId="28209CF8" w:rsidR="00D9153F" w:rsidRPr="00A57B01" w:rsidRDefault="00D9153F" w:rsidP="00D9153F">
            <w:pPr>
              <w:keepLines w:val="0"/>
              <w:widowControl/>
              <w:jc w:val="right"/>
              <w:rPr>
                <w:rFonts w:ascii="Cambria" w:hAnsi="Cambria"/>
                <w:sz w:val="20"/>
              </w:rPr>
            </w:pPr>
            <w:r w:rsidRPr="00A57B01">
              <w:rPr>
                <w:rFonts w:ascii="Cambria" w:hAnsi="Cambria"/>
                <w:sz w:val="20"/>
              </w:rPr>
              <w:t>(3)</w:t>
            </w:r>
          </w:p>
        </w:tc>
      </w:tr>
      <w:tr w:rsidR="00D9153F" w:rsidRPr="00F8465B" w14:paraId="00B20EE3" w14:textId="77777777" w:rsidTr="00D9153F">
        <w:trPr>
          <w:trHeight w:val="255"/>
          <w:jc w:val="center"/>
        </w:trPr>
        <w:tc>
          <w:tcPr>
            <w:tcW w:w="5812" w:type="dxa"/>
            <w:tcBorders>
              <w:top w:val="nil"/>
              <w:left w:val="single" w:sz="8" w:space="0" w:color="auto"/>
              <w:bottom w:val="nil"/>
              <w:right w:val="single" w:sz="4" w:space="0" w:color="auto"/>
            </w:tcBorders>
            <w:shd w:val="clear" w:color="000000" w:fill="FFFFFF"/>
            <w:vAlign w:val="bottom"/>
          </w:tcPr>
          <w:p w14:paraId="3C3697CE" w14:textId="2E9A0E70" w:rsidR="00D9153F" w:rsidRPr="00A57B01" w:rsidRDefault="00D9153F" w:rsidP="00D9153F">
            <w:pPr>
              <w:keepLines w:val="0"/>
              <w:widowControl/>
              <w:jc w:val="left"/>
              <w:rPr>
                <w:rFonts w:ascii="Cambria" w:hAnsi="Cambria"/>
                <w:color w:val="000000"/>
                <w:sz w:val="20"/>
              </w:rPr>
            </w:pPr>
            <w:r w:rsidRPr="00A57B01">
              <w:rPr>
                <w:rFonts w:ascii="Cambria" w:hAnsi="Cambria"/>
                <w:color w:val="000000"/>
                <w:sz w:val="20"/>
              </w:rPr>
              <w:t>SEPIDES, S.A. S.M.E</w:t>
            </w:r>
          </w:p>
        </w:tc>
        <w:tc>
          <w:tcPr>
            <w:tcW w:w="1134" w:type="dxa"/>
            <w:tcBorders>
              <w:top w:val="nil"/>
              <w:left w:val="single" w:sz="4" w:space="0" w:color="auto"/>
              <w:bottom w:val="nil"/>
              <w:right w:val="single" w:sz="4" w:space="0" w:color="auto"/>
            </w:tcBorders>
            <w:shd w:val="clear" w:color="000000" w:fill="FFFFFF"/>
          </w:tcPr>
          <w:p w14:paraId="156A7EFF" w14:textId="6812A6E8" w:rsidR="00D9153F" w:rsidRPr="00A57B01" w:rsidRDefault="00A57B01" w:rsidP="00A57B01">
            <w:pPr>
              <w:keepLines w:val="0"/>
              <w:widowControl/>
              <w:jc w:val="center"/>
              <w:rPr>
                <w:rFonts w:ascii="Cambria" w:hAnsi="Cambria"/>
                <w:sz w:val="20"/>
              </w:rPr>
            </w:pPr>
            <w:r>
              <w:rPr>
                <w:rFonts w:ascii="Cambria" w:hAnsi="Cambria"/>
                <w:sz w:val="20"/>
              </w:rPr>
              <w:t>-</w:t>
            </w:r>
          </w:p>
        </w:tc>
        <w:tc>
          <w:tcPr>
            <w:tcW w:w="992" w:type="dxa"/>
            <w:tcBorders>
              <w:top w:val="nil"/>
              <w:left w:val="single" w:sz="4" w:space="0" w:color="auto"/>
              <w:bottom w:val="nil"/>
              <w:right w:val="single" w:sz="4" w:space="0" w:color="auto"/>
            </w:tcBorders>
            <w:shd w:val="clear" w:color="000000" w:fill="FFFFFF"/>
          </w:tcPr>
          <w:p w14:paraId="6E4A5DFE" w14:textId="06328DFE" w:rsidR="00D9153F" w:rsidRPr="00A57B01" w:rsidRDefault="00D9153F" w:rsidP="00D9153F">
            <w:pPr>
              <w:keepLines w:val="0"/>
              <w:widowControl/>
              <w:jc w:val="right"/>
              <w:rPr>
                <w:rFonts w:ascii="Cambria" w:hAnsi="Cambria"/>
                <w:sz w:val="20"/>
              </w:rPr>
            </w:pPr>
            <w:r w:rsidRPr="00A57B01">
              <w:rPr>
                <w:rFonts w:ascii="Cambria" w:hAnsi="Cambria"/>
                <w:sz w:val="20"/>
              </w:rPr>
              <w:t>(20)</w:t>
            </w:r>
          </w:p>
        </w:tc>
      </w:tr>
      <w:tr w:rsidR="00D9153F" w:rsidRPr="00F8465B" w14:paraId="3F71A5B9" w14:textId="77777777" w:rsidTr="00D9153F">
        <w:trPr>
          <w:trHeight w:val="255"/>
          <w:jc w:val="center"/>
        </w:trPr>
        <w:tc>
          <w:tcPr>
            <w:tcW w:w="5812" w:type="dxa"/>
            <w:tcBorders>
              <w:top w:val="nil"/>
              <w:left w:val="single" w:sz="8" w:space="0" w:color="auto"/>
              <w:bottom w:val="nil"/>
              <w:right w:val="single" w:sz="4" w:space="0" w:color="auto"/>
            </w:tcBorders>
            <w:shd w:val="clear" w:color="000000" w:fill="FFFFFF"/>
            <w:vAlign w:val="bottom"/>
          </w:tcPr>
          <w:p w14:paraId="49F1CE04" w14:textId="77777777" w:rsidR="00D9153F" w:rsidRPr="00A57B01" w:rsidRDefault="00D9153F" w:rsidP="00D9153F">
            <w:pPr>
              <w:keepLines w:val="0"/>
              <w:widowControl/>
              <w:jc w:val="left"/>
              <w:rPr>
                <w:rFonts w:ascii="Cambria" w:hAnsi="Cambria"/>
                <w:color w:val="000000"/>
                <w:sz w:val="20"/>
              </w:rPr>
            </w:pPr>
            <w:r w:rsidRPr="00A57B01">
              <w:rPr>
                <w:rFonts w:ascii="Cambria" w:hAnsi="Cambria"/>
                <w:color w:val="000000"/>
                <w:sz w:val="20"/>
              </w:rPr>
              <w:t>SOCIEDAD ESTATAL DE CORREOS Y TELÉGRAFOS S.A. S.M.E</w:t>
            </w:r>
          </w:p>
        </w:tc>
        <w:tc>
          <w:tcPr>
            <w:tcW w:w="1134" w:type="dxa"/>
            <w:tcBorders>
              <w:top w:val="nil"/>
              <w:left w:val="single" w:sz="4" w:space="0" w:color="auto"/>
              <w:bottom w:val="nil"/>
              <w:right w:val="single" w:sz="4" w:space="0" w:color="auto"/>
            </w:tcBorders>
            <w:shd w:val="clear" w:color="000000" w:fill="FFFFFF"/>
          </w:tcPr>
          <w:p w14:paraId="5C794818" w14:textId="2854E7E7" w:rsidR="00D9153F" w:rsidRPr="00A57B01" w:rsidRDefault="00A57B01" w:rsidP="00D9153F">
            <w:pPr>
              <w:keepLines w:val="0"/>
              <w:widowControl/>
              <w:jc w:val="right"/>
              <w:rPr>
                <w:rFonts w:ascii="Cambria" w:hAnsi="Cambria"/>
                <w:sz w:val="20"/>
              </w:rPr>
            </w:pPr>
            <w:r w:rsidRPr="00A57B01">
              <w:rPr>
                <w:rFonts w:ascii="Cambria" w:hAnsi="Cambria"/>
                <w:sz w:val="20"/>
              </w:rPr>
              <w:t>(2)</w:t>
            </w:r>
          </w:p>
        </w:tc>
        <w:tc>
          <w:tcPr>
            <w:tcW w:w="992" w:type="dxa"/>
            <w:tcBorders>
              <w:top w:val="nil"/>
              <w:left w:val="single" w:sz="4" w:space="0" w:color="auto"/>
              <w:bottom w:val="nil"/>
              <w:right w:val="single" w:sz="4" w:space="0" w:color="auto"/>
            </w:tcBorders>
            <w:shd w:val="clear" w:color="000000" w:fill="FFFFFF"/>
          </w:tcPr>
          <w:p w14:paraId="73B8E7D2" w14:textId="5C7E1014" w:rsidR="00D9153F" w:rsidRPr="00A57B01" w:rsidRDefault="00D9153F" w:rsidP="00D9153F">
            <w:pPr>
              <w:keepLines w:val="0"/>
              <w:widowControl/>
              <w:jc w:val="right"/>
              <w:rPr>
                <w:rFonts w:ascii="Cambria" w:hAnsi="Cambria"/>
                <w:sz w:val="20"/>
              </w:rPr>
            </w:pPr>
            <w:r w:rsidRPr="00A57B01">
              <w:rPr>
                <w:rFonts w:ascii="Cambria" w:hAnsi="Cambria"/>
                <w:sz w:val="20"/>
              </w:rPr>
              <w:t>(1)</w:t>
            </w:r>
          </w:p>
        </w:tc>
      </w:tr>
      <w:tr w:rsidR="00D9153F" w:rsidRPr="00F8465B" w14:paraId="2B011AC9" w14:textId="77777777" w:rsidTr="00D9153F">
        <w:trPr>
          <w:trHeight w:val="173"/>
          <w:jc w:val="center"/>
        </w:trPr>
        <w:tc>
          <w:tcPr>
            <w:tcW w:w="5812" w:type="dxa"/>
            <w:tcBorders>
              <w:top w:val="nil"/>
              <w:left w:val="single" w:sz="8" w:space="0" w:color="auto"/>
              <w:bottom w:val="nil"/>
              <w:right w:val="single" w:sz="4" w:space="0" w:color="auto"/>
            </w:tcBorders>
            <w:shd w:val="clear" w:color="000000" w:fill="FFFFFF"/>
            <w:vAlign w:val="bottom"/>
          </w:tcPr>
          <w:p w14:paraId="05EF8819" w14:textId="77777777" w:rsidR="00D9153F" w:rsidRPr="00A57B01" w:rsidRDefault="00D9153F" w:rsidP="00D9153F">
            <w:pPr>
              <w:keepLines w:val="0"/>
              <w:widowControl/>
              <w:jc w:val="left"/>
              <w:rPr>
                <w:rFonts w:ascii="Cambria" w:hAnsi="Cambria"/>
                <w:color w:val="000000"/>
                <w:sz w:val="20"/>
                <w:lang w:val="es-ES"/>
              </w:rPr>
            </w:pPr>
            <w:r w:rsidRPr="00A57B01">
              <w:rPr>
                <w:rFonts w:ascii="Cambria" w:hAnsi="Cambria"/>
                <w:color w:val="000000"/>
                <w:sz w:val="20"/>
              </w:rPr>
              <w:t>SOCIEDAD ASTURIANA DE DIVERSIFICACIÓN MINERA, S.A. S.M.E.</w:t>
            </w:r>
          </w:p>
        </w:tc>
        <w:tc>
          <w:tcPr>
            <w:tcW w:w="1134" w:type="dxa"/>
            <w:tcBorders>
              <w:top w:val="nil"/>
              <w:left w:val="single" w:sz="4" w:space="0" w:color="auto"/>
              <w:bottom w:val="nil"/>
              <w:right w:val="single" w:sz="4" w:space="0" w:color="auto"/>
            </w:tcBorders>
            <w:shd w:val="clear" w:color="000000" w:fill="FFFFFF"/>
          </w:tcPr>
          <w:p w14:paraId="5144CB0C" w14:textId="5D5044AB" w:rsidR="00D9153F" w:rsidRPr="00A57B01" w:rsidRDefault="00A57B01" w:rsidP="00D9153F">
            <w:pPr>
              <w:keepLines w:val="0"/>
              <w:widowControl/>
              <w:jc w:val="right"/>
              <w:rPr>
                <w:rFonts w:ascii="Cambria" w:hAnsi="Cambria"/>
                <w:sz w:val="20"/>
              </w:rPr>
            </w:pPr>
            <w:r w:rsidRPr="00A57B01">
              <w:rPr>
                <w:rFonts w:ascii="Cambria" w:hAnsi="Cambria"/>
                <w:sz w:val="20"/>
              </w:rPr>
              <w:t>(12)</w:t>
            </w:r>
          </w:p>
        </w:tc>
        <w:tc>
          <w:tcPr>
            <w:tcW w:w="992" w:type="dxa"/>
            <w:tcBorders>
              <w:top w:val="nil"/>
              <w:left w:val="single" w:sz="4" w:space="0" w:color="auto"/>
              <w:bottom w:val="nil"/>
              <w:right w:val="single" w:sz="4" w:space="0" w:color="auto"/>
            </w:tcBorders>
            <w:shd w:val="clear" w:color="000000" w:fill="FFFFFF"/>
          </w:tcPr>
          <w:p w14:paraId="4CB2C061" w14:textId="6B3BC20E" w:rsidR="00D9153F" w:rsidRPr="00A57B01" w:rsidRDefault="00D9153F" w:rsidP="00D9153F">
            <w:pPr>
              <w:keepLines w:val="0"/>
              <w:widowControl/>
              <w:jc w:val="right"/>
              <w:rPr>
                <w:rFonts w:ascii="Cambria" w:hAnsi="Cambria"/>
                <w:sz w:val="20"/>
              </w:rPr>
            </w:pPr>
            <w:r w:rsidRPr="00A57B01">
              <w:rPr>
                <w:rFonts w:ascii="Cambria" w:hAnsi="Cambria"/>
                <w:sz w:val="20"/>
              </w:rPr>
              <w:t>(1)</w:t>
            </w:r>
          </w:p>
        </w:tc>
      </w:tr>
      <w:tr w:rsidR="00A57B01" w:rsidRPr="00F8465B" w14:paraId="0C5A8BC1" w14:textId="77777777" w:rsidTr="00D9153F">
        <w:trPr>
          <w:trHeight w:val="255"/>
          <w:jc w:val="center"/>
        </w:trPr>
        <w:tc>
          <w:tcPr>
            <w:tcW w:w="5812" w:type="dxa"/>
            <w:tcBorders>
              <w:top w:val="nil"/>
              <w:left w:val="single" w:sz="8" w:space="0" w:color="auto"/>
              <w:bottom w:val="nil"/>
              <w:right w:val="single" w:sz="4" w:space="0" w:color="auto"/>
            </w:tcBorders>
            <w:shd w:val="clear" w:color="000000" w:fill="FFFFFF"/>
            <w:vAlign w:val="bottom"/>
          </w:tcPr>
          <w:p w14:paraId="41314521" w14:textId="77BB8D12" w:rsidR="00A57B01" w:rsidRPr="00A57B01" w:rsidRDefault="00A57B01" w:rsidP="00D9153F">
            <w:pPr>
              <w:keepLines w:val="0"/>
              <w:widowControl/>
              <w:rPr>
                <w:rFonts w:ascii="Cambria" w:hAnsi="Cambria"/>
                <w:color w:val="000000"/>
                <w:sz w:val="20"/>
              </w:rPr>
            </w:pPr>
            <w:r w:rsidRPr="00A57B01">
              <w:rPr>
                <w:rFonts w:ascii="Cambria" w:hAnsi="Cambria"/>
                <w:color w:val="000000"/>
                <w:sz w:val="20"/>
              </w:rPr>
              <w:t>TECNOLOGÍAS Y SERVICIOS AGRARIOS, S.A.U. S</w:t>
            </w:r>
            <w:r>
              <w:rPr>
                <w:rFonts w:ascii="Cambria" w:hAnsi="Cambria"/>
                <w:color w:val="000000"/>
                <w:sz w:val="20"/>
              </w:rPr>
              <w:t>.</w:t>
            </w:r>
            <w:r w:rsidRPr="00A57B01">
              <w:rPr>
                <w:rFonts w:ascii="Cambria" w:hAnsi="Cambria"/>
                <w:color w:val="000000"/>
                <w:sz w:val="20"/>
              </w:rPr>
              <w:t>M</w:t>
            </w:r>
            <w:r>
              <w:rPr>
                <w:rFonts w:ascii="Cambria" w:hAnsi="Cambria"/>
                <w:color w:val="000000"/>
                <w:sz w:val="20"/>
              </w:rPr>
              <w:t>.</w:t>
            </w:r>
            <w:r w:rsidRPr="00A57B01">
              <w:rPr>
                <w:rFonts w:ascii="Cambria" w:hAnsi="Cambria"/>
                <w:color w:val="000000"/>
                <w:sz w:val="20"/>
              </w:rPr>
              <w:t>E</w:t>
            </w:r>
            <w:r>
              <w:rPr>
                <w:rFonts w:ascii="Cambria" w:hAnsi="Cambria"/>
                <w:color w:val="000000"/>
                <w:sz w:val="20"/>
              </w:rPr>
              <w:t>.</w:t>
            </w:r>
            <w:r w:rsidRPr="00A57B01">
              <w:rPr>
                <w:rFonts w:ascii="Cambria" w:hAnsi="Cambria"/>
                <w:color w:val="000000"/>
                <w:sz w:val="20"/>
              </w:rPr>
              <w:t>, MP</w:t>
            </w:r>
          </w:p>
        </w:tc>
        <w:tc>
          <w:tcPr>
            <w:tcW w:w="1134" w:type="dxa"/>
            <w:tcBorders>
              <w:top w:val="nil"/>
              <w:left w:val="single" w:sz="4" w:space="0" w:color="auto"/>
              <w:bottom w:val="nil"/>
              <w:right w:val="single" w:sz="4" w:space="0" w:color="auto"/>
            </w:tcBorders>
            <w:shd w:val="clear" w:color="000000" w:fill="FFFFFF"/>
          </w:tcPr>
          <w:p w14:paraId="1A35E0A7" w14:textId="746AA156" w:rsidR="00A57B01" w:rsidRPr="00A57B01" w:rsidRDefault="00A57B01" w:rsidP="00A57B01">
            <w:pPr>
              <w:keepLines w:val="0"/>
              <w:widowControl/>
              <w:jc w:val="right"/>
              <w:rPr>
                <w:rFonts w:ascii="Cambria" w:hAnsi="Cambria"/>
                <w:bCs/>
                <w:sz w:val="20"/>
              </w:rPr>
            </w:pPr>
            <w:r w:rsidRPr="00A57B01">
              <w:rPr>
                <w:rFonts w:ascii="Cambria" w:hAnsi="Cambria"/>
                <w:bCs/>
                <w:sz w:val="20"/>
              </w:rPr>
              <w:t>(6)</w:t>
            </w:r>
          </w:p>
        </w:tc>
        <w:tc>
          <w:tcPr>
            <w:tcW w:w="992" w:type="dxa"/>
            <w:tcBorders>
              <w:top w:val="nil"/>
              <w:left w:val="single" w:sz="4" w:space="0" w:color="auto"/>
              <w:bottom w:val="nil"/>
              <w:right w:val="single" w:sz="4" w:space="0" w:color="auto"/>
            </w:tcBorders>
            <w:shd w:val="clear" w:color="000000" w:fill="FFFFFF"/>
          </w:tcPr>
          <w:p w14:paraId="1FF81C18" w14:textId="228B69E7" w:rsidR="00A57B01" w:rsidRPr="00A57B01" w:rsidRDefault="00A57B01" w:rsidP="00A57B01">
            <w:pPr>
              <w:keepLines w:val="0"/>
              <w:widowControl/>
              <w:jc w:val="center"/>
              <w:rPr>
                <w:rFonts w:ascii="Cambria" w:hAnsi="Cambria"/>
                <w:bCs/>
                <w:sz w:val="20"/>
              </w:rPr>
            </w:pPr>
            <w:r>
              <w:rPr>
                <w:rFonts w:ascii="Cambria" w:hAnsi="Cambria"/>
                <w:bCs/>
                <w:sz w:val="20"/>
              </w:rPr>
              <w:t>-</w:t>
            </w:r>
          </w:p>
        </w:tc>
      </w:tr>
      <w:tr w:rsidR="00D9153F" w:rsidRPr="00F8465B" w14:paraId="26CEF3E9" w14:textId="77777777" w:rsidTr="00D9153F">
        <w:trPr>
          <w:trHeight w:val="255"/>
          <w:jc w:val="center"/>
        </w:trPr>
        <w:tc>
          <w:tcPr>
            <w:tcW w:w="5812" w:type="dxa"/>
            <w:tcBorders>
              <w:top w:val="nil"/>
              <w:left w:val="single" w:sz="8" w:space="0" w:color="auto"/>
              <w:bottom w:val="nil"/>
              <w:right w:val="single" w:sz="4" w:space="0" w:color="auto"/>
            </w:tcBorders>
            <w:shd w:val="clear" w:color="000000" w:fill="FFFFFF"/>
            <w:vAlign w:val="bottom"/>
          </w:tcPr>
          <w:p w14:paraId="4BF86829" w14:textId="3AF622DD" w:rsidR="00D9153F" w:rsidRPr="00A57B01" w:rsidRDefault="00D9153F" w:rsidP="00D9153F">
            <w:pPr>
              <w:keepLines w:val="0"/>
              <w:widowControl/>
              <w:rPr>
                <w:rFonts w:ascii="Cambria" w:hAnsi="Cambria"/>
                <w:color w:val="000000"/>
                <w:sz w:val="20"/>
              </w:rPr>
            </w:pPr>
            <w:r w:rsidRPr="00A57B01">
              <w:rPr>
                <w:rFonts w:ascii="Cambria" w:hAnsi="Cambria"/>
                <w:b/>
                <w:bCs/>
                <w:color w:val="000000"/>
                <w:sz w:val="20"/>
              </w:rPr>
              <w:t>Aportación de socios para compensar pérdidas</w:t>
            </w:r>
          </w:p>
        </w:tc>
        <w:tc>
          <w:tcPr>
            <w:tcW w:w="1134" w:type="dxa"/>
            <w:tcBorders>
              <w:top w:val="nil"/>
              <w:left w:val="single" w:sz="4" w:space="0" w:color="auto"/>
              <w:bottom w:val="nil"/>
              <w:right w:val="single" w:sz="4" w:space="0" w:color="auto"/>
            </w:tcBorders>
            <w:shd w:val="clear" w:color="000000" w:fill="FFFFFF"/>
          </w:tcPr>
          <w:p w14:paraId="13C0CF5A" w14:textId="6E22FE30" w:rsidR="00D9153F" w:rsidRPr="00A57B01" w:rsidRDefault="00D9153F" w:rsidP="00D9153F">
            <w:pPr>
              <w:keepLines w:val="0"/>
              <w:widowControl/>
              <w:jc w:val="center"/>
              <w:rPr>
                <w:rFonts w:ascii="Cambria" w:hAnsi="Cambria"/>
                <w:b/>
                <w:sz w:val="20"/>
              </w:rPr>
            </w:pPr>
            <w:r w:rsidRPr="00A57B01">
              <w:rPr>
                <w:rFonts w:ascii="Cambria" w:hAnsi="Cambria"/>
                <w:b/>
                <w:sz w:val="20"/>
              </w:rPr>
              <w:t>-</w:t>
            </w:r>
          </w:p>
        </w:tc>
        <w:tc>
          <w:tcPr>
            <w:tcW w:w="992" w:type="dxa"/>
            <w:tcBorders>
              <w:top w:val="nil"/>
              <w:left w:val="single" w:sz="4" w:space="0" w:color="auto"/>
              <w:bottom w:val="nil"/>
              <w:right w:val="single" w:sz="4" w:space="0" w:color="auto"/>
            </w:tcBorders>
            <w:shd w:val="clear" w:color="000000" w:fill="FFFFFF"/>
          </w:tcPr>
          <w:p w14:paraId="0236F88B" w14:textId="3741FFBD" w:rsidR="00D9153F" w:rsidRPr="00A57B01" w:rsidRDefault="00D9153F" w:rsidP="00D9153F">
            <w:pPr>
              <w:keepLines w:val="0"/>
              <w:widowControl/>
              <w:jc w:val="right"/>
              <w:rPr>
                <w:rFonts w:ascii="Cambria" w:hAnsi="Cambria"/>
                <w:b/>
                <w:sz w:val="20"/>
              </w:rPr>
            </w:pPr>
            <w:r w:rsidRPr="00A57B01">
              <w:rPr>
                <w:rFonts w:ascii="Cambria" w:hAnsi="Cambria"/>
                <w:b/>
                <w:sz w:val="20"/>
              </w:rPr>
              <w:t>37.981</w:t>
            </w:r>
          </w:p>
        </w:tc>
      </w:tr>
      <w:tr w:rsidR="00D9153F" w:rsidRPr="00F8465B" w14:paraId="655187E2" w14:textId="77777777" w:rsidTr="00D9153F">
        <w:trPr>
          <w:trHeight w:val="255"/>
          <w:jc w:val="center"/>
        </w:trPr>
        <w:tc>
          <w:tcPr>
            <w:tcW w:w="5812" w:type="dxa"/>
            <w:tcBorders>
              <w:top w:val="nil"/>
              <w:left w:val="single" w:sz="8" w:space="0" w:color="auto"/>
              <w:bottom w:val="single" w:sz="4" w:space="0" w:color="auto"/>
              <w:right w:val="single" w:sz="4" w:space="0" w:color="auto"/>
            </w:tcBorders>
            <w:shd w:val="clear" w:color="000000" w:fill="FFFFFF"/>
            <w:vAlign w:val="bottom"/>
          </w:tcPr>
          <w:p w14:paraId="1523421D" w14:textId="0EA47179" w:rsidR="00D9153F" w:rsidRPr="00A57B01" w:rsidRDefault="00D9153F" w:rsidP="00D9153F">
            <w:pPr>
              <w:keepLines w:val="0"/>
              <w:widowControl/>
              <w:jc w:val="left"/>
              <w:rPr>
                <w:rFonts w:ascii="Cambria" w:hAnsi="Cambria"/>
                <w:color w:val="000000"/>
                <w:sz w:val="20"/>
              </w:rPr>
            </w:pPr>
            <w:r w:rsidRPr="00A57B01">
              <w:rPr>
                <w:rFonts w:ascii="Cambria" w:hAnsi="Cambria"/>
                <w:color w:val="000000"/>
                <w:sz w:val="20"/>
              </w:rPr>
              <w:t>Aportación de S.E.P.I. para compensación de pérdidas</w:t>
            </w:r>
          </w:p>
        </w:tc>
        <w:tc>
          <w:tcPr>
            <w:tcW w:w="1134" w:type="dxa"/>
            <w:tcBorders>
              <w:top w:val="nil"/>
              <w:left w:val="single" w:sz="4" w:space="0" w:color="auto"/>
              <w:bottom w:val="single" w:sz="4" w:space="0" w:color="auto"/>
              <w:right w:val="single" w:sz="4" w:space="0" w:color="auto"/>
            </w:tcBorders>
            <w:shd w:val="clear" w:color="000000" w:fill="FFFFFF"/>
          </w:tcPr>
          <w:p w14:paraId="04AC00C5" w14:textId="4F7E723F" w:rsidR="00D9153F" w:rsidRPr="00A57B01" w:rsidRDefault="00D9153F" w:rsidP="00D9153F">
            <w:pPr>
              <w:keepLines w:val="0"/>
              <w:widowControl/>
              <w:jc w:val="center"/>
              <w:rPr>
                <w:rFonts w:ascii="Cambria" w:hAnsi="Cambria"/>
                <w:sz w:val="20"/>
              </w:rPr>
            </w:pPr>
            <w:r w:rsidRPr="00A57B01">
              <w:rPr>
                <w:rFonts w:ascii="Cambria" w:hAnsi="Cambria"/>
                <w:sz w:val="20"/>
              </w:rPr>
              <w:t>-</w:t>
            </w:r>
          </w:p>
        </w:tc>
        <w:tc>
          <w:tcPr>
            <w:tcW w:w="992" w:type="dxa"/>
            <w:tcBorders>
              <w:top w:val="nil"/>
              <w:left w:val="single" w:sz="4" w:space="0" w:color="auto"/>
              <w:bottom w:val="single" w:sz="4" w:space="0" w:color="auto"/>
              <w:right w:val="single" w:sz="4" w:space="0" w:color="auto"/>
            </w:tcBorders>
            <w:shd w:val="clear" w:color="000000" w:fill="FFFFFF"/>
          </w:tcPr>
          <w:p w14:paraId="4A51C924" w14:textId="79FCD497" w:rsidR="00D9153F" w:rsidRPr="00A57B01" w:rsidRDefault="00D9153F" w:rsidP="00D9153F">
            <w:pPr>
              <w:keepLines w:val="0"/>
              <w:widowControl/>
              <w:jc w:val="right"/>
              <w:rPr>
                <w:rFonts w:ascii="Cambria" w:hAnsi="Cambria"/>
                <w:sz w:val="20"/>
              </w:rPr>
            </w:pPr>
            <w:r w:rsidRPr="00A57B01">
              <w:rPr>
                <w:rFonts w:ascii="Cambria" w:hAnsi="Cambria"/>
                <w:sz w:val="20"/>
              </w:rPr>
              <w:t>37.981</w:t>
            </w:r>
          </w:p>
        </w:tc>
      </w:tr>
      <w:bookmarkEnd w:id="9"/>
    </w:tbl>
    <w:p w14:paraId="40DB6934" w14:textId="77777777" w:rsidR="00A35BF7" w:rsidRDefault="00A35BF7" w:rsidP="0024783F">
      <w:pPr>
        <w:pStyle w:val="textoletra"/>
        <w:spacing w:after="0"/>
        <w:ind w:left="426"/>
        <w:rPr>
          <w:rFonts w:ascii="Cambria" w:hAnsi="Cambria"/>
          <w:sz w:val="22"/>
          <w:szCs w:val="22"/>
        </w:rPr>
      </w:pPr>
    </w:p>
    <w:p w14:paraId="42B971DF" w14:textId="1D172647" w:rsidR="006B3D41" w:rsidRPr="00F8465B" w:rsidRDefault="006B3D41" w:rsidP="003D63B9">
      <w:pPr>
        <w:pStyle w:val="Ttulo4"/>
        <w:widowControl/>
        <w:numPr>
          <w:ilvl w:val="0"/>
          <w:numId w:val="3"/>
        </w:numPr>
        <w:tabs>
          <w:tab w:val="clear" w:pos="360"/>
          <w:tab w:val="left" w:pos="-448"/>
          <w:tab w:val="num" w:pos="567"/>
        </w:tabs>
        <w:spacing w:before="0" w:after="0"/>
        <w:ind w:left="567" w:right="-1" w:hanging="567"/>
        <w:rPr>
          <w:rFonts w:ascii="Cambria" w:hAnsi="Cambria"/>
          <w:kern w:val="28"/>
          <w:sz w:val="24"/>
          <w:szCs w:val="24"/>
          <w:u w:val="single"/>
          <w:lang w:val="es-ES" w:eastAsia="en-US"/>
        </w:rPr>
      </w:pPr>
      <w:r w:rsidRPr="00F8465B">
        <w:rPr>
          <w:rFonts w:ascii="Cambria" w:hAnsi="Cambria"/>
          <w:kern w:val="28"/>
          <w:sz w:val="24"/>
          <w:szCs w:val="24"/>
          <w:u w:val="single"/>
          <w:lang w:val="es-ES" w:eastAsia="en-US"/>
        </w:rPr>
        <w:t>Provisiones</w:t>
      </w:r>
    </w:p>
    <w:p w14:paraId="5F52549F" w14:textId="77777777" w:rsidR="006B3D41" w:rsidRPr="00F8465B" w:rsidRDefault="006B3D41" w:rsidP="006B3D41">
      <w:pPr>
        <w:pStyle w:val="Listaconnmeros"/>
        <w:ind w:left="426" w:firstLine="0"/>
        <w:rPr>
          <w:rFonts w:ascii="Cambria" w:hAnsi="Cambria"/>
          <w:sz w:val="24"/>
          <w:szCs w:val="24"/>
        </w:rPr>
      </w:pPr>
    </w:p>
    <w:p w14:paraId="74854514" w14:textId="38F35A03" w:rsidR="006B3D41" w:rsidRPr="009F3EE2" w:rsidRDefault="006B3D41" w:rsidP="006B3D41">
      <w:pPr>
        <w:pStyle w:val="Ttulo1a"/>
        <w:ind w:left="567"/>
        <w:rPr>
          <w:rFonts w:ascii="Cambria" w:hAnsi="Cambria"/>
          <w:sz w:val="24"/>
          <w:szCs w:val="24"/>
        </w:rPr>
      </w:pPr>
      <w:r w:rsidRPr="009F3EE2">
        <w:rPr>
          <w:rFonts w:ascii="Cambria" w:hAnsi="Cambria"/>
          <w:sz w:val="24"/>
          <w:szCs w:val="24"/>
        </w:rPr>
        <w:t>El movimiento habido, durante los ejercicios 20</w:t>
      </w:r>
      <w:r w:rsidR="00D9153F">
        <w:rPr>
          <w:rFonts w:ascii="Cambria" w:hAnsi="Cambria"/>
          <w:sz w:val="24"/>
          <w:szCs w:val="24"/>
        </w:rPr>
        <w:t>20</w:t>
      </w:r>
      <w:r w:rsidRPr="009F3EE2">
        <w:rPr>
          <w:rFonts w:ascii="Cambria" w:hAnsi="Cambria"/>
          <w:sz w:val="24"/>
          <w:szCs w:val="24"/>
        </w:rPr>
        <w:t xml:space="preserve"> y 201</w:t>
      </w:r>
      <w:r w:rsidR="00D9153F">
        <w:rPr>
          <w:rFonts w:ascii="Cambria" w:hAnsi="Cambria"/>
          <w:sz w:val="24"/>
          <w:szCs w:val="24"/>
        </w:rPr>
        <w:t>9</w:t>
      </w:r>
      <w:r w:rsidRPr="009F3EE2">
        <w:rPr>
          <w:rFonts w:ascii="Cambria" w:hAnsi="Cambria"/>
          <w:sz w:val="24"/>
          <w:szCs w:val="24"/>
        </w:rPr>
        <w:t xml:space="preserve">, y la composición de este epígrafe del balance de situación adjunto, </w:t>
      </w:r>
      <w:r w:rsidR="000A62E4">
        <w:rPr>
          <w:rFonts w:ascii="Cambria" w:hAnsi="Cambria"/>
          <w:sz w:val="24"/>
          <w:szCs w:val="24"/>
        </w:rPr>
        <w:t>es el siguiente</w:t>
      </w:r>
      <w:r w:rsidRPr="009F3EE2">
        <w:rPr>
          <w:rFonts w:ascii="Cambria" w:hAnsi="Cambria"/>
          <w:sz w:val="24"/>
          <w:szCs w:val="24"/>
        </w:rPr>
        <w:t xml:space="preserve"> en miles de euros:</w:t>
      </w:r>
    </w:p>
    <w:p w14:paraId="37B810FE" w14:textId="5F345882" w:rsidR="006B3D41" w:rsidRPr="009F3EE2" w:rsidRDefault="006B3D41" w:rsidP="006B3D41"/>
    <w:p w14:paraId="2B70BC83" w14:textId="0E31577D" w:rsidR="006B3D41" w:rsidRDefault="006B3D41" w:rsidP="009F3EE2">
      <w:pPr>
        <w:ind w:left="567"/>
        <w:rPr>
          <w:rFonts w:ascii="Cambria" w:hAnsi="Cambria"/>
          <w:b/>
          <w:sz w:val="24"/>
          <w:szCs w:val="24"/>
          <w:u w:val="single"/>
        </w:rPr>
      </w:pPr>
      <w:r w:rsidRPr="009F3EE2">
        <w:rPr>
          <w:rFonts w:ascii="Cambria" w:hAnsi="Cambria"/>
          <w:b/>
          <w:sz w:val="24"/>
          <w:szCs w:val="24"/>
          <w:u w:val="single"/>
        </w:rPr>
        <w:t>Ejercicio 20</w:t>
      </w:r>
      <w:r w:rsidR="00285240">
        <w:rPr>
          <w:rFonts w:ascii="Cambria" w:hAnsi="Cambria"/>
          <w:b/>
          <w:sz w:val="24"/>
          <w:szCs w:val="24"/>
          <w:u w:val="single"/>
        </w:rPr>
        <w:t>20</w:t>
      </w:r>
    </w:p>
    <w:p w14:paraId="1EFCB812" w14:textId="1F2CCD2C" w:rsidR="006B3D41" w:rsidRDefault="006B3D41" w:rsidP="006B3D41">
      <w:pPr>
        <w:ind w:left="567"/>
        <w:rPr>
          <w:rFonts w:ascii="Cambria" w:hAnsi="Cambria"/>
          <w:b/>
          <w:sz w:val="24"/>
          <w:szCs w:val="24"/>
          <w:u w:val="single"/>
        </w:rPr>
      </w:pPr>
    </w:p>
    <w:p w14:paraId="14C7CC55" w14:textId="77777777" w:rsidR="007038E3" w:rsidRDefault="007038E3" w:rsidP="006B3D41">
      <w:pPr>
        <w:ind w:left="567"/>
        <w:rPr>
          <w:rFonts w:ascii="Cambria" w:hAnsi="Cambria"/>
          <w:b/>
          <w:sz w:val="24"/>
          <w:szCs w:val="24"/>
          <w:u w:val="single"/>
        </w:rPr>
      </w:pPr>
    </w:p>
    <w:tbl>
      <w:tblPr>
        <w:tblW w:w="5007" w:type="pct"/>
        <w:jc w:val="center"/>
        <w:tblLayout w:type="fixed"/>
        <w:tblCellMar>
          <w:left w:w="70" w:type="dxa"/>
          <w:right w:w="70" w:type="dxa"/>
        </w:tblCellMar>
        <w:tblLook w:val="0000" w:firstRow="0" w:lastRow="0" w:firstColumn="0" w:lastColumn="0" w:noHBand="0" w:noVBand="0"/>
      </w:tblPr>
      <w:tblGrid>
        <w:gridCol w:w="1691"/>
        <w:gridCol w:w="1278"/>
        <w:gridCol w:w="1134"/>
        <w:gridCol w:w="851"/>
        <w:gridCol w:w="851"/>
        <w:gridCol w:w="1275"/>
        <w:gridCol w:w="993"/>
        <w:gridCol w:w="992"/>
      </w:tblGrid>
      <w:tr w:rsidR="00285240" w:rsidRPr="007026B1" w14:paraId="25E4FADA" w14:textId="77777777" w:rsidTr="00285240">
        <w:trPr>
          <w:trHeight w:val="975"/>
          <w:jc w:val="center"/>
        </w:trPr>
        <w:tc>
          <w:tcPr>
            <w:tcW w:w="1691" w:type="dxa"/>
            <w:tcBorders>
              <w:top w:val="single" w:sz="8" w:space="0" w:color="auto"/>
              <w:left w:val="single" w:sz="8" w:space="0" w:color="auto"/>
              <w:bottom w:val="single" w:sz="8" w:space="0" w:color="auto"/>
              <w:right w:val="single" w:sz="8" w:space="0" w:color="auto"/>
            </w:tcBorders>
            <w:shd w:val="clear" w:color="auto" w:fill="FFFFFF"/>
            <w:vAlign w:val="bottom"/>
          </w:tcPr>
          <w:p w14:paraId="602E5325" w14:textId="77777777" w:rsidR="00285240" w:rsidRPr="007026B1" w:rsidRDefault="00285240" w:rsidP="00285240">
            <w:pPr>
              <w:keepLines w:val="0"/>
              <w:widowControl/>
              <w:jc w:val="left"/>
              <w:rPr>
                <w:rFonts w:ascii="Cambria" w:hAnsi="Cambria"/>
                <w:b/>
                <w:bCs/>
                <w:sz w:val="18"/>
                <w:szCs w:val="18"/>
                <w:lang w:val="es-ES"/>
              </w:rPr>
            </w:pPr>
            <w:r w:rsidRPr="007026B1">
              <w:rPr>
                <w:rFonts w:ascii="Cambria" w:hAnsi="Cambria"/>
                <w:b/>
                <w:bCs/>
                <w:sz w:val="18"/>
                <w:szCs w:val="18"/>
                <w:lang w:val="es-ES"/>
              </w:rPr>
              <w:t>Provisiones a largo plazo</w:t>
            </w:r>
          </w:p>
        </w:tc>
        <w:tc>
          <w:tcPr>
            <w:tcW w:w="1278" w:type="dxa"/>
            <w:tcBorders>
              <w:top w:val="single" w:sz="8" w:space="0" w:color="auto"/>
              <w:left w:val="nil"/>
              <w:bottom w:val="single" w:sz="8" w:space="0" w:color="auto"/>
              <w:right w:val="nil"/>
            </w:tcBorders>
            <w:shd w:val="clear" w:color="auto" w:fill="FFFFFF"/>
            <w:vAlign w:val="bottom"/>
          </w:tcPr>
          <w:p w14:paraId="5EF7524F" w14:textId="3D588E74" w:rsidR="00285240" w:rsidRPr="007026B1" w:rsidRDefault="00285240" w:rsidP="00285240">
            <w:pPr>
              <w:keepLines w:val="0"/>
              <w:widowControl/>
              <w:jc w:val="center"/>
              <w:rPr>
                <w:rFonts w:ascii="Cambria" w:hAnsi="Cambria"/>
                <w:b/>
                <w:bCs/>
                <w:sz w:val="18"/>
                <w:szCs w:val="18"/>
                <w:lang w:val="es-ES"/>
              </w:rPr>
            </w:pPr>
            <w:r>
              <w:rPr>
                <w:rFonts w:ascii="Cambria" w:hAnsi="Cambria"/>
                <w:b/>
                <w:bCs/>
                <w:sz w:val="18"/>
                <w:szCs w:val="18"/>
                <w:lang w:val="es-ES"/>
              </w:rPr>
              <w:t>Saldo al 31.12.19</w:t>
            </w:r>
          </w:p>
        </w:tc>
        <w:tc>
          <w:tcPr>
            <w:tcW w:w="1134" w:type="dxa"/>
            <w:tcBorders>
              <w:top w:val="single" w:sz="8" w:space="0" w:color="auto"/>
              <w:left w:val="single" w:sz="8" w:space="0" w:color="auto"/>
              <w:bottom w:val="single" w:sz="8" w:space="0" w:color="auto"/>
              <w:right w:val="single" w:sz="4" w:space="0" w:color="auto"/>
            </w:tcBorders>
            <w:shd w:val="clear" w:color="auto" w:fill="FFFFFF"/>
            <w:vAlign w:val="bottom"/>
          </w:tcPr>
          <w:p w14:paraId="5078D72E" w14:textId="77777777" w:rsidR="00285240" w:rsidRPr="007026B1" w:rsidRDefault="00285240" w:rsidP="00285240">
            <w:pPr>
              <w:keepLines w:val="0"/>
              <w:widowControl/>
              <w:jc w:val="center"/>
              <w:rPr>
                <w:rFonts w:ascii="Cambria" w:hAnsi="Cambria"/>
                <w:b/>
                <w:bCs/>
                <w:sz w:val="18"/>
                <w:szCs w:val="18"/>
                <w:lang w:val="es-ES"/>
              </w:rPr>
            </w:pPr>
            <w:r w:rsidRPr="007026B1">
              <w:rPr>
                <w:rFonts w:ascii="Cambria" w:hAnsi="Cambria"/>
                <w:b/>
                <w:bCs/>
                <w:sz w:val="18"/>
                <w:szCs w:val="18"/>
                <w:lang w:val="es-ES"/>
              </w:rPr>
              <w:t xml:space="preserve">Dotaciones </w:t>
            </w:r>
          </w:p>
        </w:tc>
        <w:tc>
          <w:tcPr>
            <w:tcW w:w="851" w:type="dxa"/>
            <w:tcBorders>
              <w:top w:val="single" w:sz="4" w:space="0" w:color="auto"/>
              <w:left w:val="single" w:sz="4" w:space="0" w:color="auto"/>
              <w:bottom w:val="single" w:sz="8" w:space="0" w:color="auto"/>
              <w:right w:val="single" w:sz="4" w:space="0" w:color="auto"/>
            </w:tcBorders>
            <w:shd w:val="clear" w:color="auto" w:fill="FFFFFF"/>
          </w:tcPr>
          <w:p w14:paraId="46E3EAEF" w14:textId="77777777" w:rsidR="00285240" w:rsidRPr="007026B1" w:rsidRDefault="00285240" w:rsidP="00285240">
            <w:pPr>
              <w:keepLines w:val="0"/>
              <w:widowControl/>
              <w:jc w:val="center"/>
              <w:rPr>
                <w:rFonts w:ascii="Cambria" w:hAnsi="Cambria"/>
                <w:b/>
                <w:bCs/>
                <w:sz w:val="18"/>
                <w:szCs w:val="18"/>
                <w:lang w:val="es-ES"/>
              </w:rPr>
            </w:pPr>
          </w:p>
          <w:p w14:paraId="30B8A9E4" w14:textId="77777777" w:rsidR="00285240" w:rsidRPr="007026B1" w:rsidRDefault="00285240" w:rsidP="00285240">
            <w:pPr>
              <w:keepLines w:val="0"/>
              <w:widowControl/>
              <w:jc w:val="center"/>
              <w:rPr>
                <w:rFonts w:ascii="Cambria" w:hAnsi="Cambria"/>
                <w:b/>
                <w:bCs/>
                <w:sz w:val="18"/>
                <w:szCs w:val="18"/>
                <w:lang w:val="es-ES"/>
              </w:rPr>
            </w:pPr>
            <w:r w:rsidRPr="007026B1">
              <w:rPr>
                <w:rFonts w:ascii="Cambria" w:hAnsi="Cambria"/>
                <w:b/>
                <w:bCs/>
                <w:sz w:val="18"/>
                <w:szCs w:val="18"/>
                <w:lang w:val="es-ES"/>
              </w:rPr>
              <w:t>Ajuste Patrimo-nio</w:t>
            </w:r>
          </w:p>
        </w:tc>
        <w:tc>
          <w:tcPr>
            <w:tcW w:w="851" w:type="dxa"/>
            <w:tcBorders>
              <w:top w:val="single" w:sz="8" w:space="0" w:color="auto"/>
              <w:left w:val="single" w:sz="4" w:space="0" w:color="auto"/>
              <w:bottom w:val="single" w:sz="8" w:space="0" w:color="auto"/>
              <w:right w:val="single" w:sz="8" w:space="0" w:color="auto"/>
            </w:tcBorders>
            <w:shd w:val="clear" w:color="auto" w:fill="FFFFFF"/>
            <w:vAlign w:val="bottom"/>
          </w:tcPr>
          <w:p w14:paraId="375A6C37" w14:textId="77777777" w:rsidR="00285240" w:rsidRPr="007026B1" w:rsidRDefault="00285240" w:rsidP="00285240">
            <w:pPr>
              <w:keepLines w:val="0"/>
              <w:widowControl/>
              <w:jc w:val="center"/>
              <w:rPr>
                <w:rFonts w:ascii="Cambria" w:hAnsi="Cambria"/>
                <w:b/>
                <w:bCs/>
                <w:sz w:val="18"/>
                <w:szCs w:val="18"/>
                <w:lang w:val="es-ES"/>
              </w:rPr>
            </w:pPr>
            <w:r w:rsidRPr="007026B1">
              <w:rPr>
                <w:rFonts w:ascii="Cambria" w:hAnsi="Cambria"/>
                <w:b/>
                <w:bCs/>
                <w:sz w:val="18"/>
                <w:szCs w:val="18"/>
                <w:lang w:val="es-ES"/>
              </w:rPr>
              <w:t>Excesos</w:t>
            </w:r>
          </w:p>
        </w:tc>
        <w:tc>
          <w:tcPr>
            <w:tcW w:w="1275" w:type="dxa"/>
            <w:tcBorders>
              <w:top w:val="single" w:sz="8" w:space="0" w:color="auto"/>
              <w:left w:val="nil"/>
              <w:bottom w:val="single" w:sz="8" w:space="0" w:color="auto"/>
              <w:right w:val="single" w:sz="8" w:space="0" w:color="auto"/>
            </w:tcBorders>
            <w:shd w:val="clear" w:color="auto" w:fill="FFFFFF"/>
            <w:vAlign w:val="bottom"/>
          </w:tcPr>
          <w:p w14:paraId="22F65266" w14:textId="77777777" w:rsidR="00285240" w:rsidRPr="007026B1" w:rsidRDefault="00285240" w:rsidP="00285240">
            <w:pPr>
              <w:keepLines w:val="0"/>
              <w:widowControl/>
              <w:jc w:val="center"/>
              <w:rPr>
                <w:rFonts w:ascii="Cambria" w:hAnsi="Cambria"/>
                <w:b/>
                <w:bCs/>
                <w:sz w:val="18"/>
                <w:szCs w:val="18"/>
                <w:lang w:val="es-ES"/>
              </w:rPr>
            </w:pPr>
            <w:r w:rsidRPr="007026B1">
              <w:rPr>
                <w:rFonts w:ascii="Cambria" w:hAnsi="Cambria"/>
                <w:b/>
                <w:bCs/>
                <w:sz w:val="18"/>
                <w:szCs w:val="18"/>
                <w:lang w:val="es-ES"/>
              </w:rPr>
              <w:t>Aplicaciones</w:t>
            </w:r>
          </w:p>
        </w:tc>
        <w:tc>
          <w:tcPr>
            <w:tcW w:w="993" w:type="dxa"/>
            <w:tcBorders>
              <w:top w:val="single" w:sz="8" w:space="0" w:color="auto"/>
              <w:left w:val="nil"/>
              <w:bottom w:val="single" w:sz="8" w:space="0" w:color="auto"/>
              <w:right w:val="single" w:sz="8" w:space="0" w:color="auto"/>
            </w:tcBorders>
            <w:shd w:val="clear" w:color="auto" w:fill="FFFFFF"/>
            <w:vAlign w:val="bottom"/>
          </w:tcPr>
          <w:p w14:paraId="5EC3D36B" w14:textId="77777777" w:rsidR="00285240" w:rsidRPr="007026B1" w:rsidRDefault="00285240" w:rsidP="00285240">
            <w:pPr>
              <w:keepLines w:val="0"/>
              <w:widowControl/>
              <w:jc w:val="center"/>
              <w:rPr>
                <w:rFonts w:ascii="Cambria" w:hAnsi="Cambria"/>
                <w:b/>
                <w:bCs/>
                <w:sz w:val="18"/>
                <w:szCs w:val="18"/>
                <w:lang w:val="es-ES"/>
              </w:rPr>
            </w:pPr>
            <w:r w:rsidRPr="007026B1">
              <w:rPr>
                <w:rFonts w:ascii="Cambria" w:hAnsi="Cambria"/>
                <w:b/>
                <w:bCs/>
                <w:sz w:val="18"/>
                <w:szCs w:val="18"/>
                <w:lang w:val="es-ES"/>
              </w:rPr>
              <w:t>Traspasos</w:t>
            </w:r>
          </w:p>
        </w:tc>
        <w:tc>
          <w:tcPr>
            <w:tcW w:w="992" w:type="dxa"/>
            <w:tcBorders>
              <w:top w:val="single" w:sz="8" w:space="0" w:color="auto"/>
              <w:left w:val="nil"/>
              <w:bottom w:val="single" w:sz="8" w:space="0" w:color="auto"/>
              <w:right w:val="single" w:sz="8" w:space="0" w:color="auto"/>
            </w:tcBorders>
            <w:shd w:val="clear" w:color="auto" w:fill="FFFFFF"/>
            <w:vAlign w:val="bottom"/>
          </w:tcPr>
          <w:p w14:paraId="19928AD6" w14:textId="414CEEA6" w:rsidR="00285240" w:rsidRPr="007026B1" w:rsidRDefault="00285240" w:rsidP="00285240">
            <w:pPr>
              <w:keepLines w:val="0"/>
              <w:widowControl/>
              <w:jc w:val="center"/>
              <w:rPr>
                <w:rFonts w:ascii="Cambria" w:hAnsi="Cambria"/>
                <w:b/>
                <w:bCs/>
                <w:sz w:val="18"/>
                <w:szCs w:val="18"/>
                <w:lang w:val="es-ES"/>
              </w:rPr>
            </w:pPr>
            <w:r>
              <w:rPr>
                <w:rFonts w:ascii="Cambria" w:hAnsi="Cambria"/>
                <w:b/>
                <w:bCs/>
                <w:sz w:val="18"/>
                <w:szCs w:val="18"/>
                <w:lang w:val="es-ES"/>
              </w:rPr>
              <w:t>Saldo al 31.12.20</w:t>
            </w:r>
          </w:p>
        </w:tc>
      </w:tr>
      <w:tr w:rsidR="00285240" w:rsidRPr="007026B1" w14:paraId="67396310" w14:textId="77777777" w:rsidTr="00285240">
        <w:trPr>
          <w:trHeight w:val="255"/>
          <w:jc w:val="center"/>
        </w:trPr>
        <w:tc>
          <w:tcPr>
            <w:tcW w:w="1691" w:type="dxa"/>
            <w:tcBorders>
              <w:top w:val="nil"/>
              <w:left w:val="single" w:sz="8" w:space="0" w:color="auto"/>
              <w:right w:val="nil"/>
            </w:tcBorders>
            <w:shd w:val="clear" w:color="auto" w:fill="auto"/>
            <w:noWrap/>
            <w:vAlign w:val="bottom"/>
          </w:tcPr>
          <w:p w14:paraId="5C783F21" w14:textId="77777777" w:rsidR="00285240" w:rsidRPr="007026B1" w:rsidRDefault="00285240" w:rsidP="00285240">
            <w:pPr>
              <w:keepLines w:val="0"/>
              <w:widowControl/>
              <w:jc w:val="left"/>
              <w:rPr>
                <w:rFonts w:ascii="Cambria" w:hAnsi="Cambria"/>
                <w:bCs/>
                <w:sz w:val="18"/>
                <w:szCs w:val="18"/>
                <w:lang w:val="es-ES"/>
              </w:rPr>
            </w:pPr>
            <w:r w:rsidRPr="007026B1">
              <w:rPr>
                <w:rFonts w:ascii="Cambria" w:hAnsi="Cambria"/>
                <w:bCs/>
                <w:sz w:val="18"/>
                <w:szCs w:val="18"/>
                <w:lang w:val="es-ES"/>
              </w:rPr>
              <w:t>Obligaciones con el personal</w:t>
            </w:r>
          </w:p>
        </w:tc>
        <w:tc>
          <w:tcPr>
            <w:tcW w:w="1278" w:type="dxa"/>
            <w:tcBorders>
              <w:top w:val="nil"/>
              <w:left w:val="single" w:sz="8" w:space="0" w:color="auto"/>
              <w:right w:val="single" w:sz="8" w:space="0" w:color="auto"/>
            </w:tcBorders>
            <w:vAlign w:val="bottom"/>
          </w:tcPr>
          <w:p w14:paraId="76796931" w14:textId="095DD9DA" w:rsidR="00285240" w:rsidRDefault="00285240" w:rsidP="00285240">
            <w:pPr>
              <w:jc w:val="right"/>
              <w:rPr>
                <w:rFonts w:ascii="Cambria" w:hAnsi="Cambria"/>
                <w:sz w:val="18"/>
                <w:szCs w:val="18"/>
              </w:rPr>
            </w:pPr>
            <w:r>
              <w:rPr>
                <w:rFonts w:ascii="Cambria" w:hAnsi="Cambria"/>
                <w:sz w:val="18"/>
                <w:szCs w:val="18"/>
              </w:rPr>
              <w:t>7.602</w:t>
            </w:r>
          </w:p>
        </w:tc>
        <w:tc>
          <w:tcPr>
            <w:tcW w:w="1134" w:type="dxa"/>
            <w:tcBorders>
              <w:top w:val="nil"/>
              <w:left w:val="single" w:sz="8" w:space="0" w:color="auto"/>
              <w:right w:val="single" w:sz="4" w:space="0" w:color="auto"/>
            </w:tcBorders>
            <w:shd w:val="clear" w:color="auto" w:fill="auto"/>
            <w:noWrap/>
            <w:vAlign w:val="bottom"/>
          </w:tcPr>
          <w:p w14:paraId="7B8B94D1" w14:textId="186DB51E" w:rsidR="00285240" w:rsidRPr="007026B1" w:rsidRDefault="00DA43D5" w:rsidP="00DA43D5">
            <w:pPr>
              <w:keepLines w:val="0"/>
              <w:widowControl/>
              <w:jc w:val="center"/>
              <w:rPr>
                <w:rFonts w:ascii="Cambria" w:hAnsi="Cambria"/>
                <w:sz w:val="18"/>
                <w:szCs w:val="18"/>
                <w:lang w:val="es-ES"/>
              </w:rPr>
            </w:pPr>
            <w:r>
              <w:rPr>
                <w:rFonts w:ascii="Cambria" w:hAnsi="Cambria"/>
                <w:sz w:val="18"/>
                <w:szCs w:val="18"/>
                <w:lang w:val="es-ES"/>
              </w:rPr>
              <w:t>-</w:t>
            </w:r>
          </w:p>
        </w:tc>
        <w:tc>
          <w:tcPr>
            <w:tcW w:w="851" w:type="dxa"/>
            <w:tcBorders>
              <w:top w:val="single" w:sz="8" w:space="0" w:color="auto"/>
              <w:left w:val="single" w:sz="4" w:space="0" w:color="auto"/>
              <w:right w:val="single" w:sz="4" w:space="0" w:color="auto"/>
            </w:tcBorders>
            <w:shd w:val="clear" w:color="auto" w:fill="auto"/>
            <w:vAlign w:val="bottom"/>
          </w:tcPr>
          <w:p w14:paraId="04CB9D6A" w14:textId="0B2D0DC2" w:rsidR="00285240" w:rsidRPr="00B7461E" w:rsidRDefault="00CE779D" w:rsidP="00CE779D">
            <w:pPr>
              <w:keepLines w:val="0"/>
              <w:widowControl/>
              <w:jc w:val="right"/>
              <w:rPr>
                <w:rFonts w:ascii="Cambria" w:hAnsi="Cambria"/>
                <w:sz w:val="18"/>
                <w:szCs w:val="18"/>
                <w:lang w:val="es-ES"/>
              </w:rPr>
            </w:pPr>
            <w:r>
              <w:rPr>
                <w:rFonts w:ascii="Cambria" w:hAnsi="Cambria"/>
                <w:sz w:val="18"/>
                <w:szCs w:val="18"/>
                <w:lang w:val="es-ES"/>
              </w:rPr>
              <w:t>(</w:t>
            </w:r>
            <w:r w:rsidR="00742360">
              <w:rPr>
                <w:rFonts w:ascii="Cambria" w:hAnsi="Cambria"/>
                <w:sz w:val="18"/>
                <w:szCs w:val="18"/>
                <w:lang w:val="es-ES"/>
              </w:rPr>
              <w:t>13</w:t>
            </w:r>
            <w:r>
              <w:rPr>
                <w:rFonts w:ascii="Cambria" w:hAnsi="Cambria"/>
                <w:sz w:val="18"/>
                <w:szCs w:val="18"/>
                <w:lang w:val="es-ES"/>
              </w:rPr>
              <w:t>)</w:t>
            </w:r>
          </w:p>
        </w:tc>
        <w:tc>
          <w:tcPr>
            <w:tcW w:w="851" w:type="dxa"/>
            <w:tcBorders>
              <w:top w:val="single" w:sz="8" w:space="0" w:color="auto"/>
              <w:left w:val="single" w:sz="4" w:space="0" w:color="auto"/>
              <w:right w:val="single" w:sz="4" w:space="0" w:color="auto"/>
            </w:tcBorders>
            <w:shd w:val="clear" w:color="auto" w:fill="auto"/>
            <w:noWrap/>
            <w:vAlign w:val="bottom"/>
          </w:tcPr>
          <w:p w14:paraId="1262A50E" w14:textId="53E3407E" w:rsidR="00285240" w:rsidRPr="00742360" w:rsidRDefault="00CE779D" w:rsidP="00CE779D">
            <w:pPr>
              <w:jc w:val="right"/>
              <w:rPr>
                <w:rFonts w:ascii="Cambria" w:hAnsi="Cambria"/>
                <w:sz w:val="18"/>
                <w:szCs w:val="18"/>
              </w:rPr>
            </w:pPr>
            <w:r w:rsidRPr="00742360">
              <w:rPr>
                <w:rFonts w:ascii="Cambria" w:hAnsi="Cambria"/>
                <w:sz w:val="18"/>
                <w:szCs w:val="18"/>
              </w:rPr>
              <w:t>(</w:t>
            </w:r>
            <w:r w:rsidR="00DD4D1F">
              <w:rPr>
                <w:rFonts w:ascii="Cambria" w:hAnsi="Cambria"/>
                <w:sz w:val="18"/>
                <w:szCs w:val="18"/>
              </w:rPr>
              <w:t>62</w:t>
            </w:r>
            <w:r w:rsidRPr="00742360">
              <w:rPr>
                <w:rFonts w:ascii="Cambria" w:hAnsi="Cambria"/>
                <w:sz w:val="18"/>
                <w:szCs w:val="18"/>
              </w:rPr>
              <w:t>)</w:t>
            </w:r>
          </w:p>
        </w:tc>
        <w:tc>
          <w:tcPr>
            <w:tcW w:w="1275" w:type="dxa"/>
            <w:tcBorders>
              <w:top w:val="single" w:sz="8" w:space="0" w:color="auto"/>
              <w:left w:val="single" w:sz="4" w:space="0" w:color="auto"/>
              <w:right w:val="single" w:sz="4" w:space="0" w:color="auto"/>
            </w:tcBorders>
            <w:shd w:val="clear" w:color="auto" w:fill="auto"/>
            <w:noWrap/>
            <w:vAlign w:val="bottom"/>
          </w:tcPr>
          <w:p w14:paraId="6D62D0BE" w14:textId="21DE62CE" w:rsidR="00285240" w:rsidRPr="00742360" w:rsidRDefault="00CE779D" w:rsidP="00285240">
            <w:pPr>
              <w:jc w:val="center"/>
              <w:rPr>
                <w:rFonts w:ascii="Cambria" w:hAnsi="Cambria"/>
                <w:sz w:val="18"/>
                <w:szCs w:val="18"/>
              </w:rPr>
            </w:pPr>
            <w:r w:rsidRPr="00742360">
              <w:rPr>
                <w:rFonts w:ascii="Cambria" w:hAnsi="Cambria"/>
                <w:sz w:val="18"/>
                <w:szCs w:val="18"/>
              </w:rPr>
              <w:t>-</w:t>
            </w:r>
          </w:p>
        </w:tc>
        <w:tc>
          <w:tcPr>
            <w:tcW w:w="993" w:type="dxa"/>
            <w:tcBorders>
              <w:top w:val="single" w:sz="8" w:space="0" w:color="auto"/>
              <w:left w:val="single" w:sz="4" w:space="0" w:color="auto"/>
              <w:right w:val="nil"/>
            </w:tcBorders>
            <w:shd w:val="clear" w:color="auto" w:fill="auto"/>
            <w:noWrap/>
            <w:vAlign w:val="bottom"/>
          </w:tcPr>
          <w:p w14:paraId="02EEEDE2" w14:textId="0DD5B653" w:rsidR="00285240" w:rsidRPr="00742360" w:rsidRDefault="00CE779D" w:rsidP="00285240">
            <w:pPr>
              <w:jc w:val="right"/>
              <w:rPr>
                <w:rFonts w:ascii="Cambria" w:hAnsi="Cambria"/>
                <w:sz w:val="18"/>
                <w:szCs w:val="18"/>
              </w:rPr>
            </w:pPr>
            <w:r w:rsidRPr="00742360">
              <w:rPr>
                <w:rFonts w:ascii="Cambria" w:hAnsi="Cambria"/>
                <w:sz w:val="18"/>
                <w:szCs w:val="18"/>
              </w:rPr>
              <w:t>(1.78</w:t>
            </w:r>
            <w:r w:rsidR="00DD4D1F">
              <w:rPr>
                <w:rFonts w:ascii="Cambria" w:hAnsi="Cambria"/>
                <w:sz w:val="18"/>
                <w:szCs w:val="18"/>
              </w:rPr>
              <w:t>1</w:t>
            </w:r>
            <w:r w:rsidRPr="00742360">
              <w:rPr>
                <w:rFonts w:ascii="Cambria" w:hAnsi="Cambria"/>
                <w:sz w:val="18"/>
                <w:szCs w:val="18"/>
              </w:rPr>
              <w:t>)</w:t>
            </w:r>
          </w:p>
        </w:tc>
        <w:tc>
          <w:tcPr>
            <w:tcW w:w="992" w:type="dxa"/>
            <w:tcBorders>
              <w:top w:val="nil"/>
              <w:left w:val="single" w:sz="8" w:space="0" w:color="auto"/>
              <w:right w:val="single" w:sz="8" w:space="0" w:color="auto"/>
            </w:tcBorders>
            <w:shd w:val="clear" w:color="auto" w:fill="auto"/>
            <w:noWrap/>
            <w:vAlign w:val="bottom"/>
          </w:tcPr>
          <w:p w14:paraId="23289719" w14:textId="638DCCAB" w:rsidR="00285240" w:rsidRPr="007026B1" w:rsidRDefault="00CE779D" w:rsidP="00285240">
            <w:pPr>
              <w:jc w:val="right"/>
              <w:rPr>
                <w:rFonts w:ascii="Cambria" w:hAnsi="Cambria"/>
                <w:sz w:val="18"/>
                <w:szCs w:val="18"/>
              </w:rPr>
            </w:pPr>
            <w:r>
              <w:rPr>
                <w:rFonts w:ascii="Cambria" w:hAnsi="Cambria"/>
                <w:sz w:val="18"/>
                <w:szCs w:val="18"/>
              </w:rPr>
              <w:t>5.74</w:t>
            </w:r>
            <w:r w:rsidR="00742360">
              <w:rPr>
                <w:rFonts w:ascii="Cambria" w:hAnsi="Cambria"/>
                <w:sz w:val="18"/>
                <w:szCs w:val="18"/>
              </w:rPr>
              <w:t>6</w:t>
            </w:r>
          </w:p>
        </w:tc>
      </w:tr>
      <w:tr w:rsidR="00285240" w:rsidRPr="007026B1" w14:paraId="46FE3662" w14:textId="77777777" w:rsidTr="00CE779D">
        <w:trPr>
          <w:trHeight w:val="270"/>
          <w:jc w:val="center"/>
        </w:trPr>
        <w:tc>
          <w:tcPr>
            <w:tcW w:w="1691" w:type="dxa"/>
            <w:tcBorders>
              <w:top w:val="nil"/>
              <w:left w:val="single" w:sz="8" w:space="0" w:color="auto"/>
              <w:right w:val="nil"/>
            </w:tcBorders>
            <w:shd w:val="clear" w:color="auto" w:fill="auto"/>
            <w:noWrap/>
            <w:vAlign w:val="bottom"/>
          </w:tcPr>
          <w:p w14:paraId="1F9A4A83" w14:textId="77777777" w:rsidR="00285240" w:rsidRPr="007026B1" w:rsidRDefault="00285240" w:rsidP="00285240">
            <w:pPr>
              <w:keepLines w:val="0"/>
              <w:widowControl/>
              <w:jc w:val="left"/>
              <w:rPr>
                <w:rFonts w:ascii="Cambria" w:hAnsi="Cambria"/>
                <w:bCs/>
                <w:sz w:val="18"/>
                <w:szCs w:val="18"/>
                <w:lang w:val="es-ES"/>
              </w:rPr>
            </w:pPr>
            <w:r w:rsidRPr="007026B1">
              <w:rPr>
                <w:rFonts w:ascii="Cambria" w:hAnsi="Cambria"/>
                <w:bCs/>
                <w:sz w:val="18"/>
                <w:szCs w:val="18"/>
                <w:lang w:val="es-ES"/>
              </w:rPr>
              <w:t>Provisiones medioambientales</w:t>
            </w:r>
          </w:p>
        </w:tc>
        <w:tc>
          <w:tcPr>
            <w:tcW w:w="1278" w:type="dxa"/>
            <w:tcBorders>
              <w:top w:val="nil"/>
              <w:left w:val="single" w:sz="8" w:space="0" w:color="auto"/>
              <w:right w:val="single" w:sz="8" w:space="0" w:color="auto"/>
            </w:tcBorders>
            <w:vAlign w:val="bottom"/>
          </w:tcPr>
          <w:p w14:paraId="76D4D009" w14:textId="707B2E46" w:rsidR="00285240" w:rsidRDefault="00285240" w:rsidP="00285240">
            <w:pPr>
              <w:jc w:val="right"/>
              <w:rPr>
                <w:rFonts w:ascii="Cambria" w:hAnsi="Cambria"/>
                <w:sz w:val="18"/>
                <w:szCs w:val="18"/>
              </w:rPr>
            </w:pPr>
            <w:r>
              <w:rPr>
                <w:rFonts w:ascii="Cambria" w:hAnsi="Cambria"/>
                <w:sz w:val="18"/>
                <w:szCs w:val="18"/>
              </w:rPr>
              <w:t>706</w:t>
            </w:r>
          </w:p>
        </w:tc>
        <w:tc>
          <w:tcPr>
            <w:tcW w:w="1134" w:type="dxa"/>
            <w:tcBorders>
              <w:top w:val="nil"/>
              <w:left w:val="single" w:sz="8" w:space="0" w:color="auto"/>
              <w:right w:val="single" w:sz="4" w:space="0" w:color="auto"/>
            </w:tcBorders>
            <w:shd w:val="clear" w:color="auto" w:fill="auto"/>
            <w:noWrap/>
            <w:vAlign w:val="bottom"/>
          </w:tcPr>
          <w:p w14:paraId="30BF5E06" w14:textId="43CA06EE" w:rsidR="00285240" w:rsidRPr="007026B1" w:rsidRDefault="00DA43D5" w:rsidP="00285240">
            <w:pPr>
              <w:keepLines w:val="0"/>
              <w:widowControl/>
              <w:jc w:val="center"/>
              <w:rPr>
                <w:rFonts w:ascii="Cambria" w:hAnsi="Cambria"/>
                <w:sz w:val="18"/>
                <w:szCs w:val="18"/>
                <w:lang w:val="es-ES"/>
              </w:rPr>
            </w:pPr>
            <w:r>
              <w:rPr>
                <w:rFonts w:ascii="Cambria" w:hAnsi="Cambria"/>
                <w:sz w:val="18"/>
                <w:szCs w:val="18"/>
                <w:lang w:val="es-ES"/>
              </w:rPr>
              <w:t>-</w:t>
            </w:r>
          </w:p>
        </w:tc>
        <w:tc>
          <w:tcPr>
            <w:tcW w:w="851" w:type="dxa"/>
            <w:tcBorders>
              <w:top w:val="nil"/>
              <w:left w:val="single" w:sz="4" w:space="0" w:color="auto"/>
              <w:right w:val="single" w:sz="4" w:space="0" w:color="auto"/>
            </w:tcBorders>
            <w:shd w:val="clear" w:color="auto" w:fill="auto"/>
            <w:vAlign w:val="bottom"/>
          </w:tcPr>
          <w:p w14:paraId="261CCE91" w14:textId="748EF53C" w:rsidR="00285240" w:rsidRPr="007026B1" w:rsidRDefault="00CE779D" w:rsidP="00285240">
            <w:pPr>
              <w:jc w:val="center"/>
              <w:rPr>
                <w:rFonts w:ascii="Cambria" w:hAnsi="Cambria"/>
                <w:sz w:val="18"/>
                <w:szCs w:val="18"/>
              </w:rPr>
            </w:pPr>
            <w:r>
              <w:rPr>
                <w:rFonts w:ascii="Cambria" w:hAnsi="Cambria"/>
                <w:sz w:val="18"/>
                <w:szCs w:val="18"/>
              </w:rPr>
              <w:t>-</w:t>
            </w:r>
          </w:p>
        </w:tc>
        <w:tc>
          <w:tcPr>
            <w:tcW w:w="851" w:type="dxa"/>
            <w:tcBorders>
              <w:top w:val="nil"/>
              <w:left w:val="single" w:sz="4" w:space="0" w:color="auto"/>
              <w:right w:val="single" w:sz="4" w:space="0" w:color="auto"/>
            </w:tcBorders>
            <w:shd w:val="clear" w:color="auto" w:fill="auto"/>
            <w:noWrap/>
            <w:vAlign w:val="bottom"/>
          </w:tcPr>
          <w:p w14:paraId="3A2D4799" w14:textId="1FC23375" w:rsidR="00285240" w:rsidRPr="007026B1" w:rsidRDefault="00CE779D" w:rsidP="00285240">
            <w:pPr>
              <w:jc w:val="center"/>
              <w:rPr>
                <w:rFonts w:ascii="Cambria" w:hAnsi="Cambria"/>
                <w:sz w:val="18"/>
                <w:szCs w:val="18"/>
              </w:rPr>
            </w:pPr>
            <w:r>
              <w:rPr>
                <w:rFonts w:ascii="Cambria" w:hAnsi="Cambria"/>
                <w:sz w:val="18"/>
                <w:szCs w:val="18"/>
              </w:rPr>
              <w:t>-</w:t>
            </w:r>
          </w:p>
        </w:tc>
        <w:tc>
          <w:tcPr>
            <w:tcW w:w="1275" w:type="dxa"/>
            <w:tcBorders>
              <w:top w:val="nil"/>
              <w:left w:val="single" w:sz="4" w:space="0" w:color="auto"/>
              <w:right w:val="single" w:sz="4" w:space="0" w:color="auto"/>
            </w:tcBorders>
            <w:shd w:val="clear" w:color="auto" w:fill="auto"/>
            <w:noWrap/>
            <w:vAlign w:val="bottom"/>
          </w:tcPr>
          <w:p w14:paraId="762097E3" w14:textId="3E0F23EB" w:rsidR="00285240" w:rsidRPr="007026B1" w:rsidRDefault="00CE779D" w:rsidP="00285240">
            <w:pPr>
              <w:jc w:val="center"/>
              <w:rPr>
                <w:rFonts w:ascii="Cambria" w:hAnsi="Cambria"/>
                <w:sz w:val="18"/>
                <w:szCs w:val="18"/>
              </w:rPr>
            </w:pPr>
            <w:r>
              <w:rPr>
                <w:rFonts w:ascii="Cambria" w:hAnsi="Cambria"/>
                <w:sz w:val="18"/>
                <w:szCs w:val="18"/>
              </w:rPr>
              <w:t>-</w:t>
            </w:r>
          </w:p>
        </w:tc>
        <w:tc>
          <w:tcPr>
            <w:tcW w:w="993" w:type="dxa"/>
            <w:tcBorders>
              <w:top w:val="nil"/>
              <w:left w:val="single" w:sz="4" w:space="0" w:color="auto"/>
              <w:right w:val="nil"/>
            </w:tcBorders>
            <w:shd w:val="clear" w:color="auto" w:fill="auto"/>
            <w:noWrap/>
            <w:vAlign w:val="bottom"/>
          </w:tcPr>
          <w:p w14:paraId="5B6FE177" w14:textId="1D5D66C2" w:rsidR="00285240" w:rsidRPr="007026B1" w:rsidRDefault="00CE779D" w:rsidP="00285240">
            <w:pPr>
              <w:jc w:val="right"/>
              <w:rPr>
                <w:rFonts w:ascii="Cambria" w:hAnsi="Cambria"/>
                <w:sz w:val="18"/>
                <w:szCs w:val="18"/>
              </w:rPr>
            </w:pPr>
            <w:r>
              <w:rPr>
                <w:rFonts w:ascii="Cambria" w:hAnsi="Cambria"/>
                <w:sz w:val="18"/>
                <w:szCs w:val="18"/>
              </w:rPr>
              <w:t>(37</w:t>
            </w:r>
            <w:r w:rsidR="00DD4D1F">
              <w:rPr>
                <w:rFonts w:ascii="Cambria" w:hAnsi="Cambria"/>
                <w:sz w:val="18"/>
                <w:szCs w:val="18"/>
              </w:rPr>
              <w:t>4</w:t>
            </w:r>
            <w:r>
              <w:rPr>
                <w:rFonts w:ascii="Cambria" w:hAnsi="Cambria"/>
                <w:sz w:val="18"/>
                <w:szCs w:val="18"/>
              </w:rPr>
              <w:t>)</w:t>
            </w:r>
          </w:p>
        </w:tc>
        <w:tc>
          <w:tcPr>
            <w:tcW w:w="992" w:type="dxa"/>
            <w:tcBorders>
              <w:top w:val="nil"/>
              <w:left w:val="single" w:sz="8" w:space="0" w:color="auto"/>
              <w:right w:val="single" w:sz="8" w:space="0" w:color="auto"/>
            </w:tcBorders>
            <w:shd w:val="clear" w:color="auto" w:fill="auto"/>
            <w:noWrap/>
            <w:vAlign w:val="bottom"/>
          </w:tcPr>
          <w:p w14:paraId="6E2971C3" w14:textId="4947A8ED" w:rsidR="00285240" w:rsidRPr="007026B1" w:rsidRDefault="00CE779D" w:rsidP="00285240">
            <w:pPr>
              <w:jc w:val="right"/>
              <w:rPr>
                <w:rFonts w:ascii="Cambria" w:hAnsi="Cambria"/>
                <w:sz w:val="18"/>
                <w:szCs w:val="18"/>
              </w:rPr>
            </w:pPr>
            <w:r>
              <w:rPr>
                <w:rFonts w:ascii="Cambria" w:hAnsi="Cambria"/>
                <w:sz w:val="18"/>
                <w:szCs w:val="18"/>
              </w:rPr>
              <w:t>33</w:t>
            </w:r>
            <w:r w:rsidR="00DD4D1F">
              <w:rPr>
                <w:rFonts w:ascii="Cambria" w:hAnsi="Cambria"/>
                <w:sz w:val="18"/>
                <w:szCs w:val="18"/>
              </w:rPr>
              <w:t>2</w:t>
            </w:r>
          </w:p>
        </w:tc>
      </w:tr>
      <w:tr w:rsidR="00285240" w:rsidRPr="007026B1" w14:paraId="39E0CC27" w14:textId="77777777" w:rsidTr="00285240">
        <w:trPr>
          <w:trHeight w:val="270"/>
          <w:jc w:val="center"/>
        </w:trPr>
        <w:tc>
          <w:tcPr>
            <w:tcW w:w="1691" w:type="dxa"/>
            <w:tcBorders>
              <w:left w:val="single" w:sz="8" w:space="0" w:color="auto"/>
              <w:bottom w:val="single" w:sz="8" w:space="0" w:color="auto"/>
              <w:right w:val="nil"/>
            </w:tcBorders>
            <w:shd w:val="clear" w:color="auto" w:fill="auto"/>
            <w:noWrap/>
            <w:vAlign w:val="bottom"/>
          </w:tcPr>
          <w:p w14:paraId="217920D9" w14:textId="77777777" w:rsidR="00285240" w:rsidRPr="007026B1" w:rsidRDefault="00285240" w:rsidP="00285240">
            <w:pPr>
              <w:keepLines w:val="0"/>
              <w:widowControl/>
              <w:jc w:val="left"/>
              <w:rPr>
                <w:rFonts w:ascii="Cambria" w:hAnsi="Cambria"/>
                <w:bCs/>
                <w:sz w:val="18"/>
                <w:szCs w:val="18"/>
                <w:lang w:val="es-ES"/>
              </w:rPr>
            </w:pPr>
            <w:r w:rsidRPr="007026B1">
              <w:rPr>
                <w:rFonts w:ascii="Cambria" w:hAnsi="Cambria"/>
                <w:bCs/>
                <w:sz w:val="18"/>
                <w:szCs w:val="18"/>
                <w:lang w:val="es-ES"/>
              </w:rPr>
              <w:t>Otras</w:t>
            </w:r>
          </w:p>
        </w:tc>
        <w:tc>
          <w:tcPr>
            <w:tcW w:w="1278" w:type="dxa"/>
            <w:tcBorders>
              <w:left w:val="single" w:sz="8" w:space="0" w:color="auto"/>
              <w:bottom w:val="single" w:sz="8" w:space="0" w:color="auto"/>
              <w:right w:val="single" w:sz="8" w:space="0" w:color="auto"/>
            </w:tcBorders>
            <w:vAlign w:val="bottom"/>
          </w:tcPr>
          <w:p w14:paraId="2B24396D" w14:textId="40AB2878" w:rsidR="00285240" w:rsidRDefault="00285240" w:rsidP="00285240">
            <w:pPr>
              <w:jc w:val="right"/>
              <w:rPr>
                <w:rFonts w:ascii="Cambria" w:hAnsi="Cambria"/>
                <w:sz w:val="18"/>
                <w:szCs w:val="18"/>
              </w:rPr>
            </w:pPr>
            <w:r>
              <w:rPr>
                <w:rFonts w:ascii="Cambria" w:hAnsi="Cambria"/>
                <w:sz w:val="18"/>
                <w:szCs w:val="18"/>
              </w:rPr>
              <w:t>9.320</w:t>
            </w:r>
          </w:p>
        </w:tc>
        <w:tc>
          <w:tcPr>
            <w:tcW w:w="1134" w:type="dxa"/>
            <w:tcBorders>
              <w:left w:val="single" w:sz="8" w:space="0" w:color="auto"/>
              <w:bottom w:val="single" w:sz="8" w:space="0" w:color="auto"/>
              <w:right w:val="single" w:sz="4" w:space="0" w:color="auto"/>
            </w:tcBorders>
            <w:shd w:val="clear" w:color="auto" w:fill="auto"/>
            <w:noWrap/>
            <w:vAlign w:val="bottom"/>
          </w:tcPr>
          <w:p w14:paraId="4A2D8B38" w14:textId="098EFB77" w:rsidR="00285240" w:rsidRPr="007026B1" w:rsidRDefault="00DA43D5" w:rsidP="00285240">
            <w:pPr>
              <w:keepLines w:val="0"/>
              <w:widowControl/>
              <w:jc w:val="right"/>
              <w:rPr>
                <w:rFonts w:ascii="Cambria" w:hAnsi="Cambria"/>
                <w:sz w:val="18"/>
                <w:szCs w:val="18"/>
                <w:lang w:val="es-ES"/>
              </w:rPr>
            </w:pPr>
            <w:r>
              <w:rPr>
                <w:rFonts w:ascii="Cambria" w:hAnsi="Cambria"/>
                <w:sz w:val="18"/>
                <w:szCs w:val="18"/>
                <w:lang w:val="es-ES"/>
              </w:rPr>
              <w:t>1.624</w:t>
            </w:r>
          </w:p>
        </w:tc>
        <w:tc>
          <w:tcPr>
            <w:tcW w:w="851" w:type="dxa"/>
            <w:tcBorders>
              <w:left w:val="single" w:sz="4" w:space="0" w:color="auto"/>
              <w:bottom w:val="single" w:sz="8" w:space="0" w:color="auto"/>
              <w:right w:val="single" w:sz="4" w:space="0" w:color="auto"/>
            </w:tcBorders>
            <w:shd w:val="clear" w:color="auto" w:fill="auto"/>
          </w:tcPr>
          <w:p w14:paraId="5042B6F7" w14:textId="290D0BEB" w:rsidR="00285240" w:rsidRPr="007026B1" w:rsidRDefault="00CE779D" w:rsidP="00285240">
            <w:pPr>
              <w:jc w:val="center"/>
              <w:rPr>
                <w:rFonts w:ascii="Cambria" w:hAnsi="Cambria"/>
                <w:sz w:val="18"/>
                <w:szCs w:val="18"/>
              </w:rPr>
            </w:pPr>
            <w:r>
              <w:rPr>
                <w:rFonts w:ascii="Cambria" w:hAnsi="Cambria"/>
                <w:sz w:val="18"/>
                <w:szCs w:val="18"/>
              </w:rPr>
              <w:t>-</w:t>
            </w:r>
          </w:p>
        </w:tc>
        <w:tc>
          <w:tcPr>
            <w:tcW w:w="851" w:type="dxa"/>
            <w:tcBorders>
              <w:left w:val="single" w:sz="4" w:space="0" w:color="auto"/>
              <w:bottom w:val="single" w:sz="8" w:space="0" w:color="auto"/>
              <w:right w:val="single" w:sz="4" w:space="0" w:color="auto"/>
            </w:tcBorders>
            <w:shd w:val="clear" w:color="auto" w:fill="auto"/>
            <w:noWrap/>
            <w:vAlign w:val="bottom"/>
          </w:tcPr>
          <w:p w14:paraId="2A71F07B" w14:textId="6F0685E0" w:rsidR="00285240" w:rsidRPr="007026B1" w:rsidRDefault="00CE779D" w:rsidP="00285240">
            <w:pPr>
              <w:jc w:val="right"/>
              <w:rPr>
                <w:rFonts w:ascii="Cambria" w:hAnsi="Cambria"/>
                <w:sz w:val="18"/>
                <w:szCs w:val="18"/>
              </w:rPr>
            </w:pPr>
            <w:r>
              <w:rPr>
                <w:rFonts w:ascii="Cambria" w:hAnsi="Cambria"/>
                <w:sz w:val="18"/>
                <w:szCs w:val="18"/>
              </w:rPr>
              <w:t>(2.</w:t>
            </w:r>
            <w:r w:rsidR="00DD4D1F">
              <w:rPr>
                <w:rFonts w:ascii="Cambria" w:hAnsi="Cambria"/>
                <w:sz w:val="18"/>
                <w:szCs w:val="18"/>
              </w:rPr>
              <w:t>517</w:t>
            </w:r>
            <w:r>
              <w:rPr>
                <w:rFonts w:ascii="Cambria" w:hAnsi="Cambria"/>
                <w:sz w:val="18"/>
                <w:szCs w:val="18"/>
              </w:rPr>
              <w:t>)</w:t>
            </w:r>
          </w:p>
        </w:tc>
        <w:tc>
          <w:tcPr>
            <w:tcW w:w="1275" w:type="dxa"/>
            <w:tcBorders>
              <w:left w:val="single" w:sz="4" w:space="0" w:color="auto"/>
              <w:bottom w:val="single" w:sz="8" w:space="0" w:color="auto"/>
              <w:right w:val="single" w:sz="4" w:space="0" w:color="auto"/>
            </w:tcBorders>
            <w:shd w:val="clear" w:color="auto" w:fill="auto"/>
            <w:noWrap/>
            <w:vAlign w:val="bottom"/>
          </w:tcPr>
          <w:p w14:paraId="702374D9" w14:textId="51ED1BD5" w:rsidR="00285240" w:rsidRPr="007026B1" w:rsidRDefault="00CE779D" w:rsidP="00285240">
            <w:pPr>
              <w:jc w:val="right"/>
              <w:rPr>
                <w:rFonts w:ascii="Cambria" w:hAnsi="Cambria"/>
                <w:sz w:val="18"/>
                <w:szCs w:val="18"/>
              </w:rPr>
            </w:pPr>
            <w:r>
              <w:rPr>
                <w:rFonts w:ascii="Cambria" w:hAnsi="Cambria"/>
                <w:sz w:val="18"/>
                <w:szCs w:val="18"/>
              </w:rPr>
              <w:t>(97</w:t>
            </w:r>
            <w:r w:rsidR="00DD4D1F">
              <w:rPr>
                <w:rFonts w:ascii="Cambria" w:hAnsi="Cambria"/>
                <w:sz w:val="18"/>
                <w:szCs w:val="18"/>
              </w:rPr>
              <w:t>4</w:t>
            </w:r>
            <w:r>
              <w:rPr>
                <w:rFonts w:ascii="Cambria" w:hAnsi="Cambria"/>
                <w:sz w:val="18"/>
                <w:szCs w:val="18"/>
              </w:rPr>
              <w:t>)</w:t>
            </w:r>
          </w:p>
        </w:tc>
        <w:tc>
          <w:tcPr>
            <w:tcW w:w="993" w:type="dxa"/>
            <w:tcBorders>
              <w:left w:val="single" w:sz="4" w:space="0" w:color="auto"/>
              <w:bottom w:val="single" w:sz="8" w:space="0" w:color="auto"/>
              <w:right w:val="nil"/>
            </w:tcBorders>
            <w:shd w:val="clear" w:color="auto" w:fill="auto"/>
            <w:noWrap/>
            <w:vAlign w:val="bottom"/>
          </w:tcPr>
          <w:p w14:paraId="1B46A4B1" w14:textId="08DA896E" w:rsidR="00285240" w:rsidRPr="007026B1" w:rsidRDefault="00CE779D" w:rsidP="00285240">
            <w:pPr>
              <w:jc w:val="center"/>
              <w:rPr>
                <w:rFonts w:ascii="Cambria" w:hAnsi="Cambria"/>
                <w:sz w:val="18"/>
                <w:szCs w:val="18"/>
              </w:rPr>
            </w:pPr>
            <w:r>
              <w:rPr>
                <w:rFonts w:ascii="Cambria" w:hAnsi="Cambria"/>
                <w:sz w:val="18"/>
                <w:szCs w:val="18"/>
              </w:rPr>
              <w:t>-</w:t>
            </w:r>
          </w:p>
        </w:tc>
        <w:tc>
          <w:tcPr>
            <w:tcW w:w="992" w:type="dxa"/>
            <w:tcBorders>
              <w:left w:val="single" w:sz="8" w:space="0" w:color="auto"/>
              <w:bottom w:val="single" w:sz="8" w:space="0" w:color="auto"/>
              <w:right w:val="single" w:sz="8" w:space="0" w:color="auto"/>
            </w:tcBorders>
            <w:shd w:val="clear" w:color="auto" w:fill="auto"/>
            <w:noWrap/>
            <w:vAlign w:val="bottom"/>
          </w:tcPr>
          <w:p w14:paraId="0028D785" w14:textId="6201E668" w:rsidR="00285240" w:rsidRPr="007026B1" w:rsidRDefault="00CE779D" w:rsidP="00285240">
            <w:pPr>
              <w:jc w:val="right"/>
              <w:rPr>
                <w:rFonts w:ascii="Cambria" w:hAnsi="Cambria"/>
                <w:sz w:val="18"/>
                <w:szCs w:val="18"/>
              </w:rPr>
            </w:pPr>
            <w:r>
              <w:rPr>
                <w:rFonts w:ascii="Cambria" w:hAnsi="Cambria"/>
                <w:sz w:val="18"/>
                <w:szCs w:val="18"/>
              </w:rPr>
              <w:t>7.</w:t>
            </w:r>
            <w:r w:rsidR="00DD4D1F">
              <w:rPr>
                <w:rFonts w:ascii="Cambria" w:hAnsi="Cambria"/>
                <w:sz w:val="18"/>
                <w:szCs w:val="18"/>
              </w:rPr>
              <w:t>453</w:t>
            </w:r>
          </w:p>
        </w:tc>
      </w:tr>
      <w:tr w:rsidR="00285240" w:rsidRPr="00F8465B" w14:paraId="1AE3BAE6" w14:textId="77777777" w:rsidTr="00285240">
        <w:trPr>
          <w:trHeight w:val="245"/>
          <w:jc w:val="center"/>
        </w:trPr>
        <w:tc>
          <w:tcPr>
            <w:tcW w:w="1691" w:type="dxa"/>
            <w:tcBorders>
              <w:top w:val="nil"/>
              <w:left w:val="single" w:sz="8" w:space="0" w:color="auto"/>
              <w:bottom w:val="single" w:sz="8" w:space="0" w:color="auto"/>
              <w:right w:val="nil"/>
            </w:tcBorders>
            <w:shd w:val="clear" w:color="auto" w:fill="auto"/>
            <w:noWrap/>
            <w:vAlign w:val="bottom"/>
          </w:tcPr>
          <w:p w14:paraId="0004CEE9" w14:textId="77777777" w:rsidR="00285240" w:rsidRPr="007026B1" w:rsidRDefault="00285240" w:rsidP="00285240">
            <w:pPr>
              <w:keepLines w:val="0"/>
              <w:widowControl/>
              <w:jc w:val="left"/>
              <w:rPr>
                <w:rFonts w:ascii="Cambria" w:hAnsi="Cambria"/>
                <w:b/>
                <w:bCs/>
                <w:sz w:val="18"/>
                <w:szCs w:val="18"/>
                <w:lang w:val="es-ES"/>
              </w:rPr>
            </w:pPr>
            <w:r w:rsidRPr="007026B1">
              <w:rPr>
                <w:rFonts w:ascii="Cambria" w:hAnsi="Cambria"/>
                <w:b/>
                <w:bCs/>
                <w:sz w:val="18"/>
                <w:szCs w:val="18"/>
                <w:lang w:val="es-ES"/>
              </w:rPr>
              <w:t>Total a largo plazo</w:t>
            </w:r>
          </w:p>
        </w:tc>
        <w:tc>
          <w:tcPr>
            <w:tcW w:w="1278" w:type="dxa"/>
            <w:tcBorders>
              <w:top w:val="nil"/>
              <w:left w:val="single" w:sz="8" w:space="0" w:color="auto"/>
              <w:bottom w:val="single" w:sz="8" w:space="0" w:color="auto"/>
              <w:right w:val="single" w:sz="8" w:space="0" w:color="auto"/>
            </w:tcBorders>
            <w:vAlign w:val="bottom"/>
          </w:tcPr>
          <w:p w14:paraId="6D9395BA" w14:textId="013C52F2" w:rsidR="00285240" w:rsidRDefault="00285240" w:rsidP="00285240">
            <w:pPr>
              <w:jc w:val="right"/>
              <w:rPr>
                <w:rFonts w:ascii="Cambria" w:hAnsi="Cambria"/>
                <w:b/>
                <w:bCs/>
                <w:sz w:val="18"/>
                <w:szCs w:val="18"/>
              </w:rPr>
            </w:pPr>
            <w:r>
              <w:rPr>
                <w:rFonts w:ascii="Cambria" w:hAnsi="Cambria"/>
                <w:b/>
                <w:bCs/>
                <w:sz w:val="18"/>
                <w:szCs w:val="18"/>
              </w:rPr>
              <w:t>17.628</w:t>
            </w:r>
          </w:p>
        </w:tc>
        <w:tc>
          <w:tcPr>
            <w:tcW w:w="1134" w:type="dxa"/>
            <w:tcBorders>
              <w:top w:val="nil"/>
              <w:left w:val="single" w:sz="8" w:space="0" w:color="auto"/>
              <w:bottom w:val="single" w:sz="8" w:space="0" w:color="auto"/>
              <w:right w:val="single" w:sz="4" w:space="0" w:color="auto"/>
            </w:tcBorders>
            <w:shd w:val="clear" w:color="auto" w:fill="auto"/>
            <w:noWrap/>
            <w:vAlign w:val="bottom"/>
          </w:tcPr>
          <w:p w14:paraId="50A4A44D" w14:textId="74D5FBD0" w:rsidR="00285240" w:rsidRPr="007026B1" w:rsidRDefault="00DA43D5" w:rsidP="00285240">
            <w:pPr>
              <w:keepLines w:val="0"/>
              <w:widowControl/>
              <w:jc w:val="right"/>
              <w:rPr>
                <w:rFonts w:ascii="Cambria" w:hAnsi="Cambria"/>
                <w:b/>
                <w:bCs/>
                <w:sz w:val="18"/>
                <w:szCs w:val="18"/>
                <w:lang w:val="es-ES"/>
              </w:rPr>
            </w:pPr>
            <w:r>
              <w:rPr>
                <w:rFonts w:ascii="Cambria" w:hAnsi="Cambria"/>
                <w:b/>
                <w:bCs/>
                <w:sz w:val="18"/>
                <w:szCs w:val="18"/>
                <w:lang w:val="es-ES"/>
              </w:rPr>
              <w:t>1.624</w:t>
            </w:r>
          </w:p>
        </w:tc>
        <w:tc>
          <w:tcPr>
            <w:tcW w:w="851" w:type="dxa"/>
            <w:tcBorders>
              <w:top w:val="nil"/>
              <w:left w:val="single" w:sz="4" w:space="0" w:color="auto"/>
              <w:bottom w:val="single" w:sz="4" w:space="0" w:color="auto"/>
              <w:right w:val="single" w:sz="4" w:space="0" w:color="auto"/>
            </w:tcBorders>
            <w:shd w:val="clear" w:color="auto" w:fill="auto"/>
          </w:tcPr>
          <w:p w14:paraId="4F3D53C4" w14:textId="191A02A0" w:rsidR="00285240" w:rsidRPr="007026B1" w:rsidRDefault="00CE779D" w:rsidP="00285240">
            <w:pPr>
              <w:jc w:val="right"/>
              <w:rPr>
                <w:rFonts w:ascii="Cambria" w:hAnsi="Cambria"/>
                <w:b/>
                <w:bCs/>
                <w:sz w:val="18"/>
                <w:szCs w:val="18"/>
              </w:rPr>
            </w:pPr>
            <w:r>
              <w:rPr>
                <w:rFonts w:ascii="Cambria" w:hAnsi="Cambria"/>
                <w:b/>
                <w:bCs/>
                <w:sz w:val="18"/>
                <w:szCs w:val="18"/>
              </w:rPr>
              <w:t>(</w:t>
            </w:r>
            <w:r w:rsidR="00DD4D1F">
              <w:rPr>
                <w:rFonts w:ascii="Cambria" w:hAnsi="Cambria"/>
                <w:b/>
                <w:bCs/>
                <w:sz w:val="18"/>
                <w:szCs w:val="18"/>
              </w:rPr>
              <w:t>13</w:t>
            </w:r>
            <w:r>
              <w:rPr>
                <w:rFonts w:ascii="Cambria" w:hAnsi="Cambria"/>
                <w:b/>
                <w:bCs/>
                <w:sz w:val="18"/>
                <w:szCs w:val="18"/>
              </w:rPr>
              <w:t>)</w:t>
            </w:r>
          </w:p>
        </w:tc>
        <w:tc>
          <w:tcPr>
            <w:tcW w:w="851" w:type="dxa"/>
            <w:tcBorders>
              <w:top w:val="nil"/>
              <w:left w:val="single" w:sz="4" w:space="0" w:color="auto"/>
              <w:bottom w:val="single" w:sz="8" w:space="0" w:color="auto"/>
              <w:right w:val="single" w:sz="8" w:space="0" w:color="auto"/>
            </w:tcBorders>
            <w:shd w:val="clear" w:color="auto" w:fill="auto"/>
            <w:noWrap/>
            <w:vAlign w:val="bottom"/>
          </w:tcPr>
          <w:p w14:paraId="7EC3545A" w14:textId="4062AC64" w:rsidR="00285240" w:rsidRPr="007026B1" w:rsidRDefault="00CE779D" w:rsidP="00285240">
            <w:pPr>
              <w:jc w:val="right"/>
              <w:rPr>
                <w:rFonts w:ascii="Cambria" w:hAnsi="Cambria"/>
                <w:b/>
                <w:bCs/>
                <w:sz w:val="18"/>
                <w:szCs w:val="18"/>
              </w:rPr>
            </w:pPr>
            <w:r>
              <w:rPr>
                <w:rFonts w:ascii="Cambria" w:hAnsi="Cambria"/>
                <w:b/>
                <w:bCs/>
                <w:sz w:val="18"/>
                <w:szCs w:val="18"/>
              </w:rPr>
              <w:t>(2.</w:t>
            </w:r>
            <w:r w:rsidR="00DD4D1F">
              <w:rPr>
                <w:rFonts w:ascii="Cambria" w:hAnsi="Cambria"/>
                <w:b/>
                <w:bCs/>
                <w:sz w:val="18"/>
                <w:szCs w:val="18"/>
              </w:rPr>
              <w:t>579</w:t>
            </w:r>
            <w:r>
              <w:rPr>
                <w:rFonts w:ascii="Cambria" w:hAnsi="Cambria"/>
                <w:b/>
                <w:bCs/>
                <w:sz w:val="18"/>
                <w:szCs w:val="18"/>
              </w:rPr>
              <w:t>)</w:t>
            </w:r>
          </w:p>
        </w:tc>
        <w:tc>
          <w:tcPr>
            <w:tcW w:w="1275" w:type="dxa"/>
            <w:tcBorders>
              <w:top w:val="nil"/>
              <w:left w:val="nil"/>
              <w:bottom w:val="single" w:sz="8" w:space="0" w:color="auto"/>
              <w:right w:val="single" w:sz="8" w:space="0" w:color="auto"/>
            </w:tcBorders>
            <w:shd w:val="clear" w:color="auto" w:fill="auto"/>
            <w:noWrap/>
            <w:vAlign w:val="bottom"/>
          </w:tcPr>
          <w:p w14:paraId="2687EBD8" w14:textId="277BB9D1" w:rsidR="00285240" w:rsidRPr="007026B1" w:rsidRDefault="00CE779D" w:rsidP="00285240">
            <w:pPr>
              <w:jc w:val="right"/>
              <w:rPr>
                <w:rFonts w:ascii="Cambria" w:hAnsi="Cambria"/>
                <w:b/>
                <w:bCs/>
                <w:sz w:val="18"/>
                <w:szCs w:val="18"/>
              </w:rPr>
            </w:pPr>
            <w:r>
              <w:rPr>
                <w:rFonts w:ascii="Cambria" w:hAnsi="Cambria"/>
                <w:b/>
                <w:bCs/>
                <w:sz w:val="18"/>
                <w:szCs w:val="18"/>
              </w:rPr>
              <w:t>(97</w:t>
            </w:r>
            <w:r w:rsidR="00DD4D1F">
              <w:rPr>
                <w:rFonts w:ascii="Cambria" w:hAnsi="Cambria"/>
                <w:b/>
                <w:bCs/>
                <w:sz w:val="18"/>
                <w:szCs w:val="18"/>
              </w:rPr>
              <w:t>4</w:t>
            </w:r>
            <w:r>
              <w:rPr>
                <w:rFonts w:ascii="Cambria" w:hAnsi="Cambria"/>
                <w:b/>
                <w:bCs/>
                <w:sz w:val="18"/>
                <w:szCs w:val="18"/>
              </w:rPr>
              <w:t>)</w:t>
            </w:r>
          </w:p>
        </w:tc>
        <w:tc>
          <w:tcPr>
            <w:tcW w:w="993" w:type="dxa"/>
            <w:tcBorders>
              <w:top w:val="nil"/>
              <w:left w:val="nil"/>
              <w:bottom w:val="single" w:sz="8" w:space="0" w:color="auto"/>
              <w:right w:val="single" w:sz="8" w:space="0" w:color="auto"/>
            </w:tcBorders>
            <w:shd w:val="clear" w:color="auto" w:fill="auto"/>
            <w:noWrap/>
            <w:vAlign w:val="bottom"/>
          </w:tcPr>
          <w:p w14:paraId="476F8DB8" w14:textId="62F2E32E" w:rsidR="00285240" w:rsidRPr="007026B1" w:rsidRDefault="00CE779D" w:rsidP="00285240">
            <w:pPr>
              <w:jc w:val="right"/>
              <w:rPr>
                <w:rFonts w:ascii="Cambria" w:hAnsi="Cambria"/>
                <w:b/>
                <w:bCs/>
                <w:sz w:val="18"/>
                <w:szCs w:val="18"/>
              </w:rPr>
            </w:pPr>
            <w:r>
              <w:rPr>
                <w:rFonts w:ascii="Cambria" w:hAnsi="Cambria"/>
                <w:b/>
                <w:bCs/>
                <w:sz w:val="18"/>
                <w:szCs w:val="18"/>
              </w:rPr>
              <w:t>(2.15</w:t>
            </w:r>
            <w:r w:rsidR="00DD4D1F">
              <w:rPr>
                <w:rFonts w:ascii="Cambria" w:hAnsi="Cambria"/>
                <w:b/>
                <w:bCs/>
                <w:sz w:val="18"/>
                <w:szCs w:val="18"/>
              </w:rPr>
              <w:t>5</w:t>
            </w:r>
            <w:r>
              <w:rPr>
                <w:rFonts w:ascii="Cambria" w:hAnsi="Cambria"/>
                <w:b/>
                <w:bCs/>
                <w:sz w:val="18"/>
                <w:szCs w:val="18"/>
              </w:rPr>
              <w:t>)</w:t>
            </w:r>
          </w:p>
        </w:tc>
        <w:tc>
          <w:tcPr>
            <w:tcW w:w="992" w:type="dxa"/>
            <w:tcBorders>
              <w:top w:val="nil"/>
              <w:left w:val="nil"/>
              <w:bottom w:val="single" w:sz="8" w:space="0" w:color="auto"/>
              <w:right w:val="single" w:sz="8" w:space="0" w:color="auto"/>
            </w:tcBorders>
            <w:shd w:val="clear" w:color="auto" w:fill="auto"/>
            <w:noWrap/>
            <w:vAlign w:val="bottom"/>
          </w:tcPr>
          <w:p w14:paraId="1D9C93ED" w14:textId="7AD92AB6" w:rsidR="00285240" w:rsidRPr="007026B1" w:rsidRDefault="00CE779D" w:rsidP="00285240">
            <w:pPr>
              <w:jc w:val="right"/>
              <w:rPr>
                <w:rFonts w:ascii="Cambria" w:hAnsi="Cambria"/>
                <w:b/>
                <w:bCs/>
                <w:sz w:val="18"/>
                <w:szCs w:val="18"/>
              </w:rPr>
            </w:pPr>
            <w:r>
              <w:rPr>
                <w:rFonts w:ascii="Cambria" w:hAnsi="Cambria"/>
                <w:b/>
                <w:bCs/>
                <w:sz w:val="18"/>
                <w:szCs w:val="18"/>
              </w:rPr>
              <w:t>13.</w:t>
            </w:r>
            <w:r w:rsidR="001D153E">
              <w:rPr>
                <w:rFonts w:ascii="Cambria" w:hAnsi="Cambria"/>
                <w:b/>
                <w:bCs/>
                <w:sz w:val="18"/>
                <w:szCs w:val="18"/>
              </w:rPr>
              <w:t>531</w:t>
            </w:r>
          </w:p>
        </w:tc>
      </w:tr>
    </w:tbl>
    <w:p w14:paraId="2D85CE31" w14:textId="77777777" w:rsidR="006B3D41" w:rsidRDefault="006B3D41" w:rsidP="006B3D41">
      <w:pPr>
        <w:ind w:left="567"/>
        <w:rPr>
          <w:rFonts w:ascii="Cambria" w:hAnsi="Cambria"/>
          <w:b/>
          <w:sz w:val="24"/>
          <w:szCs w:val="24"/>
          <w:u w:val="single"/>
        </w:rPr>
      </w:pPr>
    </w:p>
    <w:p w14:paraId="0143EFF7" w14:textId="77777777" w:rsidR="007C41D7" w:rsidRDefault="007C41D7" w:rsidP="00C407D3">
      <w:pPr>
        <w:ind w:left="567"/>
        <w:rPr>
          <w:rFonts w:ascii="Cambria" w:hAnsi="Cambria"/>
          <w:b/>
          <w:sz w:val="24"/>
          <w:szCs w:val="24"/>
          <w:u w:val="single"/>
        </w:rPr>
      </w:pPr>
    </w:p>
    <w:tbl>
      <w:tblPr>
        <w:tblW w:w="9062" w:type="dxa"/>
        <w:jc w:val="center"/>
        <w:tblCellMar>
          <w:left w:w="70" w:type="dxa"/>
          <w:right w:w="70" w:type="dxa"/>
        </w:tblCellMar>
        <w:tblLook w:val="0000" w:firstRow="0" w:lastRow="0" w:firstColumn="0" w:lastColumn="0" w:noHBand="0" w:noVBand="0"/>
      </w:tblPr>
      <w:tblGrid>
        <w:gridCol w:w="2833"/>
        <w:gridCol w:w="864"/>
        <w:gridCol w:w="1134"/>
        <w:gridCol w:w="851"/>
        <w:gridCol w:w="1275"/>
        <w:gridCol w:w="993"/>
        <w:gridCol w:w="1112"/>
      </w:tblGrid>
      <w:tr w:rsidR="00285240" w:rsidRPr="00F8465B" w14:paraId="7FF0D97E" w14:textId="77777777" w:rsidTr="00285240">
        <w:trPr>
          <w:trHeight w:val="735"/>
          <w:jc w:val="center"/>
        </w:trPr>
        <w:tc>
          <w:tcPr>
            <w:tcW w:w="2833" w:type="dxa"/>
            <w:tcBorders>
              <w:top w:val="single" w:sz="8" w:space="0" w:color="auto"/>
              <w:left w:val="single" w:sz="8" w:space="0" w:color="auto"/>
              <w:bottom w:val="single" w:sz="8" w:space="0" w:color="auto"/>
              <w:right w:val="single" w:sz="8" w:space="0" w:color="auto"/>
            </w:tcBorders>
            <w:shd w:val="clear" w:color="auto" w:fill="FFFFFF"/>
            <w:vAlign w:val="bottom"/>
          </w:tcPr>
          <w:p w14:paraId="2659991E" w14:textId="77777777" w:rsidR="00285240" w:rsidRPr="00F8465B" w:rsidRDefault="00285240" w:rsidP="00285240">
            <w:pPr>
              <w:keepLines w:val="0"/>
              <w:widowControl/>
              <w:jc w:val="left"/>
              <w:rPr>
                <w:rFonts w:ascii="Cambria" w:hAnsi="Cambria"/>
                <w:b/>
                <w:bCs/>
                <w:sz w:val="18"/>
                <w:szCs w:val="18"/>
                <w:lang w:val="es-ES"/>
              </w:rPr>
            </w:pPr>
            <w:r w:rsidRPr="00F8465B">
              <w:rPr>
                <w:rFonts w:ascii="Cambria" w:hAnsi="Cambria"/>
                <w:b/>
                <w:bCs/>
                <w:sz w:val="18"/>
                <w:szCs w:val="18"/>
                <w:lang w:val="es-ES"/>
              </w:rPr>
              <w:t>Provisiones a corto plazo</w:t>
            </w:r>
          </w:p>
        </w:tc>
        <w:tc>
          <w:tcPr>
            <w:tcW w:w="864" w:type="dxa"/>
            <w:tcBorders>
              <w:top w:val="single" w:sz="8" w:space="0" w:color="auto"/>
              <w:left w:val="nil"/>
              <w:bottom w:val="single" w:sz="8" w:space="0" w:color="auto"/>
              <w:right w:val="nil"/>
            </w:tcBorders>
            <w:shd w:val="clear" w:color="auto" w:fill="FFFFFF"/>
            <w:vAlign w:val="bottom"/>
          </w:tcPr>
          <w:p w14:paraId="4A9256AB" w14:textId="57E3B620" w:rsidR="00285240" w:rsidRDefault="00285240" w:rsidP="00285240">
            <w:pPr>
              <w:keepLines w:val="0"/>
              <w:widowControl/>
              <w:jc w:val="center"/>
              <w:rPr>
                <w:rFonts w:ascii="Cambria" w:hAnsi="Cambria"/>
                <w:b/>
                <w:bCs/>
                <w:sz w:val="18"/>
                <w:szCs w:val="18"/>
                <w:lang w:val="es-ES"/>
              </w:rPr>
            </w:pPr>
            <w:r>
              <w:rPr>
                <w:rFonts w:ascii="Cambria" w:hAnsi="Cambria"/>
                <w:b/>
                <w:bCs/>
                <w:sz w:val="18"/>
                <w:szCs w:val="18"/>
                <w:lang w:val="es-ES"/>
              </w:rPr>
              <w:t>Saldo al 31.12.19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tcPr>
          <w:p w14:paraId="6C728D3A" w14:textId="77777777" w:rsidR="00285240" w:rsidRPr="00F8465B" w:rsidRDefault="00285240" w:rsidP="00285240">
            <w:pPr>
              <w:keepLines w:val="0"/>
              <w:widowControl/>
              <w:jc w:val="center"/>
              <w:rPr>
                <w:rFonts w:ascii="Cambria" w:hAnsi="Cambria"/>
                <w:b/>
                <w:bCs/>
                <w:sz w:val="18"/>
                <w:szCs w:val="18"/>
                <w:lang w:val="es-ES"/>
              </w:rPr>
            </w:pPr>
            <w:r w:rsidRPr="00F8465B">
              <w:rPr>
                <w:rFonts w:ascii="Cambria" w:hAnsi="Cambria"/>
                <w:b/>
                <w:bCs/>
                <w:sz w:val="18"/>
                <w:szCs w:val="18"/>
                <w:lang w:val="es-ES"/>
              </w:rPr>
              <w:t>Dotaciones</w:t>
            </w:r>
          </w:p>
        </w:tc>
        <w:tc>
          <w:tcPr>
            <w:tcW w:w="851" w:type="dxa"/>
            <w:tcBorders>
              <w:top w:val="single" w:sz="8" w:space="0" w:color="auto"/>
              <w:left w:val="nil"/>
              <w:bottom w:val="single" w:sz="8" w:space="0" w:color="auto"/>
              <w:right w:val="single" w:sz="8" w:space="0" w:color="auto"/>
            </w:tcBorders>
            <w:shd w:val="clear" w:color="auto" w:fill="FFFFFF"/>
            <w:vAlign w:val="bottom"/>
          </w:tcPr>
          <w:p w14:paraId="01A0EB1A" w14:textId="77777777" w:rsidR="00285240" w:rsidRPr="00F8465B" w:rsidRDefault="00285240" w:rsidP="00285240">
            <w:pPr>
              <w:keepLines w:val="0"/>
              <w:widowControl/>
              <w:jc w:val="center"/>
              <w:rPr>
                <w:rFonts w:ascii="Cambria" w:hAnsi="Cambria"/>
                <w:b/>
                <w:bCs/>
                <w:sz w:val="18"/>
                <w:szCs w:val="18"/>
                <w:lang w:val="es-ES"/>
              </w:rPr>
            </w:pPr>
            <w:r w:rsidRPr="00F8465B">
              <w:rPr>
                <w:rFonts w:ascii="Cambria" w:hAnsi="Cambria"/>
                <w:b/>
                <w:bCs/>
                <w:sz w:val="18"/>
                <w:szCs w:val="18"/>
                <w:lang w:val="es-ES"/>
              </w:rPr>
              <w:t>Excesos</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bottom"/>
          </w:tcPr>
          <w:p w14:paraId="1567EFD5" w14:textId="77777777" w:rsidR="00285240" w:rsidRPr="00F8465B" w:rsidRDefault="00285240" w:rsidP="00285240">
            <w:pPr>
              <w:keepLines w:val="0"/>
              <w:widowControl/>
              <w:jc w:val="center"/>
              <w:rPr>
                <w:rFonts w:ascii="Cambria" w:hAnsi="Cambria"/>
                <w:b/>
                <w:bCs/>
                <w:sz w:val="18"/>
                <w:szCs w:val="18"/>
                <w:lang w:val="es-ES"/>
              </w:rPr>
            </w:pPr>
            <w:r w:rsidRPr="00F8465B">
              <w:rPr>
                <w:rFonts w:ascii="Cambria" w:hAnsi="Cambria"/>
                <w:b/>
                <w:bCs/>
                <w:sz w:val="18"/>
                <w:szCs w:val="18"/>
                <w:lang w:val="es-ES"/>
              </w:rPr>
              <w:t>Aplicaciones</w:t>
            </w:r>
          </w:p>
        </w:tc>
        <w:tc>
          <w:tcPr>
            <w:tcW w:w="993" w:type="dxa"/>
            <w:tcBorders>
              <w:top w:val="single" w:sz="8" w:space="0" w:color="auto"/>
              <w:left w:val="nil"/>
              <w:bottom w:val="single" w:sz="8" w:space="0" w:color="auto"/>
              <w:right w:val="single" w:sz="8" w:space="0" w:color="auto"/>
            </w:tcBorders>
            <w:shd w:val="clear" w:color="auto" w:fill="FFFFFF"/>
            <w:vAlign w:val="bottom"/>
          </w:tcPr>
          <w:p w14:paraId="4F687860" w14:textId="77777777" w:rsidR="00285240" w:rsidRPr="00F8465B" w:rsidRDefault="00285240" w:rsidP="00285240">
            <w:pPr>
              <w:keepLines w:val="0"/>
              <w:widowControl/>
              <w:jc w:val="center"/>
              <w:rPr>
                <w:rFonts w:ascii="Cambria" w:hAnsi="Cambria"/>
                <w:b/>
                <w:bCs/>
                <w:sz w:val="18"/>
                <w:szCs w:val="18"/>
                <w:lang w:val="es-ES"/>
              </w:rPr>
            </w:pPr>
            <w:r w:rsidRPr="00F8465B">
              <w:rPr>
                <w:rFonts w:ascii="Cambria" w:hAnsi="Cambria"/>
                <w:b/>
                <w:bCs/>
                <w:sz w:val="18"/>
                <w:szCs w:val="18"/>
                <w:lang w:val="es-ES"/>
              </w:rPr>
              <w:t>Traspasos</w:t>
            </w:r>
          </w:p>
        </w:tc>
        <w:tc>
          <w:tcPr>
            <w:tcW w:w="1112" w:type="dxa"/>
            <w:tcBorders>
              <w:top w:val="single" w:sz="8" w:space="0" w:color="auto"/>
              <w:left w:val="nil"/>
              <w:bottom w:val="single" w:sz="8" w:space="0" w:color="auto"/>
              <w:right w:val="single" w:sz="8" w:space="0" w:color="auto"/>
            </w:tcBorders>
            <w:shd w:val="clear" w:color="auto" w:fill="FFFFFF"/>
            <w:vAlign w:val="bottom"/>
          </w:tcPr>
          <w:p w14:paraId="75DED07A" w14:textId="692CC4CB" w:rsidR="00285240" w:rsidRPr="00F8465B" w:rsidRDefault="00285240" w:rsidP="00285240">
            <w:pPr>
              <w:keepLines w:val="0"/>
              <w:widowControl/>
              <w:jc w:val="center"/>
              <w:rPr>
                <w:rFonts w:ascii="Cambria" w:hAnsi="Cambria"/>
                <w:b/>
                <w:bCs/>
                <w:sz w:val="18"/>
                <w:szCs w:val="18"/>
                <w:lang w:val="es-ES"/>
              </w:rPr>
            </w:pPr>
            <w:r>
              <w:rPr>
                <w:rFonts w:ascii="Cambria" w:hAnsi="Cambria"/>
                <w:b/>
                <w:bCs/>
                <w:sz w:val="18"/>
                <w:szCs w:val="18"/>
                <w:lang w:val="es-ES"/>
              </w:rPr>
              <w:t>Saldo al 31.12.20</w:t>
            </w:r>
          </w:p>
        </w:tc>
      </w:tr>
      <w:tr w:rsidR="00285240" w:rsidRPr="00F8465B" w14:paraId="53966C39" w14:textId="77777777" w:rsidTr="00285240">
        <w:trPr>
          <w:trHeight w:val="331"/>
          <w:jc w:val="center"/>
        </w:trPr>
        <w:tc>
          <w:tcPr>
            <w:tcW w:w="2833" w:type="dxa"/>
            <w:tcBorders>
              <w:top w:val="single" w:sz="8" w:space="0" w:color="auto"/>
              <w:left w:val="single" w:sz="8" w:space="0" w:color="auto"/>
              <w:right w:val="single" w:sz="8" w:space="0" w:color="auto"/>
            </w:tcBorders>
            <w:shd w:val="clear" w:color="auto" w:fill="FFFFFF"/>
            <w:noWrap/>
            <w:vAlign w:val="bottom"/>
          </w:tcPr>
          <w:p w14:paraId="55D4BCAB" w14:textId="77777777" w:rsidR="00285240" w:rsidRPr="00F8465B" w:rsidRDefault="00285240" w:rsidP="00285240">
            <w:pPr>
              <w:keepLines w:val="0"/>
              <w:widowControl/>
              <w:jc w:val="left"/>
              <w:rPr>
                <w:rFonts w:ascii="Cambria" w:hAnsi="Cambria"/>
                <w:bCs/>
                <w:sz w:val="18"/>
                <w:szCs w:val="18"/>
                <w:lang w:val="es-ES"/>
              </w:rPr>
            </w:pPr>
            <w:r w:rsidRPr="00F8465B">
              <w:rPr>
                <w:rFonts w:ascii="Cambria" w:hAnsi="Cambria"/>
                <w:bCs/>
                <w:sz w:val="18"/>
                <w:szCs w:val="18"/>
                <w:lang w:val="es-ES"/>
              </w:rPr>
              <w:t>Obligaciones con el personal</w:t>
            </w:r>
          </w:p>
        </w:tc>
        <w:tc>
          <w:tcPr>
            <w:tcW w:w="864" w:type="dxa"/>
            <w:tcBorders>
              <w:top w:val="single" w:sz="8" w:space="0" w:color="auto"/>
              <w:left w:val="nil"/>
              <w:right w:val="nil"/>
            </w:tcBorders>
            <w:shd w:val="clear" w:color="auto" w:fill="FFFFFF"/>
            <w:vAlign w:val="center"/>
          </w:tcPr>
          <w:p w14:paraId="6E8809E8" w14:textId="55CED7D8" w:rsidR="00285240" w:rsidRPr="00DD4D1F" w:rsidRDefault="00285240" w:rsidP="00285240">
            <w:pPr>
              <w:keepLines w:val="0"/>
              <w:widowControl/>
              <w:jc w:val="right"/>
              <w:rPr>
                <w:rFonts w:ascii="Cambria" w:hAnsi="Cambria" w:cs="Arial"/>
                <w:sz w:val="18"/>
                <w:szCs w:val="18"/>
                <w:lang w:val="es-ES"/>
              </w:rPr>
            </w:pPr>
            <w:r w:rsidRPr="00DD4D1F">
              <w:rPr>
                <w:rFonts w:ascii="Cambria" w:hAnsi="Cambria" w:cs="Arial"/>
                <w:sz w:val="18"/>
                <w:szCs w:val="18"/>
                <w:lang w:val="es-ES"/>
              </w:rPr>
              <w:t>4.831</w:t>
            </w:r>
          </w:p>
        </w:tc>
        <w:tc>
          <w:tcPr>
            <w:tcW w:w="1134" w:type="dxa"/>
            <w:tcBorders>
              <w:top w:val="single" w:sz="8" w:space="0" w:color="auto"/>
              <w:left w:val="single" w:sz="8" w:space="0" w:color="auto"/>
              <w:right w:val="single" w:sz="8" w:space="0" w:color="auto"/>
            </w:tcBorders>
            <w:shd w:val="clear" w:color="auto" w:fill="FFFFFF"/>
            <w:noWrap/>
            <w:vAlign w:val="center"/>
          </w:tcPr>
          <w:p w14:paraId="685F18B9" w14:textId="4A615663" w:rsidR="00285240" w:rsidRPr="00DD4D1F" w:rsidRDefault="00EF48B7" w:rsidP="00285240">
            <w:pPr>
              <w:keepLines w:val="0"/>
              <w:widowControl/>
              <w:jc w:val="right"/>
              <w:rPr>
                <w:rFonts w:ascii="Cambria" w:hAnsi="Cambria"/>
                <w:bCs/>
                <w:sz w:val="18"/>
                <w:szCs w:val="18"/>
                <w:lang w:val="es-ES"/>
              </w:rPr>
            </w:pPr>
            <w:r w:rsidRPr="00DD4D1F">
              <w:rPr>
                <w:rFonts w:ascii="Cambria" w:hAnsi="Cambria"/>
                <w:bCs/>
                <w:sz w:val="18"/>
                <w:szCs w:val="18"/>
                <w:lang w:val="es-ES"/>
              </w:rPr>
              <w:t>154</w:t>
            </w:r>
          </w:p>
        </w:tc>
        <w:tc>
          <w:tcPr>
            <w:tcW w:w="851" w:type="dxa"/>
            <w:tcBorders>
              <w:top w:val="single" w:sz="8" w:space="0" w:color="auto"/>
              <w:left w:val="single" w:sz="8" w:space="0" w:color="auto"/>
              <w:right w:val="single" w:sz="8" w:space="0" w:color="auto"/>
            </w:tcBorders>
            <w:shd w:val="clear" w:color="auto" w:fill="FFFFFF"/>
            <w:vAlign w:val="center"/>
          </w:tcPr>
          <w:p w14:paraId="234457C9" w14:textId="27FBD056" w:rsidR="00285240" w:rsidRPr="00DD4D1F" w:rsidRDefault="00DD4D1F" w:rsidP="00DD4D1F">
            <w:pPr>
              <w:keepLines w:val="0"/>
              <w:widowControl/>
              <w:jc w:val="center"/>
              <w:rPr>
                <w:rFonts w:ascii="Cambria" w:hAnsi="Cambria"/>
                <w:sz w:val="18"/>
                <w:szCs w:val="18"/>
                <w:lang w:val="es-ES"/>
              </w:rPr>
            </w:pPr>
            <w:r w:rsidRPr="00DD4D1F">
              <w:rPr>
                <w:rFonts w:ascii="Cambria" w:hAnsi="Cambria"/>
                <w:sz w:val="18"/>
                <w:szCs w:val="18"/>
                <w:lang w:val="es-ES"/>
              </w:rPr>
              <w:t>-</w:t>
            </w:r>
          </w:p>
        </w:tc>
        <w:tc>
          <w:tcPr>
            <w:tcW w:w="1275" w:type="dxa"/>
            <w:tcBorders>
              <w:top w:val="single" w:sz="8" w:space="0" w:color="auto"/>
              <w:left w:val="single" w:sz="8" w:space="0" w:color="auto"/>
              <w:right w:val="single" w:sz="8" w:space="0" w:color="auto"/>
            </w:tcBorders>
            <w:shd w:val="clear" w:color="auto" w:fill="FFFFFF"/>
            <w:noWrap/>
            <w:vAlign w:val="center"/>
          </w:tcPr>
          <w:p w14:paraId="0FE8870D" w14:textId="1D1B09FD" w:rsidR="00285240" w:rsidRPr="00DD4D1F" w:rsidRDefault="00DD4D1F" w:rsidP="00285240">
            <w:pPr>
              <w:keepLines w:val="0"/>
              <w:widowControl/>
              <w:jc w:val="right"/>
              <w:rPr>
                <w:rFonts w:ascii="Cambria" w:hAnsi="Cambria" w:cs="Arial"/>
                <w:sz w:val="18"/>
                <w:szCs w:val="18"/>
                <w:lang w:val="es-ES"/>
              </w:rPr>
            </w:pPr>
            <w:r w:rsidRPr="00DD4D1F">
              <w:rPr>
                <w:rFonts w:ascii="Cambria" w:hAnsi="Cambria" w:cs="Arial"/>
                <w:sz w:val="18"/>
                <w:szCs w:val="18"/>
                <w:lang w:val="es-ES"/>
              </w:rPr>
              <w:t>(2.184)</w:t>
            </w:r>
          </w:p>
        </w:tc>
        <w:tc>
          <w:tcPr>
            <w:tcW w:w="993" w:type="dxa"/>
            <w:tcBorders>
              <w:top w:val="single" w:sz="8" w:space="0" w:color="auto"/>
              <w:left w:val="nil"/>
              <w:right w:val="single" w:sz="8" w:space="0" w:color="auto"/>
            </w:tcBorders>
            <w:shd w:val="clear" w:color="auto" w:fill="FFFFFF"/>
            <w:noWrap/>
            <w:vAlign w:val="center"/>
          </w:tcPr>
          <w:p w14:paraId="6691A6B5" w14:textId="487126C4" w:rsidR="00285240" w:rsidRPr="00DD4D1F" w:rsidRDefault="00EF48B7" w:rsidP="00285240">
            <w:pPr>
              <w:jc w:val="right"/>
              <w:rPr>
                <w:rFonts w:ascii="Cambria" w:hAnsi="Cambria" w:cs="Arial"/>
                <w:sz w:val="18"/>
                <w:szCs w:val="18"/>
              </w:rPr>
            </w:pPr>
            <w:r w:rsidRPr="00DD4D1F">
              <w:rPr>
                <w:rFonts w:ascii="Cambria" w:hAnsi="Cambria" w:cs="Arial"/>
                <w:sz w:val="18"/>
                <w:szCs w:val="18"/>
              </w:rPr>
              <w:t>1.78</w:t>
            </w:r>
            <w:r w:rsidR="00DD4D1F" w:rsidRPr="00DD4D1F">
              <w:rPr>
                <w:rFonts w:ascii="Cambria" w:hAnsi="Cambria" w:cs="Arial"/>
                <w:sz w:val="18"/>
                <w:szCs w:val="18"/>
              </w:rPr>
              <w:t>1</w:t>
            </w:r>
          </w:p>
        </w:tc>
        <w:tc>
          <w:tcPr>
            <w:tcW w:w="1112" w:type="dxa"/>
            <w:tcBorders>
              <w:top w:val="single" w:sz="8" w:space="0" w:color="auto"/>
              <w:left w:val="nil"/>
              <w:right w:val="single" w:sz="8" w:space="0" w:color="auto"/>
            </w:tcBorders>
            <w:shd w:val="clear" w:color="auto" w:fill="FFFFFF"/>
            <w:noWrap/>
            <w:vAlign w:val="center"/>
          </w:tcPr>
          <w:p w14:paraId="7CB5554D" w14:textId="76C60FB0" w:rsidR="00285240" w:rsidRPr="00DD4D1F" w:rsidRDefault="00DD4D1F" w:rsidP="00285240">
            <w:pPr>
              <w:keepLines w:val="0"/>
              <w:widowControl/>
              <w:jc w:val="right"/>
              <w:rPr>
                <w:rFonts w:ascii="Cambria" w:hAnsi="Cambria" w:cs="Arial"/>
                <w:sz w:val="18"/>
                <w:szCs w:val="18"/>
                <w:lang w:val="es-ES"/>
              </w:rPr>
            </w:pPr>
            <w:r w:rsidRPr="00DD4D1F">
              <w:rPr>
                <w:rFonts w:ascii="Cambria" w:hAnsi="Cambria" w:cs="Arial"/>
                <w:sz w:val="18"/>
                <w:szCs w:val="18"/>
                <w:lang w:val="es-ES"/>
              </w:rPr>
              <w:t>4.582</w:t>
            </w:r>
          </w:p>
        </w:tc>
      </w:tr>
      <w:tr w:rsidR="00285240" w:rsidRPr="00F8465B" w14:paraId="2E24AB95" w14:textId="77777777" w:rsidTr="00285240">
        <w:trPr>
          <w:trHeight w:val="273"/>
          <w:jc w:val="center"/>
        </w:trPr>
        <w:tc>
          <w:tcPr>
            <w:tcW w:w="2833" w:type="dxa"/>
            <w:tcBorders>
              <w:left w:val="single" w:sz="8" w:space="0" w:color="auto"/>
              <w:right w:val="single" w:sz="8" w:space="0" w:color="auto"/>
            </w:tcBorders>
            <w:shd w:val="clear" w:color="auto" w:fill="FFFFFF"/>
            <w:noWrap/>
            <w:vAlign w:val="bottom"/>
          </w:tcPr>
          <w:p w14:paraId="4CC2AD49" w14:textId="77777777" w:rsidR="00285240" w:rsidRPr="00F8465B" w:rsidRDefault="00285240" w:rsidP="00285240">
            <w:pPr>
              <w:keepLines w:val="0"/>
              <w:widowControl/>
              <w:jc w:val="left"/>
              <w:rPr>
                <w:rFonts w:ascii="Cambria" w:hAnsi="Cambria"/>
                <w:bCs/>
                <w:sz w:val="18"/>
                <w:szCs w:val="18"/>
                <w:lang w:val="es-ES"/>
              </w:rPr>
            </w:pPr>
            <w:r w:rsidRPr="00F8465B">
              <w:rPr>
                <w:rFonts w:ascii="Cambria" w:hAnsi="Cambria"/>
                <w:bCs/>
                <w:sz w:val="18"/>
                <w:szCs w:val="18"/>
                <w:lang w:val="es-ES"/>
              </w:rPr>
              <w:t>Provisiones medioambientales</w:t>
            </w:r>
          </w:p>
        </w:tc>
        <w:tc>
          <w:tcPr>
            <w:tcW w:w="864" w:type="dxa"/>
            <w:tcBorders>
              <w:left w:val="nil"/>
              <w:right w:val="nil"/>
            </w:tcBorders>
            <w:vAlign w:val="center"/>
          </w:tcPr>
          <w:p w14:paraId="0059338F" w14:textId="7B3B5AB9" w:rsidR="00285240" w:rsidRPr="00DD4D1F" w:rsidRDefault="00285240" w:rsidP="00285240">
            <w:pPr>
              <w:jc w:val="right"/>
              <w:rPr>
                <w:rFonts w:ascii="Cambria" w:hAnsi="Cambria" w:cs="Arial"/>
                <w:sz w:val="18"/>
                <w:szCs w:val="18"/>
              </w:rPr>
            </w:pPr>
            <w:r w:rsidRPr="00DD4D1F">
              <w:rPr>
                <w:rFonts w:ascii="Cambria" w:hAnsi="Cambria" w:cs="Arial"/>
                <w:sz w:val="18"/>
                <w:szCs w:val="18"/>
              </w:rPr>
              <w:t>229</w:t>
            </w:r>
          </w:p>
        </w:tc>
        <w:tc>
          <w:tcPr>
            <w:tcW w:w="1134" w:type="dxa"/>
            <w:tcBorders>
              <w:left w:val="single" w:sz="8" w:space="0" w:color="auto"/>
              <w:right w:val="single" w:sz="8" w:space="0" w:color="auto"/>
            </w:tcBorders>
            <w:shd w:val="clear" w:color="auto" w:fill="auto"/>
            <w:noWrap/>
            <w:vAlign w:val="center"/>
          </w:tcPr>
          <w:p w14:paraId="0A624836" w14:textId="3A17C259" w:rsidR="00285240" w:rsidRPr="00DD4D1F" w:rsidRDefault="00EF48B7" w:rsidP="00EF48B7">
            <w:pPr>
              <w:keepLines w:val="0"/>
              <w:widowControl/>
              <w:jc w:val="right"/>
              <w:rPr>
                <w:rFonts w:ascii="Cambria" w:hAnsi="Cambria"/>
                <w:bCs/>
                <w:sz w:val="18"/>
                <w:szCs w:val="18"/>
                <w:lang w:val="es-ES"/>
              </w:rPr>
            </w:pPr>
            <w:r w:rsidRPr="00DD4D1F">
              <w:rPr>
                <w:rFonts w:ascii="Cambria" w:hAnsi="Cambria"/>
                <w:bCs/>
                <w:sz w:val="18"/>
                <w:szCs w:val="18"/>
                <w:lang w:val="es-ES"/>
              </w:rPr>
              <w:t>2</w:t>
            </w:r>
            <w:r w:rsidR="00DD4D1F">
              <w:rPr>
                <w:rFonts w:ascii="Cambria" w:hAnsi="Cambria"/>
                <w:bCs/>
                <w:sz w:val="18"/>
                <w:szCs w:val="18"/>
                <w:lang w:val="es-ES"/>
              </w:rPr>
              <w:t>1</w:t>
            </w:r>
          </w:p>
        </w:tc>
        <w:tc>
          <w:tcPr>
            <w:tcW w:w="851" w:type="dxa"/>
            <w:tcBorders>
              <w:left w:val="single" w:sz="8" w:space="0" w:color="auto"/>
              <w:right w:val="single" w:sz="8" w:space="0" w:color="auto"/>
            </w:tcBorders>
            <w:shd w:val="clear" w:color="auto" w:fill="auto"/>
            <w:vAlign w:val="center"/>
          </w:tcPr>
          <w:p w14:paraId="777900CD" w14:textId="19FBB0B6" w:rsidR="00285240" w:rsidRPr="00DD4D1F" w:rsidRDefault="00EF48B7" w:rsidP="00285240">
            <w:pPr>
              <w:keepLines w:val="0"/>
              <w:widowControl/>
              <w:jc w:val="center"/>
              <w:rPr>
                <w:rFonts w:ascii="Cambria" w:hAnsi="Cambria"/>
                <w:sz w:val="18"/>
                <w:szCs w:val="18"/>
                <w:lang w:val="es-ES"/>
              </w:rPr>
            </w:pPr>
            <w:r w:rsidRPr="00DD4D1F">
              <w:rPr>
                <w:rFonts w:ascii="Cambria" w:hAnsi="Cambria"/>
                <w:sz w:val="18"/>
                <w:szCs w:val="18"/>
                <w:lang w:val="es-ES"/>
              </w:rPr>
              <w:t>-</w:t>
            </w:r>
          </w:p>
        </w:tc>
        <w:tc>
          <w:tcPr>
            <w:tcW w:w="1275" w:type="dxa"/>
            <w:tcBorders>
              <w:left w:val="single" w:sz="8" w:space="0" w:color="auto"/>
              <w:right w:val="single" w:sz="8" w:space="0" w:color="auto"/>
            </w:tcBorders>
            <w:shd w:val="clear" w:color="auto" w:fill="auto"/>
            <w:noWrap/>
            <w:vAlign w:val="center"/>
          </w:tcPr>
          <w:p w14:paraId="7820B9B9" w14:textId="23A80BAA" w:rsidR="00285240" w:rsidRPr="00DD4D1F" w:rsidRDefault="00EF48B7" w:rsidP="00285240">
            <w:pPr>
              <w:jc w:val="right"/>
              <w:rPr>
                <w:rFonts w:ascii="Cambria" w:hAnsi="Cambria" w:cs="Arial"/>
                <w:sz w:val="18"/>
                <w:szCs w:val="18"/>
              </w:rPr>
            </w:pPr>
            <w:r w:rsidRPr="00DD4D1F">
              <w:rPr>
                <w:rFonts w:ascii="Cambria" w:hAnsi="Cambria" w:cs="Arial"/>
                <w:sz w:val="18"/>
                <w:szCs w:val="18"/>
              </w:rPr>
              <w:t>(236)</w:t>
            </w:r>
          </w:p>
        </w:tc>
        <w:tc>
          <w:tcPr>
            <w:tcW w:w="993" w:type="dxa"/>
            <w:tcBorders>
              <w:left w:val="nil"/>
              <w:right w:val="single" w:sz="8" w:space="0" w:color="auto"/>
            </w:tcBorders>
            <w:shd w:val="clear" w:color="auto" w:fill="auto"/>
            <w:noWrap/>
            <w:vAlign w:val="center"/>
          </w:tcPr>
          <w:p w14:paraId="1A81D4C9" w14:textId="6FEFEFF9" w:rsidR="00285240" w:rsidRPr="00DD4D1F" w:rsidRDefault="00EF48B7" w:rsidP="00285240">
            <w:pPr>
              <w:jc w:val="right"/>
              <w:rPr>
                <w:rFonts w:ascii="Cambria" w:hAnsi="Cambria" w:cs="Arial"/>
                <w:sz w:val="18"/>
                <w:szCs w:val="18"/>
              </w:rPr>
            </w:pPr>
            <w:r w:rsidRPr="00DD4D1F">
              <w:rPr>
                <w:rFonts w:ascii="Cambria" w:hAnsi="Cambria" w:cs="Arial"/>
                <w:sz w:val="18"/>
                <w:szCs w:val="18"/>
              </w:rPr>
              <w:t>37</w:t>
            </w:r>
            <w:r w:rsidR="00DD4D1F" w:rsidRPr="00DD4D1F">
              <w:rPr>
                <w:rFonts w:ascii="Cambria" w:hAnsi="Cambria" w:cs="Arial"/>
                <w:sz w:val="18"/>
                <w:szCs w:val="18"/>
              </w:rPr>
              <w:t>4</w:t>
            </w:r>
          </w:p>
        </w:tc>
        <w:tc>
          <w:tcPr>
            <w:tcW w:w="1112" w:type="dxa"/>
            <w:tcBorders>
              <w:left w:val="nil"/>
              <w:right w:val="single" w:sz="8" w:space="0" w:color="auto"/>
            </w:tcBorders>
            <w:shd w:val="clear" w:color="auto" w:fill="auto"/>
            <w:noWrap/>
            <w:vAlign w:val="center"/>
          </w:tcPr>
          <w:p w14:paraId="01CCF020" w14:textId="25C94485" w:rsidR="00285240" w:rsidRPr="00DD4D1F" w:rsidRDefault="00EF48B7" w:rsidP="00285240">
            <w:pPr>
              <w:jc w:val="right"/>
              <w:rPr>
                <w:rFonts w:ascii="Cambria" w:hAnsi="Cambria" w:cs="Arial"/>
                <w:sz w:val="18"/>
                <w:szCs w:val="18"/>
              </w:rPr>
            </w:pPr>
            <w:r w:rsidRPr="00DD4D1F">
              <w:rPr>
                <w:rFonts w:ascii="Cambria" w:hAnsi="Cambria" w:cs="Arial"/>
                <w:sz w:val="18"/>
                <w:szCs w:val="18"/>
              </w:rPr>
              <w:t>38</w:t>
            </w:r>
            <w:r w:rsidR="00DD4D1F">
              <w:rPr>
                <w:rFonts w:ascii="Cambria" w:hAnsi="Cambria" w:cs="Arial"/>
                <w:sz w:val="18"/>
                <w:szCs w:val="18"/>
              </w:rPr>
              <w:t>8</w:t>
            </w:r>
          </w:p>
        </w:tc>
      </w:tr>
      <w:tr w:rsidR="00285240" w:rsidRPr="00F8465B" w14:paraId="6A45E67A" w14:textId="77777777" w:rsidTr="00285240">
        <w:trPr>
          <w:trHeight w:val="245"/>
          <w:jc w:val="center"/>
        </w:trPr>
        <w:tc>
          <w:tcPr>
            <w:tcW w:w="2833" w:type="dxa"/>
            <w:tcBorders>
              <w:left w:val="single" w:sz="8" w:space="0" w:color="auto"/>
              <w:bottom w:val="single" w:sz="8" w:space="0" w:color="auto"/>
              <w:right w:val="single" w:sz="8" w:space="0" w:color="auto"/>
            </w:tcBorders>
            <w:shd w:val="clear" w:color="auto" w:fill="FFFFFF"/>
            <w:noWrap/>
            <w:vAlign w:val="bottom"/>
          </w:tcPr>
          <w:p w14:paraId="4FD73032" w14:textId="77777777" w:rsidR="00285240" w:rsidRPr="00F8465B" w:rsidRDefault="00285240" w:rsidP="00285240">
            <w:pPr>
              <w:keepLines w:val="0"/>
              <w:widowControl/>
              <w:jc w:val="left"/>
              <w:rPr>
                <w:rFonts w:ascii="Cambria" w:hAnsi="Cambria"/>
                <w:bCs/>
                <w:sz w:val="18"/>
                <w:szCs w:val="18"/>
                <w:lang w:val="es-ES"/>
              </w:rPr>
            </w:pPr>
            <w:r w:rsidRPr="00F8465B">
              <w:rPr>
                <w:rFonts w:ascii="Cambria" w:hAnsi="Cambria"/>
                <w:bCs/>
                <w:sz w:val="18"/>
                <w:szCs w:val="18"/>
                <w:lang w:val="es-ES"/>
              </w:rPr>
              <w:t xml:space="preserve">Otras </w:t>
            </w:r>
          </w:p>
        </w:tc>
        <w:tc>
          <w:tcPr>
            <w:tcW w:w="864" w:type="dxa"/>
            <w:tcBorders>
              <w:left w:val="nil"/>
              <w:bottom w:val="single" w:sz="8" w:space="0" w:color="auto"/>
              <w:right w:val="nil"/>
            </w:tcBorders>
            <w:shd w:val="clear" w:color="auto" w:fill="FFFFFF"/>
            <w:vAlign w:val="center"/>
          </w:tcPr>
          <w:p w14:paraId="32E5C89F" w14:textId="2F146292" w:rsidR="00285240" w:rsidRPr="00DD4D1F" w:rsidRDefault="00285240" w:rsidP="00285240">
            <w:pPr>
              <w:jc w:val="center"/>
              <w:rPr>
                <w:rFonts w:ascii="Cambria" w:hAnsi="Cambria" w:cs="Arial"/>
                <w:sz w:val="18"/>
                <w:szCs w:val="18"/>
              </w:rPr>
            </w:pPr>
            <w:r w:rsidRPr="00DD4D1F">
              <w:rPr>
                <w:rFonts w:ascii="Cambria" w:hAnsi="Cambria" w:cs="Arial"/>
                <w:sz w:val="18"/>
                <w:szCs w:val="18"/>
              </w:rPr>
              <w:t>100.026</w:t>
            </w:r>
          </w:p>
        </w:tc>
        <w:tc>
          <w:tcPr>
            <w:tcW w:w="1134" w:type="dxa"/>
            <w:tcBorders>
              <w:left w:val="single" w:sz="8" w:space="0" w:color="auto"/>
              <w:bottom w:val="single" w:sz="8" w:space="0" w:color="auto"/>
              <w:right w:val="single" w:sz="8" w:space="0" w:color="auto"/>
            </w:tcBorders>
            <w:shd w:val="clear" w:color="auto" w:fill="FFFFFF"/>
            <w:noWrap/>
            <w:vAlign w:val="bottom"/>
          </w:tcPr>
          <w:p w14:paraId="588EB5E0" w14:textId="4FD8E6FA" w:rsidR="00285240" w:rsidRPr="00DD4D1F" w:rsidRDefault="00423918" w:rsidP="00285240">
            <w:pPr>
              <w:keepLines w:val="0"/>
              <w:widowControl/>
              <w:jc w:val="right"/>
              <w:rPr>
                <w:rFonts w:ascii="Cambria" w:hAnsi="Cambria"/>
                <w:bCs/>
                <w:sz w:val="18"/>
                <w:szCs w:val="18"/>
                <w:lang w:val="es-ES"/>
              </w:rPr>
            </w:pPr>
            <w:r>
              <w:rPr>
                <w:rFonts w:ascii="Cambria" w:hAnsi="Cambria"/>
                <w:bCs/>
                <w:sz w:val="18"/>
                <w:szCs w:val="18"/>
                <w:lang w:val="es-ES"/>
              </w:rPr>
              <w:t>5.9</w:t>
            </w:r>
            <w:r w:rsidR="00DC2EBB">
              <w:rPr>
                <w:rFonts w:ascii="Cambria" w:hAnsi="Cambria"/>
                <w:bCs/>
                <w:sz w:val="18"/>
                <w:szCs w:val="18"/>
                <w:lang w:val="es-ES"/>
              </w:rPr>
              <w:t>68</w:t>
            </w:r>
          </w:p>
        </w:tc>
        <w:tc>
          <w:tcPr>
            <w:tcW w:w="851" w:type="dxa"/>
            <w:tcBorders>
              <w:left w:val="single" w:sz="8" w:space="0" w:color="auto"/>
              <w:bottom w:val="single" w:sz="8" w:space="0" w:color="auto"/>
              <w:right w:val="single" w:sz="8" w:space="0" w:color="auto"/>
            </w:tcBorders>
            <w:shd w:val="clear" w:color="auto" w:fill="FFFFFF"/>
            <w:vAlign w:val="bottom"/>
          </w:tcPr>
          <w:p w14:paraId="75E42B03" w14:textId="55520123" w:rsidR="00285240" w:rsidRPr="00DD4D1F" w:rsidRDefault="00DD4D1F" w:rsidP="00DD4D1F">
            <w:pPr>
              <w:keepLines w:val="0"/>
              <w:widowControl/>
              <w:jc w:val="right"/>
              <w:rPr>
                <w:rFonts w:ascii="Cambria" w:hAnsi="Cambria"/>
                <w:sz w:val="18"/>
                <w:szCs w:val="18"/>
                <w:lang w:val="es-ES"/>
              </w:rPr>
            </w:pPr>
            <w:r>
              <w:rPr>
                <w:rFonts w:ascii="Cambria" w:hAnsi="Cambria"/>
                <w:sz w:val="18"/>
                <w:szCs w:val="18"/>
                <w:lang w:val="es-ES"/>
              </w:rPr>
              <w:t>(1.097)</w:t>
            </w:r>
          </w:p>
        </w:tc>
        <w:tc>
          <w:tcPr>
            <w:tcW w:w="1275" w:type="dxa"/>
            <w:tcBorders>
              <w:left w:val="single" w:sz="8" w:space="0" w:color="auto"/>
              <w:bottom w:val="single" w:sz="8" w:space="0" w:color="auto"/>
              <w:right w:val="single" w:sz="8" w:space="0" w:color="auto"/>
            </w:tcBorders>
            <w:shd w:val="clear" w:color="auto" w:fill="FFFFFF"/>
            <w:noWrap/>
            <w:vAlign w:val="center"/>
          </w:tcPr>
          <w:p w14:paraId="4D530DB9" w14:textId="04BAB394" w:rsidR="00285240" w:rsidRPr="00DD4D1F" w:rsidRDefault="00DD4D1F" w:rsidP="00285240">
            <w:pPr>
              <w:jc w:val="right"/>
              <w:rPr>
                <w:rFonts w:ascii="Cambria" w:hAnsi="Cambria" w:cs="Arial"/>
                <w:sz w:val="18"/>
                <w:szCs w:val="18"/>
              </w:rPr>
            </w:pPr>
            <w:r>
              <w:rPr>
                <w:rFonts w:ascii="Cambria" w:hAnsi="Cambria" w:cs="Arial"/>
                <w:sz w:val="18"/>
                <w:szCs w:val="18"/>
              </w:rPr>
              <w:t>(</w:t>
            </w:r>
            <w:r w:rsidR="00DC2EBB">
              <w:rPr>
                <w:rFonts w:ascii="Cambria" w:hAnsi="Cambria" w:cs="Arial"/>
                <w:sz w:val="18"/>
                <w:szCs w:val="18"/>
              </w:rPr>
              <w:t>982</w:t>
            </w:r>
            <w:r>
              <w:rPr>
                <w:rFonts w:ascii="Cambria" w:hAnsi="Cambria" w:cs="Arial"/>
                <w:sz w:val="18"/>
                <w:szCs w:val="18"/>
              </w:rPr>
              <w:t>)</w:t>
            </w:r>
          </w:p>
        </w:tc>
        <w:tc>
          <w:tcPr>
            <w:tcW w:w="993" w:type="dxa"/>
            <w:tcBorders>
              <w:left w:val="nil"/>
              <w:bottom w:val="single" w:sz="8" w:space="0" w:color="auto"/>
              <w:right w:val="single" w:sz="8" w:space="0" w:color="auto"/>
            </w:tcBorders>
            <w:shd w:val="clear" w:color="auto" w:fill="FFFFFF"/>
            <w:noWrap/>
            <w:vAlign w:val="center"/>
          </w:tcPr>
          <w:p w14:paraId="064240F6" w14:textId="10801F4A" w:rsidR="00285240" w:rsidRPr="00DD4D1F" w:rsidRDefault="00DD4D1F" w:rsidP="00285240">
            <w:pPr>
              <w:jc w:val="center"/>
              <w:rPr>
                <w:rFonts w:ascii="Cambria" w:hAnsi="Cambria" w:cs="Arial"/>
                <w:sz w:val="18"/>
                <w:szCs w:val="18"/>
              </w:rPr>
            </w:pPr>
            <w:r>
              <w:rPr>
                <w:rFonts w:ascii="Cambria" w:hAnsi="Cambria" w:cs="Arial"/>
                <w:sz w:val="18"/>
                <w:szCs w:val="18"/>
              </w:rPr>
              <w:t>-</w:t>
            </w:r>
          </w:p>
        </w:tc>
        <w:tc>
          <w:tcPr>
            <w:tcW w:w="1112" w:type="dxa"/>
            <w:tcBorders>
              <w:left w:val="nil"/>
              <w:bottom w:val="single" w:sz="8" w:space="0" w:color="auto"/>
              <w:right w:val="single" w:sz="8" w:space="0" w:color="auto"/>
            </w:tcBorders>
            <w:shd w:val="clear" w:color="auto" w:fill="FFFFFF"/>
            <w:noWrap/>
            <w:vAlign w:val="center"/>
          </w:tcPr>
          <w:p w14:paraId="36C2CD2C" w14:textId="622B944E" w:rsidR="00285240" w:rsidRPr="00DD4D1F" w:rsidRDefault="00423918" w:rsidP="00285240">
            <w:pPr>
              <w:jc w:val="right"/>
              <w:rPr>
                <w:rFonts w:ascii="Cambria" w:hAnsi="Cambria" w:cs="Arial"/>
                <w:sz w:val="18"/>
                <w:szCs w:val="18"/>
              </w:rPr>
            </w:pPr>
            <w:r>
              <w:rPr>
                <w:rFonts w:ascii="Cambria" w:hAnsi="Cambria" w:cs="Arial"/>
                <w:sz w:val="18"/>
                <w:szCs w:val="18"/>
              </w:rPr>
              <w:t>103.</w:t>
            </w:r>
            <w:r w:rsidR="00DC2EBB">
              <w:rPr>
                <w:rFonts w:ascii="Cambria" w:hAnsi="Cambria" w:cs="Arial"/>
                <w:sz w:val="18"/>
                <w:szCs w:val="18"/>
              </w:rPr>
              <w:t>915</w:t>
            </w:r>
          </w:p>
        </w:tc>
      </w:tr>
      <w:tr w:rsidR="00285240" w:rsidRPr="00F8465B" w14:paraId="6D746AD9" w14:textId="77777777" w:rsidTr="00285240">
        <w:trPr>
          <w:trHeight w:val="270"/>
          <w:jc w:val="center"/>
        </w:trPr>
        <w:tc>
          <w:tcPr>
            <w:tcW w:w="2833" w:type="dxa"/>
            <w:tcBorders>
              <w:top w:val="nil"/>
              <w:left w:val="single" w:sz="8" w:space="0" w:color="auto"/>
              <w:bottom w:val="single" w:sz="8" w:space="0" w:color="auto"/>
              <w:right w:val="nil"/>
            </w:tcBorders>
            <w:shd w:val="clear" w:color="auto" w:fill="FFFFFF"/>
            <w:noWrap/>
            <w:vAlign w:val="bottom"/>
          </w:tcPr>
          <w:p w14:paraId="16A7B9D4" w14:textId="77777777" w:rsidR="00285240" w:rsidRPr="007038E3" w:rsidRDefault="00285240" w:rsidP="00285240">
            <w:pPr>
              <w:keepLines w:val="0"/>
              <w:widowControl/>
              <w:jc w:val="left"/>
              <w:rPr>
                <w:rFonts w:ascii="Cambria" w:hAnsi="Cambria"/>
                <w:b/>
                <w:bCs/>
                <w:sz w:val="18"/>
                <w:szCs w:val="18"/>
                <w:lang w:val="es-ES"/>
              </w:rPr>
            </w:pPr>
            <w:r w:rsidRPr="007038E3">
              <w:rPr>
                <w:rFonts w:ascii="Cambria" w:hAnsi="Cambria"/>
                <w:b/>
                <w:bCs/>
                <w:sz w:val="18"/>
                <w:szCs w:val="18"/>
                <w:lang w:val="es-ES"/>
              </w:rPr>
              <w:t>Total a corto plazo</w:t>
            </w:r>
          </w:p>
        </w:tc>
        <w:tc>
          <w:tcPr>
            <w:tcW w:w="864" w:type="dxa"/>
            <w:tcBorders>
              <w:top w:val="nil"/>
              <w:left w:val="single" w:sz="8" w:space="0" w:color="auto"/>
              <w:bottom w:val="single" w:sz="8" w:space="0" w:color="auto"/>
              <w:right w:val="single" w:sz="8" w:space="0" w:color="auto"/>
            </w:tcBorders>
            <w:shd w:val="clear" w:color="auto" w:fill="FFFFFF"/>
            <w:vAlign w:val="center"/>
          </w:tcPr>
          <w:p w14:paraId="38DE2D28" w14:textId="3C163C27" w:rsidR="00285240" w:rsidRPr="007038E3" w:rsidRDefault="00285240" w:rsidP="00285240">
            <w:pPr>
              <w:jc w:val="right"/>
              <w:rPr>
                <w:rFonts w:ascii="Cambria" w:hAnsi="Cambria" w:cs="Arial"/>
                <w:b/>
                <w:bCs/>
                <w:sz w:val="18"/>
                <w:szCs w:val="18"/>
              </w:rPr>
            </w:pPr>
            <w:r w:rsidRPr="007038E3">
              <w:rPr>
                <w:rFonts w:ascii="Cambria" w:hAnsi="Cambria" w:cs="Arial"/>
                <w:b/>
                <w:bCs/>
                <w:sz w:val="18"/>
                <w:szCs w:val="18"/>
              </w:rPr>
              <w:t>105.086</w:t>
            </w:r>
          </w:p>
        </w:tc>
        <w:tc>
          <w:tcPr>
            <w:tcW w:w="1134" w:type="dxa"/>
            <w:tcBorders>
              <w:top w:val="nil"/>
              <w:left w:val="single" w:sz="8" w:space="0" w:color="auto"/>
              <w:bottom w:val="single" w:sz="8" w:space="0" w:color="auto"/>
              <w:right w:val="single" w:sz="8" w:space="0" w:color="auto"/>
            </w:tcBorders>
            <w:shd w:val="clear" w:color="auto" w:fill="FFFFFF"/>
            <w:noWrap/>
            <w:vAlign w:val="bottom"/>
          </w:tcPr>
          <w:p w14:paraId="399E7DF6" w14:textId="525A559A" w:rsidR="00285240" w:rsidRPr="007038E3" w:rsidRDefault="00423918" w:rsidP="00285240">
            <w:pPr>
              <w:keepLines w:val="0"/>
              <w:widowControl/>
              <w:jc w:val="right"/>
              <w:rPr>
                <w:rFonts w:ascii="Cambria" w:hAnsi="Cambria"/>
                <w:b/>
                <w:bCs/>
                <w:sz w:val="18"/>
                <w:szCs w:val="18"/>
                <w:lang w:val="es-ES"/>
              </w:rPr>
            </w:pPr>
            <w:r w:rsidRPr="007038E3">
              <w:rPr>
                <w:rFonts w:ascii="Cambria" w:hAnsi="Cambria"/>
                <w:b/>
                <w:bCs/>
                <w:sz w:val="18"/>
                <w:szCs w:val="18"/>
                <w:lang w:val="es-ES"/>
              </w:rPr>
              <w:t>6.1</w:t>
            </w:r>
            <w:r w:rsidR="00DC2EBB" w:rsidRPr="007038E3">
              <w:rPr>
                <w:rFonts w:ascii="Cambria" w:hAnsi="Cambria"/>
                <w:b/>
                <w:bCs/>
                <w:sz w:val="18"/>
                <w:szCs w:val="18"/>
                <w:lang w:val="es-ES"/>
              </w:rPr>
              <w:t>43</w:t>
            </w:r>
          </w:p>
        </w:tc>
        <w:tc>
          <w:tcPr>
            <w:tcW w:w="851" w:type="dxa"/>
            <w:tcBorders>
              <w:top w:val="nil"/>
              <w:left w:val="single" w:sz="8" w:space="0" w:color="auto"/>
              <w:bottom w:val="single" w:sz="8" w:space="0" w:color="auto"/>
              <w:right w:val="single" w:sz="8" w:space="0" w:color="auto"/>
            </w:tcBorders>
            <w:shd w:val="clear" w:color="auto" w:fill="FFFFFF"/>
            <w:vAlign w:val="bottom"/>
          </w:tcPr>
          <w:p w14:paraId="10531E90" w14:textId="37531F41" w:rsidR="00285240" w:rsidRPr="007038E3" w:rsidRDefault="00DD4D1F" w:rsidP="00285240">
            <w:pPr>
              <w:keepLines w:val="0"/>
              <w:widowControl/>
              <w:jc w:val="right"/>
              <w:rPr>
                <w:rFonts w:ascii="Cambria" w:hAnsi="Cambria"/>
                <w:b/>
                <w:bCs/>
                <w:sz w:val="18"/>
                <w:szCs w:val="18"/>
                <w:lang w:val="es-ES"/>
              </w:rPr>
            </w:pPr>
            <w:r w:rsidRPr="007038E3">
              <w:rPr>
                <w:rFonts w:ascii="Cambria" w:hAnsi="Cambria"/>
                <w:b/>
                <w:bCs/>
                <w:sz w:val="18"/>
                <w:szCs w:val="18"/>
                <w:lang w:val="es-ES"/>
              </w:rPr>
              <w:t>(1.097)</w:t>
            </w:r>
          </w:p>
        </w:tc>
        <w:tc>
          <w:tcPr>
            <w:tcW w:w="1275" w:type="dxa"/>
            <w:tcBorders>
              <w:top w:val="nil"/>
              <w:left w:val="single" w:sz="8" w:space="0" w:color="auto"/>
              <w:bottom w:val="single" w:sz="8" w:space="0" w:color="auto"/>
              <w:right w:val="single" w:sz="8" w:space="0" w:color="auto"/>
            </w:tcBorders>
            <w:shd w:val="clear" w:color="auto" w:fill="FFFFFF"/>
            <w:noWrap/>
            <w:vAlign w:val="center"/>
          </w:tcPr>
          <w:p w14:paraId="5FC825C5" w14:textId="01341C46" w:rsidR="00285240" w:rsidRPr="007038E3" w:rsidRDefault="00DD4D1F" w:rsidP="00285240">
            <w:pPr>
              <w:keepLines w:val="0"/>
              <w:widowControl/>
              <w:jc w:val="right"/>
              <w:rPr>
                <w:rFonts w:ascii="Cambria" w:hAnsi="Cambria" w:cs="Arial"/>
                <w:b/>
                <w:bCs/>
                <w:sz w:val="18"/>
                <w:szCs w:val="18"/>
                <w:lang w:val="es-ES"/>
              </w:rPr>
            </w:pPr>
            <w:r w:rsidRPr="007038E3">
              <w:rPr>
                <w:rFonts w:ascii="Cambria" w:hAnsi="Cambria" w:cs="Arial"/>
                <w:b/>
                <w:bCs/>
                <w:sz w:val="18"/>
                <w:szCs w:val="18"/>
                <w:lang w:val="es-ES"/>
              </w:rPr>
              <w:t>(</w:t>
            </w:r>
            <w:r w:rsidR="00DC2EBB" w:rsidRPr="007038E3">
              <w:rPr>
                <w:rFonts w:ascii="Cambria" w:hAnsi="Cambria" w:cs="Arial"/>
                <w:b/>
                <w:bCs/>
                <w:sz w:val="18"/>
                <w:szCs w:val="18"/>
                <w:lang w:val="es-ES"/>
              </w:rPr>
              <w:t>3.402</w:t>
            </w:r>
            <w:r w:rsidRPr="007038E3">
              <w:rPr>
                <w:rFonts w:ascii="Cambria" w:hAnsi="Cambria" w:cs="Arial"/>
                <w:b/>
                <w:bCs/>
                <w:sz w:val="18"/>
                <w:szCs w:val="18"/>
                <w:lang w:val="es-ES"/>
              </w:rPr>
              <w:t>)</w:t>
            </w:r>
          </w:p>
        </w:tc>
        <w:tc>
          <w:tcPr>
            <w:tcW w:w="993" w:type="dxa"/>
            <w:tcBorders>
              <w:top w:val="nil"/>
              <w:left w:val="nil"/>
              <w:bottom w:val="single" w:sz="8" w:space="0" w:color="auto"/>
              <w:right w:val="single" w:sz="8" w:space="0" w:color="auto"/>
            </w:tcBorders>
            <w:shd w:val="clear" w:color="auto" w:fill="FFFFFF"/>
            <w:noWrap/>
            <w:vAlign w:val="center"/>
          </w:tcPr>
          <w:p w14:paraId="1C5DDDE5" w14:textId="083BBF4E" w:rsidR="00285240" w:rsidRPr="007038E3" w:rsidRDefault="00DD4D1F" w:rsidP="00285240">
            <w:pPr>
              <w:jc w:val="right"/>
              <w:rPr>
                <w:rFonts w:ascii="Cambria" w:hAnsi="Cambria" w:cs="Arial"/>
                <w:b/>
                <w:bCs/>
                <w:sz w:val="18"/>
                <w:szCs w:val="18"/>
              </w:rPr>
            </w:pPr>
            <w:r w:rsidRPr="007038E3">
              <w:rPr>
                <w:rFonts w:ascii="Cambria" w:hAnsi="Cambria" w:cs="Arial"/>
                <w:b/>
                <w:bCs/>
                <w:sz w:val="18"/>
                <w:szCs w:val="18"/>
              </w:rPr>
              <w:t>2.155</w:t>
            </w:r>
          </w:p>
        </w:tc>
        <w:tc>
          <w:tcPr>
            <w:tcW w:w="1112" w:type="dxa"/>
            <w:tcBorders>
              <w:top w:val="nil"/>
              <w:left w:val="nil"/>
              <w:bottom w:val="single" w:sz="8" w:space="0" w:color="auto"/>
              <w:right w:val="single" w:sz="8" w:space="0" w:color="auto"/>
            </w:tcBorders>
            <w:shd w:val="clear" w:color="auto" w:fill="FFFFFF"/>
            <w:noWrap/>
            <w:vAlign w:val="center"/>
          </w:tcPr>
          <w:p w14:paraId="5816602C" w14:textId="5E0F3B96" w:rsidR="00285240" w:rsidRPr="007038E3" w:rsidRDefault="00423918" w:rsidP="00285240">
            <w:pPr>
              <w:jc w:val="right"/>
              <w:rPr>
                <w:rFonts w:ascii="Cambria" w:hAnsi="Cambria" w:cs="Arial"/>
                <w:b/>
                <w:bCs/>
                <w:sz w:val="18"/>
                <w:szCs w:val="18"/>
              </w:rPr>
            </w:pPr>
            <w:r w:rsidRPr="007038E3">
              <w:rPr>
                <w:rFonts w:ascii="Cambria" w:hAnsi="Cambria" w:cs="Arial"/>
                <w:b/>
                <w:bCs/>
                <w:sz w:val="18"/>
                <w:szCs w:val="18"/>
              </w:rPr>
              <w:t>108.</w:t>
            </w:r>
            <w:r w:rsidR="00DC2EBB" w:rsidRPr="007038E3">
              <w:rPr>
                <w:rFonts w:ascii="Cambria" w:hAnsi="Cambria" w:cs="Arial"/>
                <w:b/>
                <w:bCs/>
                <w:sz w:val="18"/>
                <w:szCs w:val="18"/>
              </w:rPr>
              <w:t>885</w:t>
            </w:r>
          </w:p>
        </w:tc>
      </w:tr>
    </w:tbl>
    <w:p w14:paraId="2633F222" w14:textId="77777777" w:rsidR="00015DA0" w:rsidRDefault="00015DA0" w:rsidP="00C407D3">
      <w:pPr>
        <w:ind w:left="567"/>
        <w:rPr>
          <w:rFonts w:ascii="Cambria" w:hAnsi="Cambria"/>
          <w:b/>
          <w:sz w:val="24"/>
          <w:szCs w:val="24"/>
          <w:u w:val="single"/>
        </w:rPr>
      </w:pPr>
    </w:p>
    <w:p w14:paraId="4182FFC2" w14:textId="599A959C" w:rsidR="00075541" w:rsidRDefault="00075541">
      <w:pPr>
        <w:keepLines w:val="0"/>
        <w:widowControl/>
        <w:jc w:val="left"/>
        <w:rPr>
          <w:rFonts w:ascii="Cambria" w:hAnsi="Cambria"/>
          <w:b/>
          <w:sz w:val="24"/>
          <w:szCs w:val="24"/>
          <w:u w:val="single"/>
        </w:rPr>
      </w:pPr>
    </w:p>
    <w:p w14:paraId="1D2396A7" w14:textId="54F7CD12" w:rsidR="003D63B9" w:rsidRDefault="003D63B9">
      <w:pPr>
        <w:keepLines w:val="0"/>
        <w:widowControl/>
        <w:jc w:val="left"/>
        <w:rPr>
          <w:rFonts w:ascii="Cambria" w:hAnsi="Cambria"/>
          <w:b/>
          <w:sz w:val="24"/>
          <w:szCs w:val="24"/>
          <w:u w:val="single"/>
        </w:rPr>
      </w:pPr>
      <w:r>
        <w:rPr>
          <w:rFonts w:ascii="Cambria" w:hAnsi="Cambria"/>
          <w:b/>
          <w:sz w:val="24"/>
          <w:szCs w:val="24"/>
          <w:u w:val="single"/>
        </w:rPr>
        <w:br w:type="page"/>
      </w:r>
    </w:p>
    <w:p w14:paraId="7D879F49" w14:textId="77777777" w:rsidR="00075541" w:rsidRDefault="00075541" w:rsidP="00285240">
      <w:pPr>
        <w:ind w:left="567"/>
        <w:rPr>
          <w:rFonts w:ascii="Cambria" w:hAnsi="Cambria"/>
          <w:b/>
          <w:sz w:val="24"/>
          <w:szCs w:val="24"/>
          <w:u w:val="single"/>
        </w:rPr>
      </w:pPr>
    </w:p>
    <w:p w14:paraId="1D055287" w14:textId="1A6A5D3D" w:rsidR="00285240" w:rsidRDefault="00285240" w:rsidP="00285240">
      <w:pPr>
        <w:ind w:left="567"/>
        <w:rPr>
          <w:rFonts w:ascii="Cambria" w:hAnsi="Cambria"/>
          <w:b/>
          <w:sz w:val="24"/>
          <w:szCs w:val="24"/>
          <w:u w:val="single"/>
        </w:rPr>
      </w:pPr>
      <w:r w:rsidRPr="009F3EE2">
        <w:rPr>
          <w:rFonts w:ascii="Cambria" w:hAnsi="Cambria"/>
          <w:b/>
          <w:sz w:val="24"/>
          <w:szCs w:val="24"/>
          <w:u w:val="single"/>
        </w:rPr>
        <w:t>Ejercicio 2019</w:t>
      </w:r>
    </w:p>
    <w:p w14:paraId="703BC747" w14:textId="77777777" w:rsidR="00285240" w:rsidRDefault="00285240" w:rsidP="00285240">
      <w:pPr>
        <w:ind w:left="567"/>
        <w:rPr>
          <w:rFonts w:ascii="Cambria" w:hAnsi="Cambria"/>
          <w:b/>
          <w:sz w:val="24"/>
          <w:szCs w:val="24"/>
          <w:u w:val="single"/>
        </w:rPr>
      </w:pPr>
    </w:p>
    <w:tbl>
      <w:tblPr>
        <w:tblW w:w="5007" w:type="pct"/>
        <w:jc w:val="center"/>
        <w:tblLayout w:type="fixed"/>
        <w:tblCellMar>
          <w:left w:w="70" w:type="dxa"/>
          <w:right w:w="70" w:type="dxa"/>
        </w:tblCellMar>
        <w:tblLook w:val="0000" w:firstRow="0" w:lastRow="0" w:firstColumn="0" w:lastColumn="0" w:noHBand="0" w:noVBand="0"/>
      </w:tblPr>
      <w:tblGrid>
        <w:gridCol w:w="1691"/>
        <w:gridCol w:w="1278"/>
        <w:gridCol w:w="1134"/>
        <w:gridCol w:w="851"/>
        <w:gridCol w:w="851"/>
        <w:gridCol w:w="1275"/>
        <w:gridCol w:w="993"/>
        <w:gridCol w:w="992"/>
      </w:tblGrid>
      <w:tr w:rsidR="00285240" w:rsidRPr="007026B1" w14:paraId="7A209C64" w14:textId="77777777" w:rsidTr="00A50FEA">
        <w:trPr>
          <w:trHeight w:val="975"/>
          <w:jc w:val="center"/>
        </w:trPr>
        <w:tc>
          <w:tcPr>
            <w:tcW w:w="1691" w:type="dxa"/>
            <w:tcBorders>
              <w:top w:val="single" w:sz="8" w:space="0" w:color="auto"/>
              <w:left w:val="single" w:sz="8" w:space="0" w:color="auto"/>
              <w:bottom w:val="single" w:sz="8" w:space="0" w:color="auto"/>
              <w:right w:val="single" w:sz="8" w:space="0" w:color="auto"/>
            </w:tcBorders>
            <w:shd w:val="clear" w:color="auto" w:fill="FFFFFF"/>
            <w:vAlign w:val="bottom"/>
          </w:tcPr>
          <w:p w14:paraId="4058DE83" w14:textId="77777777" w:rsidR="00285240" w:rsidRPr="007026B1" w:rsidRDefault="00285240" w:rsidP="00A50FEA">
            <w:pPr>
              <w:keepLines w:val="0"/>
              <w:widowControl/>
              <w:jc w:val="left"/>
              <w:rPr>
                <w:rFonts w:ascii="Cambria" w:hAnsi="Cambria"/>
                <w:b/>
                <w:bCs/>
                <w:sz w:val="18"/>
                <w:szCs w:val="18"/>
                <w:lang w:val="es-ES"/>
              </w:rPr>
            </w:pPr>
            <w:r w:rsidRPr="007026B1">
              <w:rPr>
                <w:rFonts w:ascii="Cambria" w:hAnsi="Cambria"/>
                <w:b/>
                <w:bCs/>
                <w:sz w:val="18"/>
                <w:szCs w:val="18"/>
                <w:lang w:val="es-ES"/>
              </w:rPr>
              <w:t>Provisiones a largo plazo</w:t>
            </w:r>
          </w:p>
        </w:tc>
        <w:tc>
          <w:tcPr>
            <w:tcW w:w="1278" w:type="dxa"/>
            <w:tcBorders>
              <w:top w:val="single" w:sz="8" w:space="0" w:color="auto"/>
              <w:left w:val="nil"/>
              <w:bottom w:val="single" w:sz="8" w:space="0" w:color="auto"/>
              <w:right w:val="nil"/>
            </w:tcBorders>
            <w:shd w:val="clear" w:color="auto" w:fill="FFFFFF"/>
            <w:vAlign w:val="bottom"/>
          </w:tcPr>
          <w:p w14:paraId="2C5D1AD6" w14:textId="77777777" w:rsidR="00285240" w:rsidRPr="007026B1" w:rsidRDefault="00285240" w:rsidP="00A50FEA">
            <w:pPr>
              <w:keepLines w:val="0"/>
              <w:widowControl/>
              <w:jc w:val="center"/>
              <w:rPr>
                <w:rFonts w:ascii="Cambria" w:hAnsi="Cambria"/>
                <w:b/>
                <w:bCs/>
                <w:sz w:val="18"/>
                <w:szCs w:val="18"/>
                <w:lang w:val="es-ES"/>
              </w:rPr>
            </w:pPr>
            <w:r w:rsidRPr="007026B1">
              <w:rPr>
                <w:rFonts w:ascii="Cambria" w:hAnsi="Cambria"/>
                <w:b/>
                <w:bCs/>
                <w:sz w:val="18"/>
                <w:szCs w:val="18"/>
                <w:lang w:val="es-ES"/>
              </w:rPr>
              <w:t>Saldo al 31.12.18</w:t>
            </w:r>
          </w:p>
        </w:tc>
        <w:tc>
          <w:tcPr>
            <w:tcW w:w="1134" w:type="dxa"/>
            <w:tcBorders>
              <w:top w:val="single" w:sz="8" w:space="0" w:color="auto"/>
              <w:left w:val="single" w:sz="8" w:space="0" w:color="auto"/>
              <w:bottom w:val="single" w:sz="8" w:space="0" w:color="auto"/>
              <w:right w:val="single" w:sz="4" w:space="0" w:color="auto"/>
            </w:tcBorders>
            <w:shd w:val="clear" w:color="auto" w:fill="FFFFFF"/>
            <w:vAlign w:val="bottom"/>
          </w:tcPr>
          <w:p w14:paraId="0ADB5604" w14:textId="77777777" w:rsidR="00285240" w:rsidRPr="007026B1" w:rsidRDefault="00285240" w:rsidP="00A50FEA">
            <w:pPr>
              <w:keepLines w:val="0"/>
              <w:widowControl/>
              <w:jc w:val="center"/>
              <w:rPr>
                <w:rFonts w:ascii="Cambria" w:hAnsi="Cambria"/>
                <w:b/>
                <w:bCs/>
                <w:sz w:val="18"/>
                <w:szCs w:val="18"/>
                <w:lang w:val="es-ES"/>
              </w:rPr>
            </w:pPr>
            <w:r w:rsidRPr="007026B1">
              <w:rPr>
                <w:rFonts w:ascii="Cambria" w:hAnsi="Cambria"/>
                <w:b/>
                <w:bCs/>
                <w:sz w:val="18"/>
                <w:szCs w:val="18"/>
                <w:lang w:val="es-ES"/>
              </w:rPr>
              <w:t xml:space="preserve">Dotaciones </w:t>
            </w:r>
          </w:p>
        </w:tc>
        <w:tc>
          <w:tcPr>
            <w:tcW w:w="851" w:type="dxa"/>
            <w:tcBorders>
              <w:top w:val="single" w:sz="4" w:space="0" w:color="auto"/>
              <w:left w:val="single" w:sz="4" w:space="0" w:color="auto"/>
              <w:bottom w:val="single" w:sz="8" w:space="0" w:color="auto"/>
              <w:right w:val="single" w:sz="4" w:space="0" w:color="auto"/>
            </w:tcBorders>
            <w:shd w:val="clear" w:color="auto" w:fill="FFFFFF"/>
          </w:tcPr>
          <w:p w14:paraId="1B7F9BDD" w14:textId="77777777" w:rsidR="00285240" w:rsidRPr="007026B1" w:rsidRDefault="00285240" w:rsidP="00A50FEA">
            <w:pPr>
              <w:keepLines w:val="0"/>
              <w:widowControl/>
              <w:jc w:val="center"/>
              <w:rPr>
                <w:rFonts w:ascii="Cambria" w:hAnsi="Cambria"/>
                <w:b/>
                <w:bCs/>
                <w:sz w:val="18"/>
                <w:szCs w:val="18"/>
                <w:lang w:val="es-ES"/>
              </w:rPr>
            </w:pPr>
          </w:p>
          <w:p w14:paraId="098B40E9" w14:textId="77777777" w:rsidR="00285240" w:rsidRPr="007026B1" w:rsidRDefault="00285240" w:rsidP="00A50FEA">
            <w:pPr>
              <w:keepLines w:val="0"/>
              <w:widowControl/>
              <w:jc w:val="center"/>
              <w:rPr>
                <w:rFonts w:ascii="Cambria" w:hAnsi="Cambria"/>
                <w:b/>
                <w:bCs/>
                <w:sz w:val="18"/>
                <w:szCs w:val="18"/>
                <w:lang w:val="es-ES"/>
              </w:rPr>
            </w:pPr>
            <w:r w:rsidRPr="007026B1">
              <w:rPr>
                <w:rFonts w:ascii="Cambria" w:hAnsi="Cambria"/>
                <w:b/>
                <w:bCs/>
                <w:sz w:val="18"/>
                <w:szCs w:val="18"/>
                <w:lang w:val="es-ES"/>
              </w:rPr>
              <w:t>Ajuste Patrimo-nio</w:t>
            </w:r>
          </w:p>
        </w:tc>
        <w:tc>
          <w:tcPr>
            <w:tcW w:w="851" w:type="dxa"/>
            <w:tcBorders>
              <w:top w:val="single" w:sz="8" w:space="0" w:color="auto"/>
              <w:left w:val="single" w:sz="4" w:space="0" w:color="auto"/>
              <w:bottom w:val="single" w:sz="8" w:space="0" w:color="auto"/>
              <w:right w:val="single" w:sz="8" w:space="0" w:color="auto"/>
            </w:tcBorders>
            <w:shd w:val="clear" w:color="auto" w:fill="FFFFFF"/>
            <w:vAlign w:val="bottom"/>
          </w:tcPr>
          <w:p w14:paraId="3E45D308" w14:textId="77777777" w:rsidR="00285240" w:rsidRPr="007026B1" w:rsidRDefault="00285240" w:rsidP="00A50FEA">
            <w:pPr>
              <w:keepLines w:val="0"/>
              <w:widowControl/>
              <w:jc w:val="center"/>
              <w:rPr>
                <w:rFonts w:ascii="Cambria" w:hAnsi="Cambria"/>
                <w:b/>
                <w:bCs/>
                <w:sz w:val="18"/>
                <w:szCs w:val="18"/>
                <w:lang w:val="es-ES"/>
              </w:rPr>
            </w:pPr>
            <w:r w:rsidRPr="007026B1">
              <w:rPr>
                <w:rFonts w:ascii="Cambria" w:hAnsi="Cambria"/>
                <w:b/>
                <w:bCs/>
                <w:sz w:val="18"/>
                <w:szCs w:val="18"/>
                <w:lang w:val="es-ES"/>
              </w:rPr>
              <w:t>Excesos</w:t>
            </w:r>
          </w:p>
        </w:tc>
        <w:tc>
          <w:tcPr>
            <w:tcW w:w="1275" w:type="dxa"/>
            <w:tcBorders>
              <w:top w:val="single" w:sz="8" w:space="0" w:color="auto"/>
              <w:left w:val="nil"/>
              <w:bottom w:val="single" w:sz="8" w:space="0" w:color="auto"/>
              <w:right w:val="single" w:sz="8" w:space="0" w:color="auto"/>
            </w:tcBorders>
            <w:shd w:val="clear" w:color="auto" w:fill="FFFFFF"/>
            <w:vAlign w:val="bottom"/>
          </w:tcPr>
          <w:p w14:paraId="17BDB014" w14:textId="77777777" w:rsidR="00285240" w:rsidRPr="007026B1" w:rsidRDefault="00285240" w:rsidP="00A50FEA">
            <w:pPr>
              <w:keepLines w:val="0"/>
              <w:widowControl/>
              <w:jc w:val="center"/>
              <w:rPr>
                <w:rFonts w:ascii="Cambria" w:hAnsi="Cambria"/>
                <w:b/>
                <w:bCs/>
                <w:sz w:val="18"/>
                <w:szCs w:val="18"/>
                <w:lang w:val="es-ES"/>
              </w:rPr>
            </w:pPr>
            <w:r w:rsidRPr="007026B1">
              <w:rPr>
                <w:rFonts w:ascii="Cambria" w:hAnsi="Cambria"/>
                <w:b/>
                <w:bCs/>
                <w:sz w:val="18"/>
                <w:szCs w:val="18"/>
                <w:lang w:val="es-ES"/>
              </w:rPr>
              <w:t>Aplicaciones</w:t>
            </w:r>
          </w:p>
        </w:tc>
        <w:tc>
          <w:tcPr>
            <w:tcW w:w="993" w:type="dxa"/>
            <w:tcBorders>
              <w:top w:val="single" w:sz="8" w:space="0" w:color="auto"/>
              <w:left w:val="nil"/>
              <w:bottom w:val="single" w:sz="8" w:space="0" w:color="auto"/>
              <w:right w:val="single" w:sz="8" w:space="0" w:color="auto"/>
            </w:tcBorders>
            <w:shd w:val="clear" w:color="auto" w:fill="FFFFFF"/>
            <w:vAlign w:val="bottom"/>
          </w:tcPr>
          <w:p w14:paraId="63189E65" w14:textId="77777777" w:rsidR="00285240" w:rsidRPr="007026B1" w:rsidRDefault="00285240" w:rsidP="00A50FEA">
            <w:pPr>
              <w:keepLines w:val="0"/>
              <w:widowControl/>
              <w:jc w:val="center"/>
              <w:rPr>
                <w:rFonts w:ascii="Cambria" w:hAnsi="Cambria"/>
                <w:b/>
                <w:bCs/>
                <w:sz w:val="18"/>
                <w:szCs w:val="18"/>
                <w:lang w:val="es-ES"/>
              </w:rPr>
            </w:pPr>
            <w:r w:rsidRPr="007026B1">
              <w:rPr>
                <w:rFonts w:ascii="Cambria" w:hAnsi="Cambria"/>
                <w:b/>
                <w:bCs/>
                <w:sz w:val="18"/>
                <w:szCs w:val="18"/>
                <w:lang w:val="es-ES"/>
              </w:rPr>
              <w:t>Traspasos</w:t>
            </w:r>
          </w:p>
        </w:tc>
        <w:tc>
          <w:tcPr>
            <w:tcW w:w="992" w:type="dxa"/>
            <w:tcBorders>
              <w:top w:val="single" w:sz="8" w:space="0" w:color="auto"/>
              <w:left w:val="nil"/>
              <w:bottom w:val="single" w:sz="8" w:space="0" w:color="auto"/>
              <w:right w:val="single" w:sz="8" w:space="0" w:color="auto"/>
            </w:tcBorders>
            <w:shd w:val="clear" w:color="auto" w:fill="FFFFFF"/>
            <w:vAlign w:val="bottom"/>
          </w:tcPr>
          <w:p w14:paraId="42816C32" w14:textId="77777777" w:rsidR="00285240" w:rsidRPr="007026B1" w:rsidRDefault="00285240" w:rsidP="00A50FEA">
            <w:pPr>
              <w:keepLines w:val="0"/>
              <w:widowControl/>
              <w:jc w:val="center"/>
              <w:rPr>
                <w:rFonts w:ascii="Cambria" w:hAnsi="Cambria"/>
                <w:b/>
                <w:bCs/>
                <w:sz w:val="18"/>
                <w:szCs w:val="18"/>
                <w:lang w:val="es-ES"/>
              </w:rPr>
            </w:pPr>
            <w:r>
              <w:rPr>
                <w:rFonts w:ascii="Cambria" w:hAnsi="Cambria"/>
                <w:b/>
                <w:bCs/>
                <w:sz w:val="18"/>
                <w:szCs w:val="18"/>
                <w:lang w:val="es-ES"/>
              </w:rPr>
              <w:t>Saldo al 31.12.19</w:t>
            </w:r>
          </w:p>
        </w:tc>
      </w:tr>
      <w:tr w:rsidR="00285240" w:rsidRPr="007026B1" w14:paraId="14C78612" w14:textId="77777777" w:rsidTr="00A50FEA">
        <w:trPr>
          <w:trHeight w:val="255"/>
          <w:jc w:val="center"/>
        </w:trPr>
        <w:tc>
          <w:tcPr>
            <w:tcW w:w="1691" w:type="dxa"/>
            <w:tcBorders>
              <w:top w:val="nil"/>
              <w:left w:val="single" w:sz="8" w:space="0" w:color="auto"/>
              <w:right w:val="nil"/>
            </w:tcBorders>
            <w:shd w:val="clear" w:color="auto" w:fill="auto"/>
            <w:noWrap/>
            <w:vAlign w:val="bottom"/>
          </w:tcPr>
          <w:p w14:paraId="501CAD8D" w14:textId="77777777" w:rsidR="00285240" w:rsidRPr="007026B1" w:rsidRDefault="00285240" w:rsidP="00A50FEA">
            <w:pPr>
              <w:keepLines w:val="0"/>
              <w:widowControl/>
              <w:jc w:val="left"/>
              <w:rPr>
                <w:rFonts w:ascii="Cambria" w:hAnsi="Cambria"/>
                <w:bCs/>
                <w:sz w:val="18"/>
                <w:szCs w:val="18"/>
                <w:lang w:val="es-ES"/>
              </w:rPr>
            </w:pPr>
            <w:r w:rsidRPr="007026B1">
              <w:rPr>
                <w:rFonts w:ascii="Cambria" w:hAnsi="Cambria"/>
                <w:bCs/>
                <w:sz w:val="18"/>
                <w:szCs w:val="18"/>
                <w:lang w:val="es-ES"/>
              </w:rPr>
              <w:t>Obligaciones con el personal</w:t>
            </w:r>
          </w:p>
        </w:tc>
        <w:tc>
          <w:tcPr>
            <w:tcW w:w="1278" w:type="dxa"/>
            <w:tcBorders>
              <w:top w:val="nil"/>
              <w:left w:val="single" w:sz="8" w:space="0" w:color="auto"/>
              <w:right w:val="single" w:sz="8" w:space="0" w:color="auto"/>
            </w:tcBorders>
            <w:vAlign w:val="bottom"/>
          </w:tcPr>
          <w:p w14:paraId="773AD28F" w14:textId="77777777" w:rsidR="00285240" w:rsidRPr="007026B1" w:rsidRDefault="00285240" w:rsidP="00A50FEA">
            <w:pPr>
              <w:jc w:val="right"/>
              <w:rPr>
                <w:rFonts w:ascii="Cambria" w:hAnsi="Cambria"/>
                <w:sz w:val="18"/>
                <w:szCs w:val="18"/>
              </w:rPr>
            </w:pPr>
            <w:r>
              <w:rPr>
                <w:rFonts w:ascii="Cambria" w:hAnsi="Cambria"/>
                <w:sz w:val="18"/>
                <w:szCs w:val="18"/>
              </w:rPr>
              <w:t>9.699</w:t>
            </w:r>
          </w:p>
        </w:tc>
        <w:tc>
          <w:tcPr>
            <w:tcW w:w="1134" w:type="dxa"/>
            <w:tcBorders>
              <w:top w:val="nil"/>
              <w:left w:val="single" w:sz="8" w:space="0" w:color="auto"/>
              <w:right w:val="single" w:sz="4" w:space="0" w:color="auto"/>
            </w:tcBorders>
            <w:shd w:val="clear" w:color="auto" w:fill="auto"/>
            <w:noWrap/>
            <w:vAlign w:val="bottom"/>
          </w:tcPr>
          <w:p w14:paraId="26ACBE13" w14:textId="77777777" w:rsidR="00285240" w:rsidRPr="007026B1" w:rsidRDefault="00285240" w:rsidP="00A50FEA">
            <w:pPr>
              <w:keepLines w:val="0"/>
              <w:widowControl/>
              <w:jc w:val="right"/>
              <w:rPr>
                <w:rFonts w:ascii="Cambria" w:hAnsi="Cambria"/>
                <w:sz w:val="18"/>
                <w:szCs w:val="18"/>
                <w:lang w:val="es-ES"/>
              </w:rPr>
            </w:pPr>
            <w:r>
              <w:rPr>
                <w:rFonts w:ascii="Cambria" w:hAnsi="Cambria"/>
                <w:sz w:val="18"/>
                <w:szCs w:val="18"/>
                <w:lang w:val="es-ES"/>
              </w:rPr>
              <w:t>211</w:t>
            </w:r>
          </w:p>
        </w:tc>
        <w:tc>
          <w:tcPr>
            <w:tcW w:w="851" w:type="dxa"/>
            <w:tcBorders>
              <w:top w:val="single" w:sz="8" w:space="0" w:color="auto"/>
              <w:left w:val="single" w:sz="4" w:space="0" w:color="auto"/>
              <w:right w:val="single" w:sz="4" w:space="0" w:color="auto"/>
            </w:tcBorders>
            <w:shd w:val="clear" w:color="auto" w:fill="auto"/>
            <w:vAlign w:val="bottom"/>
          </w:tcPr>
          <w:p w14:paraId="4C0497C6" w14:textId="77777777" w:rsidR="00285240" w:rsidRPr="00B7461E" w:rsidRDefault="00285240" w:rsidP="00A50FEA">
            <w:pPr>
              <w:keepLines w:val="0"/>
              <w:widowControl/>
              <w:jc w:val="right"/>
              <w:rPr>
                <w:rFonts w:ascii="Cambria" w:hAnsi="Cambria"/>
                <w:sz w:val="18"/>
                <w:szCs w:val="18"/>
                <w:lang w:val="es-ES"/>
              </w:rPr>
            </w:pPr>
            <w:r w:rsidRPr="00B7461E">
              <w:rPr>
                <w:rFonts w:ascii="Cambria" w:hAnsi="Cambria"/>
                <w:sz w:val="18"/>
                <w:szCs w:val="18"/>
                <w:lang w:val="es-ES"/>
              </w:rPr>
              <w:t>(7)</w:t>
            </w:r>
          </w:p>
        </w:tc>
        <w:tc>
          <w:tcPr>
            <w:tcW w:w="851" w:type="dxa"/>
            <w:tcBorders>
              <w:top w:val="single" w:sz="8" w:space="0" w:color="auto"/>
              <w:left w:val="single" w:sz="4" w:space="0" w:color="auto"/>
              <w:right w:val="single" w:sz="4" w:space="0" w:color="auto"/>
            </w:tcBorders>
            <w:shd w:val="clear" w:color="auto" w:fill="auto"/>
            <w:noWrap/>
            <w:vAlign w:val="bottom"/>
          </w:tcPr>
          <w:p w14:paraId="673F5B99" w14:textId="77777777" w:rsidR="00285240" w:rsidRPr="007026B1" w:rsidRDefault="00285240" w:rsidP="00A50FEA">
            <w:pPr>
              <w:jc w:val="center"/>
              <w:rPr>
                <w:rFonts w:ascii="Cambria" w:hAnsi="Cambria"/>
                <w:sz w:val="18"/>
                <w:szCs w:val="18"/>
              </w:rPr>
            </w:pPr>
            <w:r>
              <w:rPr>
                <w:rFonts w:ascii="Cambria" w:hAnsi="Cambria"/>
                <w:sz w:val="18"/>
                <w:szCs w:val="18"/>
              </w:rPr>
              <w:t>-</w:t>
            </w:r>
          </w:p>
        </w:tc>
        <w:tc>
          <w:tcPr>
            <w:tcW w:w="1275" w:type="dxa"/>
            <w:tcBorders>
              <w:top w:val="single" w:sz="8" w:space="0" w:color="auto"/>
              <w:left w:val="single" w:sz="4" w:space="0" w:color="auto"/>
              <w:right w:val="single" w:sz="4" w:space="0" w:color="auto"/>
            </w:tcBorders>
            <w:shd w:val="clear" w:color="auto" w:fill="auto"/>
            <w:noWrap/>
            <w:vAlign w:val="bottom"/>
          </w:tcPr>
          <w:p w14:paraId="04A9E02A" w14:textId="77777777" w:rsidR="00285240" w:rsidRPr="007026B1" w:rsidRDefault="00285240" w:rsidP="00A50FEA">
            <w:pPr>
              <w:jc w:val="center"/>
              <w:rPr>
                <w:rFonts w:ascii="Cambria" w:hAnsi="Cambria"/>
                <w:sz w:val="18"/>
                <w:szCs w:val="18"/>
              </w:rPr>
            </w:pPr>
            <w:r>
              <w:rPr>
                <w:rFonts w:ascii="Cambria" w:hAnsi="Cambria"/>
                <w:sz w:val="18"/>
                <w:szCs w:val="18"/>
              </w:rPr>
              <w:t>-</w:t>
            </w:r>
          </w:p>
        </w:tc>
        <w:tc>
          <w:tcPr>
            <w:tcW w:w="993" w:type="dxa"/>
            <w:tcBorders>
              <w:top w:val="single" w:sz="8" w:space="0" w:color="auto"/>
              <w:left w:val="single" w:sz="4" w:space="0" w:color="auto"/>
              <w:right w:val="nil"/>
            </w:tcBorders>
            <w:shd w:val="clear" w:color="auto" w:fill="auto"/>
            <w:noWrap/>
            <w:vAlign w:val="bottom"/>
          </w:tcPr>
          <w:p w14:paraId="04096E19" w14:textId="77777777" w:rsidR="00285240" w:rsidRPr="007026B1" w:rsidRDefault="00285240" w:rsidP="00A50FEA">
            <w:pPr>
              <w:jc w:val="right"/>
              <w:rPr>
                <w:rFonts w:ascii="Cambria" w:hAnsi="Cambria"/>
                <w:sz w:val="18"/>
                <w:szCs w:val="18"/>
              </w:rPr>
            </w:pPr>
            <w:r>
              <w:rPr>
                <w:rFonts w:ascii="Cambria" w:hAnsi="Cambria"/>
                <w:sz w:val="18"/>
                <w:szCs w:val="18"/>
              </w:rPr>
              <w:t>(2.301)</w:t>
            </w:r>
          </w:p>
        </w:tc>
        <w:tc>
          <w:tcPr>
            <w:tcW w:w="992" w:type="dxa"/>
            <w:tcBorders>
              <w:top w:val="nil"/>
              <w:left w:val="single" w:sz="8" w:space="0" w:color="auto"/>
              <w:right w:val="single" w:sz="8" w:space="0" w:color="auto"/>
            </w:tcBorders>
            <w:shd w:val="clear" w:color="auto" w:fill="auto"/>
            <w:noWrap/>
            <w:vAlign w:val="bottom"/>
          </w:tcPr>
          <w:p w14:paraId="78D16974" w14:textId="77777777" w:rsidR="00285240" w:rsidRPr="007026B1" w:rsidRDefault="00285240" w:rsidP="00A50FEA">
            <w:pPr>
              <w:jc w:val="right"/>
              <w:rPr>
                <w:rFonts w:ascii="Cambria" w:hAnsi="Cambria"/>
                <w:sz w:val="18"/>
                <w:szCs w:val="18"/>
              </w:rPr>
            </w:pPr>
            <w:r>
              <w:rPr>
                <w:rFonts w:ascii="Cambria" w:hAnsi="Cambria"/>
                <w:sz w:val="18"/>
                <w:szCs w:val="18"/>
              </w:rPr>
              <w:t>7.602</w:t>
            </w:r>
          </w:p>
        </w:tc>
      </w:tr>
      <w:tr w:rsidR="00285240" w:rsidRPr="007026B1" w14:paraId="05D0E22A" w14:textId="77777777" w:rsidTr="00A50FEA">
        <w:trPr>
          <w:trHeight w:val="270"/>
          <w:jc w:val="center"/>
        </w:trPr>
        <w:tc>
          <w:tcPr>
            <w:tcW w:w="1691" w:type="dxa"/>
            <w:tcBorders>
              <w:top w:val="nil"/>
              <w:left w:val="single" w:sz="8" w:space="0" w:color="auto"/>
              <w:right w:val="nil"/>
            </w:tcBorders>
            <w:shd w:val="clear" w:color="auto" w:fill="auto"/>
            <w:noWrap/>
            <w:vAlign w:val="bottom"/>
          </w:tcPr>
          <w:p w14:paraId="456F2EFD" w14:textId="77777777" w:rsidR="00285240" w:rsidRPr="007026B1" w:rsidRDefault="00285240" w:rsidP="00A50FEA">
            <w:pPr>
              <w:keepLines w:val="0"/>
              <w:widowControl/>
              <w:jc w:val="left"/>
              <w:rPr>
                <w:rFonts w:ascii="Cambria" w:hAnsi="Cambria"/>
                <w:bCs/>
                <w:sz w:val="18"/>
                <w:szCs w:val="18"/>
                <w:lang w:val="es-ES"/>
              </w:rPr>
            </w:pPr>
            <w:r w:rsidRPr="007026B1">
              <w:rPr>
                <w:rFonts w:ascii="Cambria" w:hAnsi="Cambria"/>
                <w:bCs/>
                <w:sz w:val="18"/>
                <w:szCs w:val="18"/>
                <w:lang w:val="es-ES"/>
              </w:rPr>
              <w:t>Provisiones medioambientales</w:t>
            </w:r>
          </w:p>
        </w:tc>
        <w:tc>
          <w:tcPr>
            <w:tcW w:w="1278" w:type="dxa"/>
            <w:tcBorders>
              <w:top w:val="nil"/>
              <w:left w:val="single" w:sz="8" w:space="0" w:color="auto"/>
              <w:right w:val="single" w:sz="8" w:space="0" w:color="auto"/>
            </w:tcBorders>
            <w:vAlign w:val="bottom"/>
          </w:tcPr>
          <w:p w14:paraId="556A8091" w14:textId="77777777" w:rsidR="00285240" w:rsidRPr="007026B1" w:rsidRDefault="00285240" w:rsidP="00A50FEA">
            <w:pPr>
              <w:jc w:val="right"/>
              <w:rPr>
                <w:rFonts w:ascii="Cambria" w:hAnsi="Cambria"/>
                <w:sz w:val="18"/>
                <w:szCs w:val="18"/>
              </w:rPr>
            </w:pPr>
            <w:r>
              <w:rPr>
                <w:rFonts w:ascii="Cambria" w:hAnsi="Cambria"/>
                <w:sz w:val="18"/>
                <w:szCs w:val="18"/>
              </w:rPr>
              <w:t>963</w:t>
            </w:r>
          </w:p>
        </w:tc>
        <w:tc>
          <w:tcPr>
            <w:tcW w:w="1134" w:type="dxa"/>
            <w:tcBorders>
              <w:top w:val="nil"/>
              <w:left w:val="single" w:sz="8" w:space="0" w:color="auto"/>
              <w:right w:val="single" w:sz="4" w:space="0" w:color="auto"/>
            </w:tcBorders>
            <w:shd w:val="clear" w:color="auto" w:fill="auto"/>
            <w:noWrap/>
            <w:vAlign w:val="bottom"/>
          </w:tcPr>
          <w:p w14:paraId="71D320A7" w14:textId="77777777" w:rsidR="00285240" w:rsidRPr="007026B1" w:rsidRDefault="00285240" w:rsidP="00A50FEA">
            <w:pPr>
              <w:keepLines w:val="0"/>
              <w:widowControl/>
              <w:jc w:val="center"/>
              <w:rPr>
                <w:rFonts w:ascii="Cambria" w:hAnsi="Cambria"/>
                <w:sz w:val="18"/>
                <w:szCs w:val="18"/>
                <w:lang w:val="es-ES"/>
              </w:rPr>
            </w:pPr>
            <w:r>
              <w:rPr>
                <w:rFonts w:ascii="Cambria" w:hAnsi="Cambria"/>
                <w:sz w:val="18"/>
                <w:szCs w:val="18"/>
                <w:lang w:val="es-ES"/>
              </w:rPr>
              <w:t>-</w:t>
            </w:r>
          </w:p>
        </w:tc>
        <w:tc>
          <w:tcPr>
            <w:tcW w:w="851" w:type="dxa"/>
            <w:tcBorders>
              <w:top w:val="nil"/>
              <w:left w:val="single" w:sz="4" w:space="0" w:color="auto"/>
              <w:right w:val="single" w:sz="4" w:space="0" w:color="auto"/>
            </w:tcBorders>
            <w:shd w:val="clear" w:color="auto" w:fill="auto"/>
          </w:tcPr>
          <w:p w14:paraId="4B9888AC" w14:textId="77777777" w:rsidR="00285240" w:rsidRPr="007026B1" w:rsidRDefault="00285240" w:rsidP="00A50FEA">
            <w:pPr>
              <w:jc w:val="center"/>
              <w:rPr>
                <w:rFonts w:ascii="Cambria" w:hAnsi="Cambria"/>
                <w:sz w:val="18"/>
                <w:szCs w:val="18"/>
              </w:rPr>
            </w:pPr>
            <w:r>
              <w:rPr>
                <w:rFonts w:ascii="Cambria" w:hAnsi="Cambria"/>
                <w:sz w:val="18"/>
                <w:szCs w:val="18"/>
              </w:rPr>
              <w:t>-</w:t>
            </w:r>
          </w:p>
        </w:tc>
        <w:tc>
          <w:tcPr>
            <w:tcW w:w="851" w:type="dxa"/>
            <w:tcBorders>
              <w:top w:val="nil"/>
              <w:left w:val="single" w:sz="4" w:space="0" w:color="auto"/>
              <w:right w:val="single" w:sz="4" w:space="0" w:color="auto"/>
            </w:tcBorders>
            <w:shd w:val="clear" w:color="auto" w:fill="auto"/>
            <w:noWrap/>
            <w:vAlign w:val="bottom"/>
          </w:tcPr>
          <w:p w14:paraId="35C01ECE" w14:textId="77777777" w:rsidR="00285240" w:rsidRPr="007026B1" w:rsidRDefault="00285240" w:rsidP="00A50FEA">
            <w:pPr>
              <w:jc w:val="center"/>
              <w:rPr>
                <w:rFonts w:ascii="Cambria" w:hAnsi="Cambria"/>
                <w:sz w:val="18"/>
                <w:szCs w:val="18"/>
              </w:rPr>
            </w:pPr>
            <w:r>
              <w:rPr>
                <w:rFonts w:ascii="Cambria" w:hAnsi="Cambria"/>
                <w:sz w:val="18"/>
                <w:szCs w:val="18"/>
              </w:rPr>
              <w:t>-</w:t>
            </w:r>
          </w:p>
        </w:tc>
        <w:tc>
          <w:tcPr>
            <w:tcW w:w="1275" w:type="dxa"/>
            <w:tcBorders>
              <w:top w:val="nil"/>
              <w:left w:val="single" w:sz="4" w:space="0" w:color="auto"/>
              <w:right w:val="single" w:sz="4" w:space="0" w:color="auto"/>
            </w:tcBorders>
            <w:shd w:val="clear" w:color="auto" w:fill="auto"/>
            <w:noWrap/>
            <w:vAlign w:val="bottom"/>
          </w:tcPr>
          <w:p w14:paraId="266A8307" w14:textId="77777777" w:rsidR="00285240" w:rsidRPr="007026B1" w:rsidRDefault="00285240" w:rsidP="00A50FEA">
            <w:pPr>
              <w:jc w:val="center"/>
              <w:rPr>
                <w:rFonts w:ascii="Cambria" w:hAnsi="Cambria"/>
                <w:sz w:val="18"/>
                <w:szCs w:val="18"/>
              </w:rPr>
            </w:pPr>
            <w:r>
              <w:rPr>
                <w:rFonts w:ascii="Cambria" w:hAnsi="Cambria"/>
                <w:sz w:val="18"/>
                <w:szCs w:val="18"/>
              </w:rPr>
              <w:t>-</w:t>
            </w:r>
          </w:p>
        </w:tc>
        <w:tc>
          <w:tcPr>
            <w:tcW w:w="993" w:type="dxa"/>
            <w:tcBorders>
              <w:top w:val="nil"/>
              <w:left w:val="single" w:sz="4" w:space="0" w:color="auto"/>
              <w:right w:val="nil"/>
            </w:tcBorders>
            <w:shd w:val="clear" w:color="auto" w:fill="auto"/>
            <w:noWrap/>
            <w:vAlign w:val="bottom"/>
          </w:tcPr>
          <w:p w14:paraId="5F31743D" w14:textId="77777777" w:rsidR="00285240" w:rsidRPr="007026B1" w:rsidRDefault="00285240" w:rsidP="00A50FEA">
            <w:pPr>
              <w:jc w:val="right"/>
              <w:rPr>
                <w:rFonts w:ascii="Cambria" w:hAnsi="Cambria"/>
                <w:sz w:val="18"/>
                <w:szCs w:val="18"/>
              </w:rPr>
            </w:pPr>
            <w:r>
              <w:rPr>
                <w:rFonts w:ascii="Cambria" w:hAnsi="Cambria"/>
                <w:sz w:val="18"/>
                <w:szCs w:val="18"/>
              </w:rPr>
              <w:t>(257)</w:t>
            </w:r>
          </w:p>
        </w:tc>
        <w:tc>
          <w:tcPr>
            <w:tcW w:w="992" w:type="dxa"/>
            <w:tcBorders>
              <w:top w:val="nil"/>
              <w:left w:val="single" w:sz="8" w:space="0" w:color="auto"/>
              <w:right w:val="single" w:sz="8" w:space="0" w:color="auto"/>
            </w:tcBorders>
            <w:shd w:val="clear" w:color="auto" w:fill="auto"/>
            <w:noWrap/>
            <w:vAlign w:val="bottom"/>
          </w:tcPr>
          <w:p w14:paraId="07453A0E" w14:textId="77777777" w:rsidR="00285240" w:rsidRPr="007026B1" w:rsidRDefault="00285240" w:rsidP="00A50FEA">
            <w:pPr>
              <w:jc w:val="right"/>
              <w:rPr>
                <w:rFonts w:ascii="Cambria" w:hAnsi="Cambria"/>
                <w:sz w:val="18"/>
                <w:szCs w:val="18"/>
              </w:rPr>
            </w:pPr>
            <w:r>
              <w:rPr>
                <w:rFonts w:ascii="Cambria" w:hAnsi="Cambria"/>
                <w:sz w:val="18"/>
                <w:szCs w:val="18"/>
              </w:rPr>
              <w:t>706</w:t>
            </w:r>
          </w:p>
        </w:tc>
      </w:tr>
      <w:tr w:rsidR="00285240" w:rsidRPr="007026B1" w14:paraId="5547AF2D" w14:textId="77777777" w:rsidTr="00A50FEA">
        <w:trPr>
          <w:trHeight w:val="270"/>
          <w:jc w:val="center"/>
        </w:trPr>
        <w:tc>
          <w:tcPr>
            <w:tcW w:w="1691" w:type="dxa"/>
            <w:tcBorders>
              <w:left w:val="single" w:sz="8" w:space="0" w:color="auto"/>
              <w:bottom w:val="single" w:sz="8" w:space="0" w:color="auto"/>
              <w:right w:val="nil"/>
            </w:tcBorders>
            <w:shd w:val="clear" w:color="auto" w:fill="auto"/>
            <w:noWrap/>
            <w:vAlign w:val="bottom"/>
          </w:tcPr>
          <w:p w14:paraId="398105C7" w14:textId="77777777" w:rsidR="00285240" w:rsidRPr="007026B1" w:rsidRDefault="00285240" w:rsidP="00A50FEA">
            <w:pPr>
              <w:keepLines w:val="0"/>
              <w:widowControl/>
              <w:jc w:val="left"/>
              <w:rPr>
                <w:rFonts w:ascii="Cambria" w:hAnsi="Cambria"/>
                <w:bCs/>
                <w:sz w:val="18"/>
                <w:szCs w:val="18"/>
                <w:lang w:val="es-ES"/>
              </w:rPr>
            </w:pPr>
            <w:r w:rsidRPr="007026B1">
              <w:rPr>
                <w:rFonts w:ascii="Cambria" w:hAnsi="Cambria"/>
                <w:bCs/>
                <w:sz w:val="18"/>
                <w:szCs w:val="18"/>
                <w:lang w:val="es-ES"/>
              </w:rPr>
              <w:t>Otras</w:t>
            </w:r>
          </w:p>
        </w:tc>
        <w:tc>
          <w:tcPr>
            <w:tcW w:w="1278" w:type="dxa"/>
            <w:tcBorders>
              <w:left w:val="single" w:sz="8" w:space="0" w:color="auto"/>
              <w:bottom w:val="single" w:sz="8" w:space="0" w:color="auto"/>
              <w:right w:val="single" w:sz="8" w:space="0" w:color="auto"/>
            </w:tcBorders>
            <w:vAlign w:val="bottom"/>
          </w:tcPr>
          <w:p w14:paraId="25C776B1" w14:textId="77777777" w:rsidR="00285240" w:rsidRPr="007026B1" w:rsidRDefault="00285240" w:rsidP="00A50FEA">
            <w:pPr>
              <w:jc w:val="right"/>
              <w:rPr>
                <w:rFonts w:ascii="Cambria" w:hAnsi="Cambria"/>
                <w:sz w:val="18"/>
                <w:szCs w:val="18"/>
              </w:rPr>
            </w:pPr>
            <w:r>
              <w:rPr>
                <w:rFonts w:ascii="Cambria" w:hAnsi="Cambria"/>
                <w:sz w:val="18"/>
                <w:szCs w:val="18"/>
              </w:rPr>
              <w:t>10.191</w:t>
            </w:r>
          </w:p>
        </w:tc>
        <w:tc>
          <w:tcPr>
            <w:tcW w:w="1134" w:type="dxa"/>
            <w:tcBorders>
              <w:left w:val="single" w:sz="8" w:space="0" w:color="auto"/>
              <w:bottom w:val="single" w:sz="8" w:space="0" w:color="auto"/>
              <w:right w:val="single" w:sz="4" w:space="0" w:color="auto"/>
            </w:tcBorders>
            <w:shd w:val="clear" w:color="auto" w:fill="auto"/>
            <w:noWrap/>
            <w:vAlign w:val="bottom"/>
          </w:tcPr>
          <w:p w14:paraId="70211E25" w14:textId="77777777" w:rsidR="00285240" w:rsidRPr="007026B1" w:rsidRDefault="00285240" w:rsidP="00A50FEA">
            <w:pPr>
              <w:keepLines w:val="0"/>
              <w:widowControl/>
              <w:jc w:val="right"/>
              <w:rPr>
                <w:rFonts w:ascii="Cambria" w:hAnsi="Cambria"/>
                <w:sz w:val="18"/>
                <w:szCs w:val="18"/>
                <w:lang w:val="es-ES"/>
              </w:rPr>
            </w:pPr>
            <w:r>
              <w:rPr>
                <w:rFonts w:ascii="Cambria" w:hAnsi="Cambria"/>
                <w:sz w:val="18"/>
                <w:szCs w:val="18"/>
                <w:lang w:val="es-ES"/>
              </w:rPr>
              <w:t>3.241</w:t>
            </w:r>
          </w:p>
        </w:tc>
        <w:tc>
          <w:tcPr>
            <w:tcW w:w="851" w:type="dxa"/>
            <w:tcBorders>
              <w:left w:val="single" w:sz="4" w:space="0" w:color="auto"/>
              <w:bottom w:val="single" w:sz="8" w:space="0" w:color="auto"/>
              <w:right w:val="single" w:sz="4" w:space="0" w:color="auto"/>
            </w:tcBorders>
            <w:shd w:val="clear" w:color="auto" w:fill="auto"/>
          </w:tcPr>
          <w:p w14:paraId="418E53F9" w14:textId="77777777" w:rsidR="00285240" w:rsidRPr="007026B1" w:rsidRDefault="00285240" w:rsidP="00A50FEA">
            <w:pPr>
              <w:jc w:val="center"/>
              <w:rPr>
                <w:rFonts w:ascii="Cambria" w:hAnsi="Cambria"/>
                <w:sz w:val="18"/>
                <w:szCs w:val="18"/>
              </w:rPr>
            </w:pPr>
            <w:r>
              <w:rPr>
                <w:rFonts w:ascii="Cambria" w:hAnsi="Cambria"/>
                <w:sz w:val="18"/>
                <w:szCs w:val="18"/>
              </w:rPr>
              <w:t>-</w:t>
            </w:r>
          </w:p>
        </w:tc>
        <w:tc>
          <w:tcPr>
            <w:tcW w:w="851" w:type="dxa"/>
            <w:tcBorders>
              <w:left w:val="single" w:sz="4" w:space="0" w:color="auto"/>
              <w:bottom w:val="single" w:sz="8" w:space="0" w:color="auto"/>
              <w:right w:val="single" w:sz="4" w:space="0" w:color="auto"/>
            </w:tcBorders>
            <w:shd w:val="clear" w:color="auto" w:fill="auto"/>
            <w:noWrap/>
            <w:vAlign w:val="bottom"/>
          </w:tcPr>
          <w:p w14:paraId="0C384BE8" w14:textId="77777777" w:rsidR="00285240" w:rsidRPr="007026B1" w:rsidRDefault="00285240" w:rsidP="00A50FEA">
            <w:pPr>
              <w:jc w:val="right"/>
              <w:rPr>
                <w:rFonts w:ascii="Cambria" w:hAnsi="Cambria"/>
                <w:sz w:val="18"/>
                <w:szCs w:val="18"/>
              </w:rPr>
            </w:pPr>
            <w:r>
              <w:rPr>
                <w:rFonts w:ascii="Cambria" w:hAnsi="Cambria"/>
                <w:sz w:val="18"/>
                <w:szCs w:val="18"/>
              </w:rPr>
              <w:t>(2.148)</w:t>
            </w:r>
          </w:p>
        </w:tc>
        <w:tc>
          <w:tcPr>
            <w:tcW w:w="1275" w:type="dxa"/>
            <w:tcBorders>
              <w:left w:val="single" w:sz="4" w:space="0" w:color="auto"/>
              <w:bottom w:val="single" w:sz="8" w:space="0" w:color="auto"/>
              <w:right w:val="single" w:sz="4" w:space="0" w:color="auto"/>
            </w:tcBorders>
            <w:shd w:val="clear" w:color="auto" w:fill="auto"/>
            <w:noWrap/>
            <w:vAlign w:val="bottom"/>
          </w:tcPr>
          <w:p w14:paraId="66C4AB97" w14:textId="77777777" w:rsidR="00285240" w:rsidRPr="007026B1" w:rsidRDefault="00285240" w:rsidP="00A50FEA">
            <w:pPr>
              <w:jc w:val="right"/>
              <w:rPr>
                <w:rFonts w:ascii="Cambria" w:hAnsi="Cambria"/>
                <w:sz w:val="18"/>
                <w:szCs w:val="18"/>
              </w:rPr>
            </w:pPr>
            <w:r>
              <w:rPr>
                <w:rFonts w:ascii="Cambria" w:hAnsi="Cambria"/>
                <w:sz w:val="18"/>
                <w:szCs w:val="18"/>
              </w:rPr>
              <w:t>(1.964)</w:t>
            </w:r>
          </w:p>
        </w:tc>
        <w:tc>
          <w:tcPr>
            <w:tcW w:w="993" w:type="dxa"/>
            <w:tcBorders>
              <w:left w:val="single" w:sz="4" w:space="0" w:color="auto"/>
              <w:bottom w:val="single" w:sz="8" w:space="0" w:color="auto"/>
              <w:right w:val="nil"/>
            </w:tcBorders>
            <w:shd w:val="clear" w:color="auto" w:fill="auto"/>
            <w:noWrap/>
            <w:vAlign w:val="bottom"/>
          </w:tcPr>
          <w:p w14:paraId="21F7B56C" w14:textId="77777777" w:rsidR="00285240" w:rsidRPr="007026B1" w:rsidRDefault="00285240" w:rsidP="00A50FEA">
            <w:pPr>
              <w:jc w:val="center"/>
              <w:rPr>
                <w:rFonts w:ascii="Cambria" w:hAnsi="Cambria"/>
                <w:sz w:val="18"/>
                <w:szCs w:val="18"/>
              </w:rPr>
            </w:pPr>
            <w:r>
              <w:rPr>
                <w:rFonts w:ascii="Cambria" w:hAnsi="Cambria"/>
                <w:sz w:val="18"/>
                <w:szCs w:val="18"/>
              </w:rPr>
              <w:t>-</w:t>
            </w:r>
          </w:p>
        </w:tc>
        <w:tc>
          <w:tcPr>
            <w:tcW w:w="992" w:type="dxa"/>
            <w:tcBorders>
              <w:left w:val="single" w:sz="8" w:space="0" w:color="auto"/>
              <w:bottom w:val="single" w:sz="8" w:space="0" w:color="auto"/>
              <w:right w:val="single" w:sz="8" w:space="0" w:color="auto"/>
            </w:tcBorders>
            <w:shd w:val="clear" w:color="auto" w:fill="auto"/>
            <w:noWrap/>
            <w:vAlign w:val="bottom"/>
          </w:tcPr>
          <w:p w14:paraId="36F7A37C" w14:textId="77777777" w:rsidR="00285240" w:rsidRPr="007026B1" w:rsidRDefault="00285240" w:rsidP="00A50FEA">
            <w:pPr>
              <w:jc w:val="right"/>
              <w:rPr>
                <w:rFonts w:ascii="Cambria" w:hAnsi="Cambria"/>
                <w:sz w:val="18"/>
                <w:szCs w:val="18"/>
              </w:rPr>
            </w:pPr>
            <w:r>
              <w:rPr>
                <w:rFonts w:ascii="Cambria" w:hAnsi="Cambria"/>
                <w:sz w:val="18"/>
                <w:szCs w:val="18"/>
              </w:rPr>
              <w:t>9.320</w:t>
            </w:r>
          </w:p>
        </w:tc>
      </w:tr>
      <w:tr w:rsidR="00285240" w:rsidRPr="00F8465B" w14:paraId="57B1FED6" w14:textId="77777777" w:rsidTr="00A50FEA">
        <w:trPr>
          <w:trHeight w:val="245"/>
          <w:jc w:val="center"/>
        </w:trPr>
        <w:tc>
          <w:tcPr>
            <w:tcW w:w="1691" w:type="dxa"/>
            <w:tcBorders>
              <w:top w:val="nil"/>
              <w:left w:val="single" w:sz="8" w:space="0" w:color="auto"/>
              <w:bottom w:val="single" w:sz="8" w:space="0" w:color="auto"/>
              <w:right w:val="nil"/>
            </w:tcBorders>
            <w:shd w:val="clear" w:color="auto" w:fill="auto"/>
            <w:noWrap/>
            <w:vAlign w:val="bottom"/>
          </w:tcPr>
          <w:p w14:paraId="3A18371A" w14:textId="77777777" w:rsidR="00285240" w:rsidRPr="007026B1" w:rsidRDefault="00285240" w:rsidP="00A50FEA">
            <w:pPr>
              <w:keepLines w:val="0"/>
              <w:widowControl/>
              <w:jc w:val="left"/>
              <w:rPr>
                <w:rFonts w:ascii="Cambria" w:hAnsi="Cambria"/>
                <w:b/>
                <w:bCs/>
                <w:sz w:val="18"/>
                <w:szCs w:val="18"/>
                <w:lang w:val="es-ES"/>
              </w:rPr>
            </w:pPr>
            <w:r w:rsidRPr="007026B1">
              <w:rPr>
                <w:rFonts w:ascii="Cambria" w:hAnsi="Cambria"/>
                <w:b/>
                <w:bCs/>
                <w:sz w:val="18"/>
                <w:szCs w:val="18"/>
                <w:lang w:val="es-ES"/>
              </w:rPr>
              <w:t>Total a largo plazo</w:t>
            </w:r>
          </w:p>
        </w:tc>
        <w:tc>
          <w:tcPr>
            <w:tcW w:w="1278" w:type="dxa"/>
            <w:tcBorders>
              <w:top w:val="nil"/>
              <w:left w:val="single" w:sz="8" w:space="0" w:color="auto"/>
              <w:bottom w:val="single" w:sz="8" w:space="0" w:color="auto"/>
              <w:right w:val="single" w:sz="8" w:space="0" w:color="auto"/>
            </w:tcBorders>
            <w:vAlign w:val="bottom"/>
          </w:tcPr>
          <w:p w14:paraId="4E06AD8C" w14:textId="77777777" w:rsidR="00285240" w:rsidRPr="007026B1" w:rsidRDefault="00285240" w:rsidP="00A50FEA">
            <w:pPr>
              <w:jc w:val="right"/>
              <w:rPr>
                <w:rFonts w:ascii="Cambria" w:hAnsi="Cambria"/>
                <w:b/>
                <w:bCs/>
                <w:sz w:val="18"/>
                <w:szCs w:val="18"/>
              </w:rPr>
            </w:pPr>
            <w:r>
              <w:rPr>
                <w:rFonts w:ascii="Cambria" w:hAnsi="Cambria"/>
                <w:b/>
                <w:bCs/>
                <w:sz w:val="18"/>
                <w:szCs w:val="18"/>
              </w:rPr>
              <w:t>20.853</w:t>
            </w:r>
          </w:p>
        </w:tc>
        <w:tc>
          <w:tcPr>
            <w:tcW w:w="1134" w:type="dxa"/>
            <w:tcBorders>
              <w:top w:val="nil"/>
              <w:left w:val="single" w:sz="8" w:space="0" w:color="auto"/>
              <w:bottom w:val="single" w:sz="8" w:space="0" w:color="auto"/>
              <w:right w:val="single" w:sz="4" w:space="0" w:color="auto"/>
            </w:tcBorders>
            <w:shd w:val="clear" w:color="auto" w:fill="auto"/>
            <w:noWrap/>
            <w:vAlign w:val="bottom"/>
          </w:tcPr>
          <w:p w14:paraId="713CAA2D" w14:textId="77777777" w:rsidR="00285240" w:rsidRPr="007026B1" w:rsidRDefault="00285240" w:rsidP="00A50FEA">
            <w:pPr>
              <w:keepLines w:val="0"/>
              <w:widowControl/>
              <w:jc w:val="right"/>
              <w:rPr>
                <w:rFonts w:ascii="Cambria" w:hAnsi="Cambria"/>
                <w:b/>
                <w:bCs/>
                <w:sz w:val="18"/>
                <w:szCs w:val="18"/>
                <w:lang w:val="es-ES"/>
              </w:rPr>
            </w:pPr>
            <w:r>
              <w:rPr>
                <w:rFonts w:ascii="Cambria" w:hAnsi="Cambria"/>
                <w:b/>
                <w:bCs/>
                <w:sz w:val="18"/>
                <w:szCs w:val="18"/>
                <w:lang w:val="es-ES"/>
              </w:rPr>
              <w:t>3.452</w:t>
            </w:r>
          </w:p>
        </w:tc>
        <w:tc>
          <w:tcPr>
            <w:tcW w:w="851" w:type="dxa"/>
            <w:tcBorders>
              <w:top w:val="nil"/>
              <w:left w:val="single" w:sz="4" w:space="0" w:color="auto"/>
              <w:bottom w:val="single" w:sz="4" w:space="0" w:color="auto"/>
              <w:right w:val="single" w:sz="4" w:space="0" w:color="auto"/>
            </w:tcBorders>
            <w:shd w:val="clear" w:color="auto" w:fill="auto"/>
          </w:tcPr>
          <w:p w14:paraId="3F5963C7" w14:textId="77777777" w:rsidR="00285240" w:rsidRPr="007026B1" w:rsidRDefault="00285240" w:rsidP="00A50FEA">
            <w:pPr>
              <w:jc w:val="right"/>
              <w:rPr>
                <w:rFonts w:ascii="Cambria" w:hAnsi="Cambria"/>
                <w:b/>
                <w:bCs/>
                <w:sz w:val="18"/>
                <w:szCs w:val="18"/>
              </w:rPr>
            </w:pPr>
            <w:r>
              <w:rPr>
                <w:rFonts w:ascii="Cambria" w:hAnsi="Cambria"/>
                <w:b/>
                <w:bCs/>
                <w:sz w:val="18"/>
                <w:szCs w:val="18"/>
              </w:rPr>
              <w:t>(7)</w:t>
            </w:r>
          </w:p>
        </w:tc>
        <w:tc>
          <w:tcPr>
            <w:tcW w:w="851" w:type="dxa"/>
            <w:tcBorders>
              <w:top w:val="nil"/>
              <w:left w:val="single" w:sz="4" w:space="0" w:color="auto"/>
              <w:bottom w:val="single" w:sz="8" w:space="0" w:color="auto"/>
              <w:right w:val="single" w:sz="8" w:space="0" w:color="auto"/>
            </w:tcBorders>
            <w:shd w:val="clear" w:color="auto" w:fill="auto"/>
            <w:noWrap/>
            <w:vAlign w:val="bottom"/>
          </w:tcPr>
          <w:p w14:paraId="6355A4A1" w14:textId="77777777" w:rsidR="00285240" w:rsidRPr="007026B1" w:rsidRDefault="00285240" w:rsidP="00A50FEA">
            <w:pPr>
              <w:jc w:val="right"/>
              <w:rPr>
                <w:rFonts w:ascii="Cambria" w:hAnsi="Cambria"/>
                <w:b/>
                <w:bCs/>
                <w:sz w:val="18"/>
                <w:szCs w:val="18"/>
              </w:rPr>
            </w:pPr>
            <w:r>
              <w:rPr>
                <w:rFonts w:ascii="Cambria" w:hAnsi="Cambria"/>
                <w:b/>
                <w:bCs/>
                <w:sz w:val="18"/>
                <w:szCs w:val="18"/>
              </w:rPr>
              <w:t>(2.148)</w:t>
            </w:r>
          </w:p>
        </w:tc>
        <w:tc>
          <w:tcPr>
            <w:tcW w:w="1275" w:type="dxa"/>
            <w:tcBorders>
              <w:top w:val="nil"/>
              <w:left w:val="nil"/>
              <w:bottom w:val="single" w:sz="8" w:space="0" w:color="auto"/>
              <w:right w:val="single" w:sz="8" w:space="0" w:color="auto"/>
            </w:tcBorders>
            <w:shd w:val="clear" w:color="auto" w:fill="auto"/>
            <w:noWrap/>
            <w:vAlign w:val="bottom"/>
          </w:tcPr>
          <w:p w14:paraId="67999E6F" w14:textId="77777777" w:rsidR="00285240" w:rsidRPr="007026B1" w:rsidRDefault="00285240" w:rsidP="00A50FEA">
            <w:pPr>
              <w:jc w:val="right"/>
              <w:rPr>
                <w:rFonts w:ascii="Cambria" w:hAnsi="Cambria"/>
                <w:b/>
                <w:bCs/>
                <w:sz w:val="18"/>
                <w:szCs w:val="18"/>
              </w:rPr>
            </w:pPr>
            <w:r>
              <w:rPr>
                <w:rFonts w:ascii="Cambria" w:hAnsi="Cambria"/>
                <w:b/>
                <w:bCs/>
                <w:sz w:val="18"/>
                <w:szCs w:val="18"/>
              </w:rPr>
              <w:t>(1.964)</w:t>
            </w:r>
          </w:p>
        </w:tc>
        <w:tc>
          <w:tcPr>
            <w:tcW w:w="993" w:type="dxa"/>
            <w:tcBorders>
              <w:top w:val="nil"/>
              <w:left w:val="nil"/>
              <w:bottom w:val="single" w:sz="8" w:space="0" w:color="auto"/>
              <w:right w:val="single" w:sz="8" w:space="0" w:color="auto"/>
            </w:tcBorders>
            <w:shd w:val="clear" w:color="auto" w:fill="auto"/>
            <w:noWrap/>
            <w:vAlign w:val="bottom"/>
          </w:tcPr>
          <w:p w14:paraId="0B600263" w14:textId="77777777" w:rsidR="00285240" w:rsidRPr="007026B1" w:rsidRDefault="00285240" w:rsidP="00A50FEA">
            <w:pPr>
              <w:jc w:val="right"/>
              <w:rPr>
                <w:rFonts w:ascii="Cambria" w:hAnsi="Cambria"/>
                <w:b/>
                <w:bCs/>
                <w:sz w:val="18"/>
                <w:szCs w:val="18"/>
              </w:rPr>
            </w:pPr>
            <w:r>
              <w:rPr>
                <w:rFonts w:ascii="Cambria" w:hAnsi="Cambria"/>
                <w:b/>
                <w:bCs/>
                <w:sz w:val="18"/>
                <w:szCs w:val="18"/>
              </w:rPr>
              <w:t>(2.558)</w:t>
            </w:r>
          </w:p>
        </w:tc>
        <w:tc>
          <w:tcPr>
            <w:tcW w:w="992" w:type="dxa"/>
            <w:tcBorders>
              <w:top w:val="nil"/>
              <w:left w:val="nil"/>
              <w:bottom w:val="single" w:sz="8" w:space="0" w:color="auto"/>
              <w:right w:val="single" w:sz="8" w:space="0" w:color="auto"/>
            </w:tcBorders>
            <w:shd w:val="clear" w:color="auto" w:fill="auto"/>
            <w:noWrap/>
            <w:vAlign w:val="bottom"/>
          </w:tcPr>
          <w:p w14:paraId="7D483F51" w14:textId="77777777" w:rsidR="00285240" w:rsidRPr="007026B1" w:rsidRDefault="00285240" w:rsidP="00A50FEA">
            <w:pPr>
              <w:jc w:val="right"/>
              <w:rPr>
                <w:rFonts w:ascii="Cambria" w:hAnsi="Cambria"/>
                <w:b/>
                <w:bCs/>
                <w:sz w:val="18"/>
                <w:szCs w:val="18"/>
              </w:rPr>
            </w:pPr>
            <w:r>
              <w:rPr>
                <w:rFonts w:ascii="Cambria" w:hAnsi="Cambria"/>
                <w:b/>
                <w:bCs/>
                <w:sz w:val="18"/>
                <w:szCs w:val="18"/>
              </w:rPr>
              <w:t>17.628</w:t>
            </w:r>
          </w:p>
        </w:tc>
      </w:tr>
    </w:tbl>
    <w:p w14:paraId="628A2DAF" w14:textId="77777777" w:rsidR="00285240" w:rsidRDefault="00285240" w:rsidP="00285240">
      <w:pPr>
        <w:ind w:left="567"/>
        <w:rPr>
          <w:rFonts w:ascii="Cambria" w:hAnsi="Cambria"/>
          <w:b/>
          <w:sz w:val="24"/>
          <w:szCs w:val="24"/>
          <w:u w:val="single"/>
        </w:rPr>
      </w:pPr>
    </w:p>
    <w:p w14:paraId="6A077986" w14:textId="77777777" w:rsidR="00285240" w:rsidRDefault="00285240" w:rsidP="00285240">
      <w:pPr>
        <w:ind w:left="567"/>
        <w:rPr>
          <w:rFonts w:ascii="Cambria" w:hAnsi="Cambria"/>
          <w:b/>
          <w:sz w:val="24"/>
          <w:szCs w:val="24"/>
          <w:u w:val="single"/>
        </w:rPr>
      </w:pPr>
    </w:p>
    <w:tbl>
      <w:tblPr>
        <w:tblW w:w="9062" w:type="dxa"/>
        <w:jc w:val="center"/>
        <w:tblCellMar>
          <w:left w:w="70" w:type="dxa"/>
          <w:right w:w="70" w:type="dxa"/>
        </w:tblCellMar>
        <w:tblLook w:val="0000" w:firstRow="0" w:lastRow="0" w:firstColumn="0" w:lastColumn="0" w:noHBand="0" w:noVBand="0"/>
      </w:tblPr>
      <w:tblGrid>
        <w:gridCol w:w="2833"/>
        <w:gridCol w:w="864"/>
        <w:gridCol w:w="1134"/>
        <w:gridCol w:w="851"/>
        <w:gridCol w:w="1275"/>
        <w:gridCol w:w="993"/>
        <w:gridCol w:w="1112"/>
      </w:tblGrid>
      <w:tr w:rsidR="00285240" w:rsidRPr="00F8465B" w14:paraId="0E8A79C9" w14:textId="77777777" w:rsidTr="00A50FEA">
        <w:trPr>
          <w:trHeight w:val="735"/>
          <w:jc w:val="center"/>
        </w:trPr>
        <w:tc>
          <w:tcPr>
            <w:tcW w:w="2833" w:type="dxa"/>
            <w:tcBorders>
              <w:top w:val="single" w:sz="8" w:space="0" w:color="auto"/>
              <w:left w:val="single" w:sz="8" w:space="0" w:color="auto"/>
              <w:bottom w:val="single" w:sz="8" w:space="0" w:color="auto"/>
              <w:right w:val="single" w:sz="8" w:space="0" w:color="auto"/>
            </w:tcBorders>
            <w:shd w:val="clear" w:color="auto" w:fill="FFFFFF"/>
            <w:vAlign w:val="bottom"/>
          </w:tcPr>
          <w:p w14:paraId="3BCDF98C" w14:textId="77777777" w:rsidR="00285240" w:rsidRPr="00F8465B" w:rsidRDefault="00285240" w:rsidP="00A50FEA">
            <w:pPr>
              <w:keepLines w:val="0"/>
              <w:widowControl/>
              <w:jc w:val="left"/>
              <w:rPr>
                <w:rFonts w:ascii="Cambria" w:hAnsi="Cambria"/>
                <w:b/>
                <w:bCs/>
                <w:sz w:val="18"/>
                <w:szCs w:val="18"/>
                <w:lang w:val="es-ES"/>
              </w:rPr>
            </w:pPr>
            <w:r w:rsidRPr="00F8465B">
              <w:rPr>
                <w:rFonts w:ascii="Cambria" w:hAnsi="Cambria"/>
                <w:b/>
                <w:bCs/>
                <w:sz w:val="18"/>
                <w:szCs w:val="18"/>
                <w:lang w:val="es-ES"/>
              </w:rPr>
              <w:t>Provisiones a corto plazo</w:t>
            </w:r>
          </w:p>
        </w:tc>
        <w:tc>
          <w:tcPr>
            <w:tcW w:w="864" w:type="dxa"/>
            <w:tcBorders>
              <w:top w:val="single" w:sz="8" w:space="0" w:color="auto"/>
              <w:left w:val="nil"/>
              <w:bottom w:val="single" w:sz="8" w:space="0" w:color="auto"/>
              <w:right w:val="nil"/>
            </w:tcBorders>
            <w:shd w:val="clear" w:color="auto" w:fill="FFFFFF"/>
            <w:vAlign w:val="bottom"/>
          </w:tcPr>
          <w:p w14:paraId="67EB50F7" w14:textId="77777777" w:rsidR="00285240" w:rsidRDefault="00285240" w:rsidP="00A50FEA">
            <w:pPr>
              <w:keepLines w:val="0"/>
              <w:widowControl/>
              <w:jc w:val="center"/>
              <w:rPr>
                <w:rFonts w:ascii="Cambria" w:hAnsi="Cambria"/>
                <w:b/>
                <w:bCs/>
                <w:sz w:val="18"/>
                <w:szCs w:val="18"/>
                <w:lang w:val="es-ES"/>
              </w:rPr>
            </w:pPr>
            <w:r>
              <w:rPr>
                <w:rFonts w:ascii="Cambria" w:hAnsi="Cambria"/>
                <w:b/>
                <w:bCs/>
                <w:sz w:val="18"/>
                <w:szCs w:val="18"/>
                <w:lang w:val="es-ES"/>
              </w:rPr>
              <w:t>Saldo al 31.12.18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tcPr>
          <w:p w14:paraId="498DFD28" w14:textId="77777777" w:rsidR="00285240" w:rsidRPr="00F8465B" w:rsidRDefault="00285240" w:rsidP="00A50FEA">
            <w:pPr>
              <w:keepLines w:val="0"/>
              <w:widowControl/>
              <w:jc w:val="center"/>
              <w:rPr>
                <w:rFonts w:ascii="Cambria" w:hAnsi="Cambria"/>
                <w:b/>
                <w:bCs/>
                <w:sz w:val="18"/>
                <w:szCs w:val="18"/>
                <w:lang w:val="es-ES"/>
              </w:rPr>
            </w:pPr>
            <w:r w:rsidRPr="00F8465B">
              <w:rPr>
                <w:rFonts w:ascii="Cambria" w:hAnsi="Cambria"/>
                <w:b/>
                <w:bCs/>
                <w:sz w:val="18"/>
                <w:szCs w:val="18"/>
                <w:lang w:val="es-ES"/>
              </w:rPr>
              <w:t>Dotaciones</w:t>
            </w:r>
          </w:p>
        </w:tc>
        <w:tc>
          <w:tcPr>
            <w:tcW w:w="851" w:type="dxa"/>
            <w:tcBorders>
              <w:top w:val="single" w:sz="8" w:space="0" w:color="auto"/>
              <w:left w:val="nil"/>
              <w:bottom w:val="single" w:sz="8" w:space="0" w:color="auto"/>
              <w:right w:val="single" w:sz="8" w:space="0" w:color="auto"/>
            </w:tcBorders>
            <w:shd w:val="clear" w:color="auto" w:fill="FFFFFF"/>
            <w:vAlign w:val="bottom"/>
          </w:tcPr>
          <w:p w14:paraId="6735B0CF" w14:textId="77777777" w:rsidR="00285240" w:rsidRPr="00F8465B" w:rsidRDefault="00285240" w:rsidP="00A50FEA">
            <w:pPr>
              <w:keepLines w:val="0"/>
              <w:widowControl/>
              <w:jc w:val="center"/>
              <w:rPr>
                <w:rFonts w:ascii="Cambria" w:hAnsi="Cambria"/>
                <w:b/>
                <w:bCs/>
                <w:sz w:val="18"/>
                <w:szCs w:val="18"/>
                <w:lang w:val="es-ES"/>
              </w:rPr>
            </w:pPr>
            <w:r w:rsidRPr="00F8465B">
              <w:rPr>
                <w:rFonts w:ascii="Cambria" w:hAnsi="Cambria"/>
                <w:b/>
                <w:bCs/>
                <w:sz w:val="18"/>
                <w:szCs w:val="18"/>
                <w:lang w:val="es-ES"/>
              </w:rPr>
              <w:t>Excesos</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bottom"/>
          </w:tcPr>
          <w:p w14:paraId="11CCE7C5" w14:textId="77777777" w:rsidR="00285240" w:rsidRPr="00F8465B" w:rsidRDefault="00285240" w:rsidP="00A50FEA">
            <w:pPr>
              <w:keepLines w:val="0"/>
              <w:widowControl/>
              <w:jc w:val="center"/>
              <w:rPr>
                <w:rFonts w:ascii="Cambria" w:hAnsi="Cambria"/>
                <w:b/>
                <w:bCs/>
                <w:sz w:val="18"/>
                <w:szCs w:val="18"/>
                <w:lang w:val="es-ES"/>
              </w:rPr>
            </w:pPr>
            <w:r w:rsidRPr="00F8465B">
              <w:rPr>
                <w:rFonts w:ascii="Cambria" w:hAnsi="Cambria"/>
                <w:b/>
                <w:bCs/>
                <w:sz w:val="18"/>
                <w:szCs w:val="18"/>
                <w:lang w:val="es-ES"/>
              </w:rPr>
              <w:t>Aplicaciones</w:t>
            </w:r>
          </w:p>
        </w:tc>
        <w:tc>
          <w:tcPr>
            <w:tcW w:w="993" w:type="dxa"/>
            <w:tcBorders>
              <w:top w:val="single" w:sz="8" w:space="0" w:color="auto"/>
              <w:left w:val="nil"/>
              <w:bottom w:val="single" w:sz="8" w:space="0" w:color="auto"/>
              <w:right w:val="single" w:sz="8" w:space="0" w:color="auto"/>
            </w:tcBorders>
            <w:shd w:val="clear" w:color="auto" w:fill="FFFFFF"/>
            <w:vAlign w:val="bottom"/>
          </w:tcPr>
          <w:p w14:paraId="7CE419A0" w14:textId="77777777" w:rsidR="00285240" w:rsidRPr="00F8465B" w:rsidRDefault="00285240" w:rsidP="00A50FEA">
            <w:pPr>
              <w:keepLines w:val="0"/>
              <w:widowControl/>
              <w:jc w:val="center"/>
              <w:rPr>
                <w:rFonts w:ascii="Cambria" w:hAnsi="Cambria"/>
                <w:b/>
                <w:bCs/>
                <w:sz w:val="18"/>
                <w:szCs w:val="18"/>
                <w:lang w:val="es-ES"/>
              </w:rPr>
            </w:pPr>
            <w:r w:rsidRPr="00F8465B">
              <w:rPr>
                <w:rFonts w:ascii="Cambria" w:hAnsi="Cambria"/>
                <w:b/>
                <w:bCs/>
                <w:sz w:val="18"/>
                <w:szCs w:val="18"/>
                <w:lang w:val="es-ES"/>
              </w:rPr>
              <w:t>Traspasos</w:t>
            </w:r>
          </w:p>
        </w:tc>
        <w:tc>
          <w:tcPr>
            <w:tcW w:w="1112" w:type="dxa"/>
            <w:tcBorders>
              <w:top w:val="single" w:sz="8" w:space="0" w:color="auto"/>
              <w:left w:val="nil"/>
              <w:bottom w:val="single" w:sz="8" w:space="0" w:color="auto"/>
              <w:right w:val="single" w:sz="8" w:space="0" w:color="auto"/>
            </w:tcBorders>
            <w:shd w:val="clear" w:color="auto" w:fill="FFFFFF"/>
            <w:vAlign w:val="bottom"/>
          </w:tcPr>
          <w:p w14:paraId="55B7FDA5" w14:textId="77777777" w:rsidR="00285240" w:rsidRPr="00F8465B" w:rsidRDefault="00285240" w:rsidP="00A50FEA">
            <w:pPr>
              <w:keepLines w:val="0"/>
              <w:widowControl/>
              <w:jc w:val="center"/>
              <w:rPr>
                <w:rFonts w:ascii="Cambria" w:hAnsi="Cambria"/>
                <w:b/>
                <w:bCs/>
                <w:sz w:val="18"/>
                <w:szCs w:val="18"/>
                <w:lang w:val="es-ES"/>
              </w:rPr>
            </w:pPr>
            <w:r>
              <w:rPr>
                <w:rFonts w:ascii="Cambria" w:hAnsi="Cambria"/>
                <w:b/>
                <w:bCs/>
                <w:sz w:val="18"/>
                <w:szCs w:val="18"/>
                <w:lang w:val="es-ES"/>
              </w:rPr>
              <w:t>Saldo al 31.12.19</w:t>
            </w:r>
          </w:p>
        </w:tc>
      </w:tr>
      <w:tr w:rsidR="00285240" w:rsidRPr="00F8465B" w14:paraId="6E1CC316" w14:textId="77777777" w:rsidTr="00A50FEA">
        <w:trPr>
          <w:trHeight w:val="331"/>
          <w:jc w:val="center"/>
        </w:trPr>
        <w:tc>
          <w:tcPr>
            <w:tcW w:w="2833" w:type="dxa"/>
            <w:tcBorders>
              <w:top w:val="single" w:sz="8" w:space="0" w:color="auto"/>
              <w:left w:val="single" w:sz="8" w:space="0" w:color="auto"/>
              <w:right w:val="single" w:sz="8" w:space="0" w:color="auto"/>
            </w:tcBorders>
            <w:shd w:val="clear" w:color="auto" w:fill="FFFFFF"/>
            <w:noWrap/>
            <w:vAlign w:val="bottom"/>
          </w:tcPr>
          <w:p w14:paraId="716EDB80" w14:textId="77777777" w:rsidR="00285240" w:rsidRPr="00F8465B" w:rsidRDefault="00285240" w:rsidP="00A50FEA">
            <w:pPr>
              <w:keepLines w:val="0"/>
              <w:widowControl/>
              <w:jc w:val="left"/>
              <w:rPr>
                <w:rFonts w:ascii="Cambria" w:hAnsi="Cambria"/>
                <w:bCs/>
                <w:sz w:val="18"/>
                <w:szCs w:val="18"/>
                <w:lang w:val="es-ES"/>
              </w:rPr>
            </w:pPr>
            <w:r w:rsidRPr="00F8465B">
              <w:rPr>
                <w:rFonts w:ascii="Cambria" w:hAnsi="Cambria"/>
                <w:bCs/>
                <w:sz w:val="18"/>
                <w:szCs w:val="18"/>
                <w:lang w:val="es-ES"/>
              </w:rPr>
              <w:t>Obligaciones con el personal</w:t>
            </w:r>
          </w:p>
        </w:tc>
        <w:tc>
          <w:tcPr>
            <w:tcW w:w="864" w:type="dxa"/>
            <w:tcBorders>
              <w:top w:val="single" w:sz="8" w:space="0" w:color="auto"/>
              <w:left w:val="nil"/>
              <w:right w:val="nil"/>
            </w:tcBorders>
            <w:shd w:val="clear" w:color="auto" w:fill="FFFFFF"/>
            <w:vAlign w:val="center"/>
          </w:tcPr>
          <w:p w14:paraId="44E7A247" w14:textId="77777777" w:rsidR="00285240" w:rsidRDefault="00285240" w:rsidP="00A50FEA">
            <w:pPr>
              <w:keepLines w:val="0"/>
              <w:widowControl/>
              <w:jc w:val="right"/>
              <w:rPr>
                <w:rFonts w:ascii="Cambria" w:hAnsi="Cambria" w:cs="Arial"/>
                <w:sz w:val="18"/>
                <w:szCs w:val="18"/>
              </w:rPr>
            </w:pPr>
            <w:r>
              <w:rPr>
                <w:rFonts w:ascii="Cambria" w:hAnsi="Cambria" w:cs="Arial"/>
                <w:sz w:val="18"/>
                <w:szCs w:val="18"/>
                <w:lang w:val="es-ES"/>
              </w:rPr>
              <w:t>3.333</w:t>
            </w:r>
          </w:p>
        </w:tc>
        <w:tc>
          <w:tcPr>
            <w:tcW w:w="1134" w:type="dxa"/>
            <w:tcBorders>
              <w:top w:val="single" w:sz="8" w:space="0" w:color="auto"/>
              <w:left w:val="single" w:sz="8" w:space="0" w:color="auto"/>
              <w:right w:val="single" w:sz="8" w:space="0" w:color="auto"/>
            </w:tcBorders>
            <w:shd w:val="clear" w:color="auto" w:fill="FFFFFF"/>
            <w:noWrap/>
            <w:vAlign w:val="center"/>
          </w:tcPr>
          <w:p w14:paraId="05496379" w14:textId="77777777" w:rsidR="00285240" w:rsidRPr="00994EE1" w:rsidRDefault="00285240" w:rsidP="00A50FEA">
            <w:pPr>
              <w:keepLines w:val="0"/>
              <w:widowControl/>
              <w:jc w:val="right"/>
              <w:rPr>
                <w:rFonts w:ascii="Cambria" w:hAnsi="Cambria"/>
                <w:bCs/>
                <w:sz w:val="18"/>
                <w:szCs w:val="18"/>
                <w:lang w:val="es-ES"/>
              </w:rPr>
            </w:pPr>
            <w:r w:rsidRPr="00994EE1">
              <w:rPr>
                <w:rFonts w:ascii="Cambria" w:hAnsi="Cambria"/>
                <w:bCs/>
                <w:sz w:val="18"/>
                <w:szCs w:val="18"/>
                <w:lang w:val="es-ES"/>
              </w:rPr>
              <w:t>1.62</w:t>
            </w:r>
            <w:r>
              <w:rPr>
                <w:rFonts w:ascii="Cambria" w:hAnsi="Cambria"/>
                <w:bCs/>
                <w:sz w:val="18"/>
                <w:szCs w:val="18"/>
                <w:lang w:val="es-ES"/>
              </w:rPr>
              <w:t>4</w:t>
            </w:r>
          </w:p>
        </w:tc>
        <w:tc>
          <w:tcPr>
            <w:tcW w:w="851" w:type="dxa"/>
            <w:tcBorders>
              <w:top w:val="single" w:sz="8" w:space="0" w:color="auto"/>
              <w:left w:val="single" w:sz="8" w:space="0" w:color="auto"/>
              <w:right w:val="single" w:sz="8" w:space="0" w:color="auto"/>
            </w:tcBorders>
            <w:shd w:val="clear" w:color="auto" w:fill="FFFFFF"/>
            <w:vAlign w:val="center"/>
          </w:tcPr>
          <w:p w14:paraId="6B79DF16" w14:textId="77777777" w:rsidR="00285240" w:rsidRPr="00994EE1" w:rsidRDefault="00285240" w:rsidP="00A50FEA">
            <w:pPr>
              <w:keepLines w:val="0"/>
              <w:widowControl/>
              <w:jc w:val="center"/>
              <w:rPr>
                <w:rFonts w:ascii="Cambria" w:hAnsi="Cambria"/>
                <w:sz w:val="18"/>
                <w:szCs w:val="18"/>
                <w:lang w:val="es-ES"/>
              </w:rPr>
            </w:pPr>
            <w:r w:rsidRPr="00994EE1">
              <w:rPr>
                <w:rFonts w:ascii="Cambria" w:hAnsi="Cambria"/>
                <w:sz w:val="18"/>
                <w:szCs w:val="18"/>
                <w:lang w:val="es-ES"/>
              </w:rPr>
              <w:t>-</w:t>
            </w:r>
          </w:p>
        </w:tc>
        <w:tc>
          <w:tcPr>
            <w:tcW w:w="1275" w:type="dxa"/>
            <w:tcBorders>
              <w:top w:val="single" w:sz="8" w:space="0" w:color="auto"/>
              <w:left w:val="single" w:sz="8" w:space="0" w:color="auto"/>
              <w:right w:val="single" w:sz="8" w:space="0" w:color="auto"/>
            </w:tcBorders>
            <w:shd w:val="clear" w:color="auto" w:fill="FFFFFF"/>
            <w:noWrap/>
            <w:vAlign w:val="center"/>
          </w:tcPr>
          <w:p w14:paraId="3D704FCB" w14:textId="77777777" w:rsidR="00285240" w:rsidRPr="00185630" w:rsidRDefault="00285240" w:rsidP="00A50FEA">
            <w:pPr>
              <w:keepLines w:val="0"/>
              <w:widowControl/>
              <w:jc w:val="right"/>
              <w:rPr>
                <w:rFonts w:ascii="Cambria" w:hAnsi="Cambria" w:cs="Arial"/>
                <w:sz w:val="18"/>
                <w:szCs w:val="18"/>
                <w:lang w:val="es-ES"/>
              </w:rPr>
            </w:pPr>
            <w:r>
              <w:rPr>
                <w:rFonts w:ascii="Cambria" w:hAnsi="Cambria" w:cs="Arial"/>
                <w:sz w:val="18"/>
                <w:szCs w:val="18"/>
                <w:lang w:val="es-ES"/>
              </w:rPr>
              <w:t>(2.427)</w:t>
            </w:r>
          </w:p>
        </w:tc>
        <w:tc>
          <w:tcPr>
            <w:tcW w:w="993" w:type="dxa"/>
            <w:tcBorders>
              <w:top w:val="single" w:sz="8" w:space="0" w:color="auto"/>
              <w:left w:val="nil"/>
              <w:right w:val="single" w:sz="8" w:space="0" w:color="auto"/>
            </w:tcBorders>
            <w:shd w:val="clear" w:color="auto" w:fill="FFFFFF"/>
            <w:noWrap/>
            <w:vAlign w:val="center"/>
          </w:tcPr>
          <w:p w14:paraId="18B201E1" w14:textId="77777777" w:rsidR="00285240" w:rsidRPr="00185630" w:rsidRDefault="00285240" w:rsidP="00A50FEA">
            <w:pPr>
              <w:jc w:val="right"/>
              <w:rPr>
                <w:rFonts w:ascii="Cambria" w:hAnsi="Cambria" w:cs="Arial"/>
                <w:sz w:val="18"/>
                <w:szCs w:val="18"/>
              </w:rPr>
            </w:pPr>
            <w:r>
              <w:rPr>
                <w:rFonts w:ascii="Cambria" w:hAnsi="Cambria" w:cs="Arial"/>
                <w:sz w:val="18"/>
                <w:szCs w:val="18"/>
              </w:rPr>
              <w:t>2.301</w:t>
            </w:r>
          </w:p>
        </w:tc>
        <w:tc>
          <w:tcPr>
            <w:tcW w:w="1112" w:type="dxa"/>
            <w:tcBorders>
              <w:top w:val="single" w:sz="8" w:space="0" w:color="auto"/>
              <w:left w:val="nil"/>
              <w:right w:val="single" w:sz="8" w:space="0" w:color="auto"/>
            </w:tcBorders>
            <w:shd w:val="clear" w:color="auto" w:fill="FFFFFF"/>
            <w:noWrap/>
            <w:vAlign w:val="center"/>
          </w:tcPr>
          <w:p w14:paraId="7FFED420" w14:textId="77777777" w:rsidR="00285240" w:rsidRPr="00185630" w:rsidRDefault="00285240" w:rsidP="00A50FEA">
            <w:pPr>
              <w:keepLines w:val="0"/>
              <w:widowControl/>
              <w:jc w:val="right"/>
              <w:rPr>
                <w:rFonts w:ascii="Cambria" w:hAnsi="Cambria" w:cs="Arial"/>
                <w:sz w:val="18"/>
                <w:szCs w:val="18"/>
                <w:lang w:val="es-ES"/>
              </w:rPr>
            </w:pPr>
            <w:r>
              <w:rPr>
                <w:rFonts w:ascii="Cambria" w:hAnsi="Cambria" w:cs="Arial"/>
                <w:sz w:val="18"/>
                <w:szCs w:val="18"/>
                <w:lang w:val="es-ES"/>
              </w:rPr>
              <w:t>4.831</w:t>
            </w:r>
          </w:p>
        </w:tc>
      </w:tr>
      <w:tr w:rsidR="00285240" w:rsidRPr="00F8465B" w14:paraId="743EFD4B" w14:textId="77777777" w:rsidTr="00A50FEA">
        <w:trPr>
          <w:trHeight w:val="273"/>
          <w:jc w:val="center"/>
        </w:trPr>
        <w:tc>
          <w:tcPr>
            <w:tcW w:w="2833" w:type="dxa"/>
            <w:tcBorders>
              <w:left w:val="single" w:sz="8" w:space="0" w:color="auto"/>
              <w:right w:val="single" w:sz="8" w:space="0" w:color="auto"/>
            </w:tcBorders>
            <w:shd w:val="clear" w:color="auto" w:fill="FFFFFF"/>
            <w:noWrap/>
            <w:vAlign w:val="bottom"/>
          </w:tcPr>
          <w:p w14:paraId="60751FBF" w14:textId="77777777" w:rsidR="00285240" w:rsidRPr="00F8465B" w:rsidRDefault="00285240" w:rsidP="00A50FEA">
            <w:pPr>
              <w:keepLines w:val="0"/>
              <w:widowControl/>
              <w:jc w:val="left"/>
              <w:rPr>
                <w:rFonts w:ascii="Cambria" w:hAnsi="Cambria"/>
                <w:bCs/>
                <w:sz w:val="18"/>
                <w:szCs w:val="18"/>
                <w:lang w:val="es-ES"/>
              </w:rPr>
            </w:pPr>
            <w:r w:rsidRPr="00F8465B">
              <w:rPr>
                <w:rFonts w:ascii="Cambria" w:hAnsi="Cambria"/>
                <w:bCs/>
                <w:sz w:val="18"/>
                <w:szCs w:val="18"/>
                <w:lang w:val="es-ES"/>
              </w:rPr>
              <w:t>Provisiones medioambientales</w:t>
            </w:r>
          </w:p>
        </w:tc>
        <w:tc>
          <w:tcPr>
            <w:tcW w:w="864" w:type="dxa"/>
            <w:tcBorders>
              <w:left w:val="nil"/>
              <w:right w:val="nil"/>
            </w:tcBorders>
            <w:vAlign w:val="center"/>
          </w:tcPr>
          <w:p w14:paraId="084FCCDD" w14:textId="77777777" w:rsidR="00285240" w:rsidRPr="00F8465B" w:rsidRDefault="00285240" w:rsidP="00A50FEA">
            <w:pPr>
              <w:jc w:val="right"/>
              <w:rPr>
                <w:rFonts w:ascii="Cambria" w:hAnsi="Cambria" w:cs="Arial"/>
                <w:sz w:val="18"/>
                <w:szCs w:val="18"/>
              </w:rPr>
            </w:pPr>
            <w:r>
              <w:rPr>
                <w:rFonts w:ascii="Cambria" w:hAnsi="Cambria" w:cs="Arial"/>
                <w:sz w:val="18"/>
                <w:szCs w:val="18"/>
              </w:rPr>
              <w:t>197</w:t>
            </w:r>
          </w:p>
        </w:tc>
        <w:tc>
          <w:tcPr>
            <w:tcW w:w="1134" w:type="dxa"/>
            <w:tcBorders>
              <w:left w:val="single" w:sz="8" w:space="0" w:color="auto"/>
              <w:right w:val="single" w:sz="8" w:space="0" w:color="auto"/>
            </w:tcBorders>
            <w:shd w:val="clear" w:color="auto" w:fill="auto"/>
            <w:noWrap/>
            <w:vAlign w:val="center"/>
          </w:tcPr>
          <w:p w14:paraId="7872F207" w14:textId="77777777" w:rsidR="00285240" w:rsidRPr="00185630" w:rsidRDefault="00285240" w:rsidP="00A50FEA">
            <w:pPr>
              <w:keepLines w:val="0"/>
              <w:widowControl/>
              <w:jc w:val="center"/>
              <w:rPr>
                <w:rFonts w:ascii="Cambria" w:hAnsi="Cambria"/>
                <w:bCs/>
                <w:sz w:val="18"/>
                <w:szCs w:val="18"/>
                <w:lang w:val="es-ES"/>
              </w:rPr>
            </w:pPr>
            <w:r>
              <w:rPr>
                <w:rFonts w:ascii="Cambria" w:hAnsi="Cambria"/>
                <w:bCs/>
                <w:sz w:val="18"/>
                <w:szCs w:val="18"/>
                <w:lang w:val="es-ES"/>
              </w:rPr>
              <w:t>-</w:t>
            </w:r>
          </w:p>
        </w:tc>
        <w:tc>
          <w:tcPr>
            <w:tcW w:w="851" w:type="dxa"/>
            <w:tcBorders>
              <w:left w:val="single" w:sz="8" w:space="0" w:color="auto"/>
              <w:right w:val="single" w:sz="8" w:space="0" w:color="auto"/>
            </w:tcBorders>
            <w:shd w:val="clear" w:color="auto" w:fill="auto"/>
            <w:vAlign w:val="center"/>
          </w:tcPr>
          <w:p w14:paraId="6CBBFC23" w14:textId="77777777" w:rsidR="00285240" w:rsidRPr="00185630" w:rsidRDefault="00285240" w:rsidP="00A50FEA">
            <w:pPr>
              <w:keepLines w:val="0"/>
              <w:widowControl/>
              <w:jc w:val="center"/>
              <w:rPr>
                <w:rFonts w:ascii="Cambria" w:hAnsi="Cambria"/>
                <w:sz w:val="18"/>
                <w:szCs w:val="18"/>
                <w:lang w:val="es-ES"/>
              </w:rPr>
            </w:pPr>
            <w:r>
              <w:rPr>
                <w:rFonts w:ascii="Cambria" w:hAnsi="Cambria"/>
                <w:sz w:val="18"/>
                <w:szCs w:val="18"/>
                <w:lang w:val="es-ES"/>
              </w:rPr>
              <w:t>-</w:t>
            </w:r>
          </w:p>
        </w:tc>
        <w:tc>
          <w:tcPr>
            <w:tcW w:w="1275" w:type="dxa"/>
            <w:tcBorders>
              <w:left w:val="single" w:sz="8" w:space="0" w:color="auto"/>
              <w:right w:val="single" w:sz="8" w:space="0" w:color="auto"/>
            </w:tcBorders>
            <w:shd w:val="clear" w:color="auto" w:fill="auto"/>
            <w:noWrap/>
            <w:vAlign w:val="center"/>
          </w:tcPr>
          <w:p w14:paraId="02C4C5D3" w14:textId="77777777" w:rsidR="00285240" w:rsidRPr="00185630" w:rsidRDefault="00285240" w:rsidP="00A50FEA">
            <w:pPr>
              <w:jc w:val="right"/>
              <w:rPr>
                <w:rFonts w:ascii="Cambria" w:hAnsi="Cambria" w:cs="Arial"/>
                <w:sz w:val="18"/>
                <w:szCs w:val="18"/>
              </w:rPr>
            </w:pPr>
            <w:r>
              <w:rPr>
                <w:rFonts w:ascii="Cambria" w:hAnsi="Cambria" w:cs="Arial"/>
                <w:sz w:val="18"/>
                <w:szCs w:val="18"/>
              </w:rPr>
              <w:t>(225)</w:t>
            </w:r>
          </w:p>
        </w:tc>
        <w:tc>
          <w:tcPr>
            <w:tcW w:w="993" w:type="dxa"/>
            <w:tcBorders>
              <w:left w:val="nil"/>
              <w:right w:val="single" w:sz="8" w:space="0" w:color="auto"/>
            </w:tcBorders>
            <w:shd w:val="clear" w:color="auto" w:fill="auto"/>
            <w:noWrap/>
            <w:vAlign w:val="center"/>
          </w:tcPr>
          <w:p w14:paraId="51E5F3E9" w14:textId="77777777" w:rsidR="00285240" w:rsidRPr="00185630" w:rsidRDefault="00285240" w:rsidP="00A50FEA">
            <w:pPr>
              <w:jc w:val="right"/>
              <w:rPr>
                <w:rFonts w:ascii="Cambria" w:hAnsi="Cambria" w:cs="Arial"/>
                <w:sz w:val="18"/>
                <w:szCs w:val="18"/>
              </w:rPr>
            </w:pPr>
            <w:r>
              <w:rPr>
                <w:rFonts w:ascii="Cambria" w:hAnsi="Cambria" w:cs="Arial"/>
                <w:sz w:val="18"/>
                <w:szCs w:val="18"/>
              </w:rPr>
              <w:t>257</w:t>
            </w:r>
          </w:p>
        </w:tc>
        <w:tc>
          <w:tcPr>
            <w:tcW w:w="1112" w:type="dxa"/>
            <w:tcBorders>
              <w:left w:val="nil"/>
              <w:right w:val="single" w:sz="8" w:space="0" w:color="auto"/>
            </w:tcBorders>
            <w:shd w:val="clear" w:color="auto" w:fill="auto"/>
            <w:noWrap/>
            <w:vAlign w:val="center"/>
          </w:tcPr>
          <w:p w14:paraId="7DCB1DB1" w14:textId="77777777" w:rsidR="00285240" w:rsidRPr="00185630" w:rsidRDefault="00285240" w:rsidP="00A50FEA">
            <w:pPr>
              <w:jc w:val="right"/>
              <w:rPr>
                <w:rFonts w:ascii="Cambria" w:hAnsi="Cambria" w:cs="Arial"/>
                <w:sz w:val="18"/>
                <w:szCs w:val="18"/>
              </w:rPr>
            </w:pPr>
            <w:r>
              <w:rPr>
                <w:rFonts w:ascii="Cambria" w:hAnsi="Cambria" w:cs="Arial"/>
                <w:sz w:val="18"/>
                <w:szCs w:val="18"/>
              </w:rPr>
              <w:t>229</w:t>
            </w:r>
          </w:p>
        </w:tc>
      </w:tr>
      <w:tr w:rsidR="00285240" w:rsidRPr="00F8465B" w14:paraId="1C87FBD6" w14:textId="77777777" w:rsidTr="00A50FEA">
        <w:trPr>
          <w:trHeight w:val="245"/>
          <w:jc w:val="center"/>
        </w:trPr>
        <w:tc>
          <w:tcPr>
            <w:tcW w:w="2833" w:type="dxa"/>
            <w:tcBorders>
              <w:left w:val="single" w:sz="8" w:space="0" w:color="auto"/>
              <w:bottom w:val="single" w:sz="8" w:space="0" w:color="auto"/>
              <w:right w:val="single" w:sz="8" w:space="0" w:color="auto"/>
            </w:tcBorders>
            <w:shd w:val="clear" w:color="auto" w:fill="FFFFFF"/>
            <w:noWrap/>
            <w:vAlign w:val="bottom"/>
          </w:tcPr>
          <w:p w14:paraId="2F8818F6" w14:textId="77777777" w:rsidR="00285240" w:rsidRPr="00F8465B" w:rsidRDefault="00285240" w:rsidP="00A50FEA">
            <w:pPr>
              <w:keepLines w:val="0"/>
              <w:widowControl/>
              <w:jc w:val="left"/>
              <w:rPr>
                <w:rFonts w:ascii="Cambria" w:hAnsi="Cambria"/>
                <w:bCs/>
                <w:sz w:val="18"/>
                <w:szCs w:val="18"/>
                <w:lang w:val="es-ES"/>
              </w:rPr>
            </w:pPr>
            <w:r w:rsidRPr="00F8465B">
              <w:rPr>
                <w:rFonts w:ascii="Cambria" w:hAnsi="Cambria"/>
                <w:bCs/>
                <w:sz w:val="18"/>
                <w:szCs w:val="18"/>
                <w:lang w:val="es-ES"/>
              </w:rPr>
              <w:t xml:space="preserve">Otras </w:t>
            </w:r>
          </w:p>
        </w:tc>
        <w:tc>
          <w:tcPr>
            <w:tcW w:w="864" w:type="dxa"/>
            <w:tcBorders>
              <w:left w:val="nil"/>
              <w:bottom w:val="single" w:sz="8" w:space="0" w:color="auto"/>
              <w:right w:val="nil"/>
            </w:tcBorders>
            <w:shd w:val="clear" w:color="auto" w:fill="FFFFFF"/>
            <w:vAlign w:val="center"/>
          </w:tcPr>
          <w:p w14:paraId="133272CE" w14:textId="77777777" w:rsidR="00285240" w:rsidRDefault="00285240" w:rsidP="00A50FEA">
            <w:pPr>
              <w:jc w:val="center"/>
              <w:rPr>
                <w:rFonts w:ascii="Cambria" w:hAnsi="Cambria" w:cs="Arial"/>
                <w:sz w:val="18"/>
                <w:szCs w:val="18"/>
              </w:rPr>
            </w:pPr>
            <w:r>
              <w:rPr>
                <w:rFonts w:ascii="Cambria" w:hAnsi="Cambria" w:cs="Arial"/>
                <w:sz w:val="18"/>
                <w:szCs w:val="18"/>
              </w:rPr>
              <w:t>102.714</w:t>
            </w:r>
          </w:p>
        </w:tc>
        <w:tc>
          <w:tcPr>
            <w:tcW w:w="1134" w:type="dxa"/>
            <w:tcBorders>
              <w:left w:val="single" w:sz="8" w:space="0" w:color="auto"/>
              <w:bottom w:val="single" w:sz="8" w:space="0" w:color="auto"/>
              <w:right w:val="single" w:sz="8" w:space="0" w:color="auto"/>
            </w:tcBorders>
            <w:shd w:val="clear" w:color="auto" w:fill="FFFFFF"/>
            <w:noWrap/>
            <w:vAlign w:val="bottom"/>
          </w:tcPr>
          <w:p w14:paraId="116B0FB9" w14:textId="77777777" w:rsidR="00285240" w:rsidRPr="00185630" w:rsidRDefault="00285240" w:rsidP="00A50FEA">
            <w:pPr>
              <w:keepLines w:val="0"/>
              <w:widowControl/>
              <w:jc w:val="right"/>
              <w:rPr>
                <w:rFonts w:ascii="Cambria" w:hAnsi="Cambria"/>
                <w:bCs/>
                <w:sz w:val="18"/>
                <w:szCs w:val="18"/>
                <w:lang w:val="es-ES"/>
              </w:rPr>
            </w:pPr>
            <w:r>
              <w:rPr>
                <w:rFonts w:ascii="Cambria" w:hAnsi="Cambria"/>
                <w:bCs/>
                <w:sz w:val="18"/>
                <w:szCs w:val="18"/>
                <w:lang w:val="es-ES"/>
              </w:rPr>
              <w:t>35</w:t>
            </w:r>
          </w:p>
        </w:tc>
        <w:tc>
          <w:tcPr>
            <w:tcW w:w="851" w:type="dxa"/>
            <w:tcBorders>
              <w:left w:val="single" w:sz="8" w:space="0" w:color="auto"/>
              <w:bottom w:val="single" w:sz="8" w:space="0" w:color="auto"/>
              <w:right w:val="single" w:sz="8" w:space="0" w:color="auto"/>
            </w:tcBorders>
            <w:shd w:val="clear" w:color="auto" w:fill="FFFFFF"/>
            <w:vAlign w:val="bottom"/>
          </w:tcPr>
          <w:p w14:paraId="5346D93D" w14:textId="77777777" w:rsidR="00285240" w:rsidRPr="00185630" w:rsidRDefault="00285240" w:rsidP="00A50FEA">
            <w:pPr>
              <w:keepLines w:val="0"/>
              <w:widowControl/>
              <w:jc w:val="center"/>
              <w:rPr>
                <w:rFonts w:ascii="Cambria" w:hAnsi="Cambria"/>
                <w:sz w:val="18"/>
                <w:szCs w:val="18"/>
                <w:lang w:val="es-ES"/>
              </w:rPr>
            </w:pPr>
            <w:r>
              <w:rPr>
                <w:rFonts w:ascii="Cambria" w:hAnsi="Cambria"/>
                <w:sz w:val="18"/>
                <w:szCs w:val="18"/>
                <w:lang w:val="es-ES"/>
              </w:rPr>
              <w:t>(2.696)</w:t>
            </w:r>
          </w:p>
        </w:tc>
        <w:tc>
          <w:tcPr>
            <w:tcW w:w="1275" w:type="dxa"/>
            <w:tcBorders>
              <w:left w:val="single" w:sz="8" w:space="0" w:color="auto"/>
              <w:bottom w:val="single" w:sz="8" w:space="0" w:color="auto"/>
              <w:right w:val="single" w:sz="8" w:space="0" w:color="auto"/>
            </w:tcBorders>
            <w:shd w:val="clear" w:color="auto" w:fill="FFFFFF"/>
            <w:noWrap/>
            <w:vAlign w:val="center"/>
          </w:tcPr>
          <w:p w14:paraId="6008D95E" w14:textId="77777777" w:rsidR="00285240" w:rsidRPr="00185630" w:rsidRDefault="00285240" w:rsidP="00A50FEA">
            <w:pPr>
              <w:jc w:val="right"/>
              <w:rPr>
                <w:rFonts w:ascii="Cambria" w:hAnsi="Cambria" w:cs="Arial"/>
                <w:sz w:val="18"/>
                <w:szCs w:val="18"/>
              </w:rPr>
            </w:pPr>
            <w:r>
              <w:rPr>
                <w:rFonts w:ascii="Cambria" w:hAnsi="Cambria" w:cs="Arial"/>
                <w:sz w:val="18"/>
                <w:szCs w:val="18"/>
              </w:rPr>
              <w:t>(27)</w:t>
            </w:r>
          </w:p>
        </w:tc>
        <w:tc>
          <w:tcPr>
            <w:tcW w:w="993" w:type="dxa"/>
            <w:tcBorders>
              <w:left w:val="nil"/>
              <w:bottom w:val="single" w:sz="8" w:space="0" w:color="auto"/>
              <w:right w:val="single" w:sz="8" w:space="0" w:color="auto"/>
            </w:tcBorders>
            <w:shd w:val="clear" w:color="auto" w:fill="FFFFFF"/>
            <w:noWrap/>
            <w:vAlign w:val="center"/>
          </w:tcPr>
          <w:p w14:paraId="4E87CDAE" w14:textId="77777777" w:rsidR="00285240" w:rsidRPr="00185630" w:rsidRDefault="00285240" w:rsidP="00A50FEA">
            <w:pPr>
              <w:jc w:val="center"/>
              <w:rPr>
                <w:rFonts w:ascii="Cambria" w:hAnsi="Cambria" w:cs="Arial"/>
                <w:sz w:val="18"/>
                <w:szCs w:val="18"/>
              </w:rPr>
            </w:pPr>
            <w:r>
              <w:rPr>
                <w:rFonts w:ascii="Cambria" w:hAnsi="Cambria" w:cs="Arial"/>
                <w:sz w:val="18"/>
                <w:szCs w:val="18"/>
              </w:rPr>
              <w:t>-</w:t>
            </w:r>
          </w:p>
        </w:tc>
        <w:tc>
          <w:tcPr>
            <w:tcW w:w="1112" w:type="dxa"/>
            <w:tcBorders>
              <w:left w:val="nil"/>
              <w:bottom w:val="single" w:sz="8" w:space="0" w:color="auto"/>
              <w:right w:val="single" w:sz="8" w:space="0" w:color="auto"/>
            </w:tcBorders>
            <w:shd w:val="clear" w:color="auto" w:fill="FFFFFF"/>
            <w:noWrap/>
            <w:vAlign w:val="center"/>
          </w:tcPr>
          <w:p w14:paraId="4AEA6094" w14:textId="77777777" w:rsidR="00285240" w:rsidRPr="00185630" w:rsidRDefault="00285240" w:rsidP="00A50FEA">
            <w:pPr>
              <w:jc w:val="right"/>
              <w:rPr>
                <w:rFonts w:ascii="Cambria" w:hAnsi="Cambria" w:cs="Arial"/>
                <w:sz w:val="18"/>
                <w:szCs w:val="18"/>
              </w:rPr>
            </w:pPr>
            <w:r>
              <w:rPr>
                <w:rFonts w:ascii="Cambria" w:hAnsi="Cambria" w:cs="Arial"/>
                <w:sz w:val="18"/>
                <w:szCs w:val="18"/>
              </w:rPr>
              <w:t>100.026</w:t>
            </w:r>
          </w:p>
        </w:tc>
      </w:tr>
      <w:tr w:rsidR="00285240" w:rsidRPr="00F8465B" w14:paraId="06CB9253" w14:textId="77777777" w:rsidTr="00A50FEA">
        <w:trPr>
          <w:trHeight w:val="270"/>
          <w:jc w:val="center"/>
        </w:trPr>
        <w:tc>
          <w:tcPr>
            <w:tcW w:w="2833" w:type="dxa"/>
            <w:tcBorders>
              <w:top w:val="nil"/>
              <w:left w:val="single" w:sz="8" w:space="0" w:color="auto"/>
              <w:bottom w:val="single" w:sz="8" w:space="0" w:color="auto"/>
              <w:right w:val="nil"/>
            </w:tcBorders>
            <w:shd w:val="clear" w:color="auto" w:fill="FFFFFF"/>
            <w:noWrap/>
            <w:vAlign w:val="bottom"/>
          </w:tcPr>
          <w:p w14:paraId="27D51410" w14:textId="77777777" w:rsidR="00285240" w:rsidRPr="00F8465B" w:rsidRDefault="00285240" w:rsidP="00A50FEA">
            <w:pPr>
              <w:keepLines w:val="0"/>
              <w:widowControl/>
              <w:jc w:val="left"/>
              <w:rPr>
                <w:rFonts w:ascii="Cambria" w:hAnsi="Cambria"/>
                <w:b/>
                <w:bCs/>
                <w:sz w:val="18"/>
                <w:szCs w:val="18"/>
                <w:lang w:val="es-ES"/>
              </w:rPr>
            </w:pPr>
            <w:r w:rsidRPr="00F8465B">
              <w:rPr>
                <w:rFonts w:ascii="Cambria" w:hAnsi="Cambria"/>
                <w:b/>
                <w:bCs/>
                <w:sz w:val="18"/>
                <w:szCs w:val="18"/>
                <w:lang w:val="es-ES"/>
              </w:rPr>
              <w:t>Total a corto plazo</w:t>
            </w:r>
          </w:p>
        </w:tc>
        <w:tc>
          <w:tcPr>
            <w:tcW w:w="864" w:type="dxa"/>
            <w:tcBorders>
              <w:top w:val="nil"/>
              <w:left w:val="single" w:sz="8" w:space="0" w:color="auto"/>
              <w:bottom w:val="single" w:sz="8" w:space="0" w:color="auto"/>
              <w:right w:val="single" w:sz="8" w:space="0" w:color="auto"/>
            </w:tcBorders>
            <w:shd w:val="clear" w:color="auto" w:fill="FFFFFF"/>
            <w:vAlign w:val="center"/>
          </w:tcPr>
          <w:p w14:paraId="346F830E" w14:textId="77777777" w:rsidR="00285240" w:rsidRDefault="00285240" w:rsidP="00A50FEA">
            <w:pPr>
              <w:jc w:val="right"/>
              <w:rPr>
                <w:rFonts w:ascii="Cambria" w:hAnsi="Cambria" w:cs="Arial"/>
                <w:b/>
                <w:bCs/>
                <w:sz w:val="18"/>
                <w:szCs w:val="18"/>
              </w:rPr>
            </w:pPr>
            <w:r>
              <w:rPr>
                <w:rFonts w:ascii="Cambria" w:hAnsi="Cambria" w:cs="Arial"/>
                <w:b/>
                <w:bCs/>
                <w:sz w:val="18"/>
                <w:szCs w:val="18"/>
              </w:rPr>
              <w:t>106.244</w:t>
            </w:r>
          </w:p>
        </w:tc>
        <w:tc>
          <w:tcPr>
            <w:tcW w:w="1134" w:type="dxa"/>
            <w:tcBorders>
              <w:top w:val="nil"/>
              <w:left w:val="single" w:sz="8" w:space="0" w:color="auto"/>
              <w:bottom w:val="single" w:sz="8" w:space="0" w:color="auto"/>
              <w:right w:val="single" w:sz="8" w:space="0" w:color="auto"/>
            </w:tcBorders>
            <w:shd w:val="clear" w:color="auto" w:fill="FFFFFF"/>
            <w:noWrap/>
            <w:vAlign w:val="bottom"/>
          </w:tcPr>
          <w:p w14:paraId="35037060" w14:textId="77777777" w:rsidR="00285240" w:rsidRPr="00185630" w:rsidRDefault="00285240" w:rsidP="00A50FEA">
            <w:pPr>
              <w:keepLines w:val="0"/>
              <w:widowControl/>
              <w:jc w:val="right"/>
              <w:rPr>
                <w:rFonts w:ascii="Cambria" w:hAnsi="Cambria"/>
                <w:b/>
                <w:bCs/>
                <w:sz w:val="18"/>
                <w:szCs w:val="18"/>
                <w:lang w:val="es-ES"/>
              </w:rPr>
            </w:pPr>
            <w:r>
              <w:rPr>
                <w:rFonts w:ascii="Cambria" w:hAnsi="Cambria"/>
                <w:b/>
                <w:bCs/>
                <w:sz w:val="18"/>
                <w:szCs w:val="18"/>
                <w:lang w:val="es-ES"/>
              </w:rPr>
              <w:t>1.659</w:t>
            </w:r>
          </w:p>
        </w:tc>
        <w:tc>
          <w:tcPr>
            <w:tcW w:w="851" w:type="dxa"/>
            <w:tcBorders>
              <w:top w:val="nil"/>
              <w:left w:val="single" w:sz="8" w:space="0" w:color="auto"/>
              <w:bottom w:val="single" w:sz="8" w:space="0" w:color="auto"/>
              <w:right w:val="single" w:sz="8" w:space="0" w:color="auto"/>
            </w:tcBorders>
            <w:shd w:val="clear" w:color="auto" w:fill="FFFFFF"/>
            <w:vAlign w:val="bottom"/>
          </w:tcPr>
          <w:p w14:paraId="5FFAE6DE" w14:textId="77777777" w:rsidR="00285240" w:rsidRPr="00185630" w:rsidRDefault="00285240" w:rsidP="00A50FEA">
            <w:pPr>
              <w:keepLines w:val="0"/>
              <w:widowControl/>
              <w:jc w:val="right"/>
              <w:rPr>
                <w:rFonts w:ascii="Cambria" w:hAnsi="Cambria"/>
                <w:b/>
                <w:sz w:val="18"/>
                <w:szCs w:val="18"/>
                <w:lang w:val="es-ES"/>
              </w:rPr>
            </w:pPr>
            <w:r>
              <w:rPr>
                <w:rFonts w:ascii="Cambria" w:hAnsi="Cambria"/>
                <w:b/>
                <w:sz w:val="18"/>
                <w:szCs w:val="18"/>
                <w:lang w:val="es-ES"/>
              </w:rPr>
              <w:t>(2.696)</w:t>
            </w:r>
          </w:p>
        </w:tc>
        <w:tc>
          <w:tcPr>
            <w:tcW w:w="1275" w:type="dxa"/>
            <w:tcBorders>
              <w:top w:val="nil"/>
              <w:left w:val="single" w:sz="8" w:space="0" w:color="auto"/>
              <w:bottom w:val="single" w:sz="8" w:space="0" w:color="auto"/>
              <w:right w:val="single" w:sz="8" w:space="0" w:color="auto"/>
            </w:tcBorders>
            <w:shd w:val="clear" w:color="auto" w:fill="FFFFFF"/>
            <w:noWrap/>
            <w:vAlign w:val="center"/>
          </w:tcPr>
          <w:p w14:paraId="3777C43E" w14:textId="77777777" w:rsidR="00285240" w:rsidRPr="00185630" w:rsidRDefault="00285240" w:rsidP="00A50FEA">
            <w:pPr>
              <w:keepLines w:val="0"/>
              <w:widowControl/>
              <w:jc w:val="right"/>
              <w:rPr>
                <w:rFonts w:ascii="Cambria" w:hAnsi="Cambria" w:cs="Arial"/>
                <w:b/>
                <w:bCs/>
                <w:sz w:val="18"/>
                <w:szCs w:val="18"/>
                <w:lang w:val="es-ES"/>
              </w:rPr>
            </w:pPr>
            <w:r>
              <w:rPr>
                <w:rFonts w:ascii="Cambria" w:hAnsi="Cambria" w:cs="Arial"/>
                <w:b/>
                <w:bCs/>
                <w:sz w:val="18"/>
                <w:szCs w:val="18"/>
                <w:lang w:val="es-ES"/>
              </w:rPr>
              <w:t>(2.679)</w:t>
            </w:r>
          </w:p>
        </w:tc>
        <w:tc>
          <w:tcPr>
            <w:tcW w:w="993" w:type="dxa"/>
            <w:tcBorders>
              <w:top w:val="nil"/>
              <w:left w:val="nil"/>
              <w:bottom w:val="single" w:sz="8" w:space="0" w:color="auto"/>
              <w:right w:val="single" w:sz="8" w:space="0" w:color="auto"/>
            </w:tcBorders>
            <w:shd w:val="clear" w:color="auto" w:fill="FFFFFF"/>
            <w:noWrap/>
            <w:vAlign w:val="center"/>
          </w:tcPr>
          <w:p w14:paraId="08B04017" w14:textId="77777777" w:rsidR="00285240" w:rsidRPr="00185630" w:rsidRDefault="00285240" w:rsidP="00A50FEA">
            <w:pPr>
              <w:jc w:val="right"/>
              <w:rPr>
                <w:rFonts w:ascii="Cambria" w:hAnsi="Cambria" w:cs="Arial"/>
                <w:b/>
                <w:bCs/>
                <w:sz w:val="18"/>
                <w:szCs w:val="18"/>
              </w:rPr>
            </w:pPr>
            <w:r>
              <w:rPr>
                <w:rFonts w:ascii="Cambria" w:hAnsi="Cambria" w:cs="Arial"/>
                <w:b/>
                <w:bCs/>
                <w:sz w:val="18"/>
                <w:szCs w:val="18"/>
              </w:rPr>
              <w:t>2.558</w:t>
            </w:r>
          </w:p>
        </w:tc>
        <w:tc>
          <w:tcPr>
            <w:tcW w:w="1112" w:type="dxa"/>
            <w:tcBorders>
              <w:top w:val="nil"/>
              <w:left w:val="nil"/>
              <w:bottom w:val="single" w:sz="8" w:space="0" w:color="auto"/>
              <w:right w:val="single" w:sz="8" w:space="0" w:color="auto"/>
            </w:tcBorders>
            <w:shd w:val="clear" w:color="auto" w:fill="FFFFFF"/>
            <w:noWrap/>
            <w:vAlign w:val="center"/>
          </w:tcPr>
          <w:p w14:paraId="6C97635B" w14:textId="77777777" w:rsidR="00285240" w:rsidRPr="00185630" w:rsidRDefault="00285240" w:rsidP="00A50FEA">
            <w:pPr>
              <w:jc w:val="right"/>
              <w:rPr>
                <w:rFonts w:ascii="Cambria" w:hAnsi="Cambria" w:cs="Arial"/>
                <w:b/>
                <w:bCs/>
                <w:sz w:val="18"/>
                <w:szCs w:val="18"/>
              </w:rPr>
            </w:pPr>
            <w:r>
              <w:rPr>
                <w:rFonts w:ascii="Cambria" w:hAnsi="Cambria" w:cs="Arial"/>
                <w:b/>
                <w:bCs/>
                <w:sz w:val="18"/>
                <w:szCs w:val="18"/>
              </w:rPr>
              <w:t>105.086</w:t>
            </w:r>
          </w:p>
        </w:tc>
      </w:tr>
    </w:tbl>
    <w:p w14:paraId="5AEFFE34" w14:textId="77777777" w:rsidR="006F7F0D" w:rsidRPr="00F8465B" w:rsidRDefault="006F7F0D" w:rsidP="006F7F0D">
      <w:pPr>
        <w:pStyle w:val="Ttulo5"/>
        <w:rPr>
          <w:rFonts w:ascii="Cambria" w:hAnsi="Cambria"/>
          <w:b/>
          <w:sz w:val="22"/>
          <w:szCs w:val="22"/>
          <w:u w:val="single"/>
        </w:rPr>
      </w:pPr>
    </w:p>
    <w:p w14:paraId="0B9404F1" w14:textId="3FAF7BBB" w:rsidR="009B786A" w:rsidRDefault="00EF48B7" w:rsidP="009B786A">
      <w:pPr>
        <w:pStyle w:val="Ttulo1a"/>
        <w:ind w:left="567"/>
        <w:rPr>
          <w:rFonts w:ascii="Cambria" w:hAnsi="Cambria"/>
          <w:sz w:val="24"/>
          <w:szCs w:val="24"/>
        </w:rPr>
      </w:pPr>
      <w:r>
        <w:rPr>
          <w:rFonts w:ascii="Cambria" w:hAnsi="Cambria"/>
          <w:sz w:val="24"/>
          <w:szCs w:val="24"/>
        </w:rPr>
        <w:t xml:space="preserve">El importe </w:t>
      </w:r>
      <w:r w:rsidR="00075541">
        <w:rPr>
          <w:rFonts w:ascii="Cambria" w:hAnsi="Cambria"/>
          <w:sz w:val="24"/>
          <w:szCs w:val="24"/>
        </w:rPr>
        <w:t>neto</w:t>
      </w:r>
      <w:r>
        <w:rPr>
          <w:rFonts w:ascii="Cambria" w:hAnsi="Cambria"/>
          <w:sz w:val="24"/>
          <w:szCs w:val="24"/>
        </w:rPr>
        <w:t xml:space="preserve"> de dotaciones </w:t>
      </w:r>
      <w:r w:rsidR="007038E3">
        <w:rPr>
          <w:rFonts w:ascii="Cambria" w:hAnsi="Cambria"/>
          <w:sz w:val="24"/>
          <w:szCs w:val="24"/>
        </w:rPr>
        <w:t xml:space="preserve">(154 miles de euros) </w:t>
      </w:r>
      <w:r>
        <w:rPr>
          <w:rFonts w:ascii="Cambria" w:hAnsi="Cambria"/>
          <w:sz w:val="24"/>
          <w:szCs w:val="24"/>
        </w:rPr>
        <w:t xml:space="preserve">y excesos </w:t>
      </w:r>
      <w:r w:rsidR="007038E3">
        <w:rPr>
          <w:rFonts w:ascii="Cambria" w:hAnsi="Cambria"/>
          <w:sz w:val="24"/>
          <w:szCs w:val="24"/>
        </w:rPr>
        <w:t xml:space="preserve">(62 miles de euros) </w:t>
      </w:r>
      <w:r>
        <w:rPr>
          <w:rFonts w:ascii="Cambria" w:hAnsi="Cambria"/>
          <w:sz w:val="24"/>
          <w:szCs w:val="24"/>
        </w:rPr>
        <w:t xml:space="preserve">de obligaciones </w:t>
      </w:r>
      <w:r w:rsidR="00075541">
        <w:rPr>
          <w:rFonts w:ascii="Cambria" w:hAnsi="Cambria"/>
          <w:sz w:val="24"/>
          <w:szCs w:val="24"/>
        </w:rPr>
        <w:t xml:space="preserve">por prestaciones con el </w:t>
      </w:r>
      <w:r>
        <w:rPr>
          <w:rFonts w:ascii="Cambria" w:hAnsi="Cambria"/>
          <w:sz w:val="24"/>
          <w:szCs w:val="24"/>
        </w:rPr>
        <w:t xml:space="preserve">personal del ejercicio 2020 </w:t>
      </w:r>
      <w:r w:rsidRPr="00EF48B7">
        <w:rPr>
          <w:rFonts w:ascii="Cambria" w:hAnsi="Cambria"/>
          <w:sz w:val="24"/>
          <w:szCs w:val="24"/>
        </w:rPr>
        <w:t>se ha recogido en la cuenta de resultados en el epígrafe “Gastos de personal, provisiones”</w:t>
      </w:r>
      <w:r>
        <w:rPr>
          <w:rFonts w:ascii="Cambria" w:hAnsi="Cambria"/>
          <w:sz w:val="24"/>
          <w:szCs w:val="24"/>
        </w:rPr>
        <w:t xml:space="preserve">. </w:t>
      </w:r>
      <w:r w:rsidR="00994EE1" w:rsidRPr="00EF48B7">
        <w:rPr>
          <w:rFonts w:ascii="Cambria" w:hAnsi="Cambria"/>
          <w:sz w:val="24"/>
          <w:szCs w:val="24"/>
        </w:rPr>
        <w:t xml:space="preserve">Del importe de dotaciones </w:t>
      </w:r>
      <w:r w:rsidR="00075541">
        <w:rPr>
          <w:rFonts w:ascii="Cambria" w:hAnsi="Cambria"/>
          <w:sz w:val="24"/>
          <w:szCs w:val="24"/>
        </w:rPr>
        <w:t>de</w:t>
      </w:r>
      <w:r w:rsidR="00994EE1" w:rsidRPr="00EF48B7">
        <w:rPr>
          <w:rFonts w:ascii="Cambria" w:hAnsi="Cambria"/>
          <w:sz w:val="24"/>
          <w:szCs w:val="24"/>
        </w:rPr>
        <w:t xml:space="preserve"> </w:t>
      </w:r>
      <w:r w:rsidR="00075541">
        <w:rPr>
          <w:rFonts w:ascii="Cambria" w:hAnsi="Cambria"/>
          <w:sz w:val="24"/>
          <w:szCs w:val="24"/>
        </w:rPr>
        <w:t>o</w:t>
      </w:r>
      <w:r w:rsidR="00994EE1" w:rsidRPr="00EF48B7">
        <w:rPr>
          <w:rFonts w:ascii="Cambria" w:hAnsi="Cambria"/>
          <w:sz w:val="24"/>
          <w:szCs w:val="24"/>
        </w:rPr>
        <w:t xml:space="preserve">bligaciones </w:t>
      </w:r>
      <w:r w:rsidR="00075541">
        <w:rPr>
          <w:rFonts w:ascii="Cambria" w:hAnsi="Cambria"/>
          <w:sz w:val="24"/>
          <w:szCs w:val="24"/>
        </w:rPr>
        <w:t xml:space="preserve">por prestaciones </w:t>
      </w:r>
      <w:r w:rsidR="00994EE1" w:rsidRPr="00EF48B7">
        <w:rPr>
          <w:rFonts w:ascii="Cambria" w:hAnsi="Cambria"/>
          <w:sz w:val="24"/>
          <w:szCs w:val="24"/>
        </w:rPr>
        <w:t>con el persona</w:t>
      </w:r>
      <w:r w:rsidR="00075541">
        <w:rPr>
          <w:rFonts w:ascii="Cambria" w:hAnsi="Cambria"/>
          <w:sz w:val="24"/>
          <w:szCs w:val="24"/>
        </w:rPr>
        <w:t>l</w:t>
      </w:r>
      <w:r w:rsidR="00994EE1" w:rsidRPr="00EF48B7">
        <w:rPr>
          <w:rFonts w:ascii="Cambria" w:hAnsi="Cambria"/>
          <w:sz w:val="24"/>
          <w:szCs w:val="24"/>
        </w:rPr>
        <w:t xml:space="preserve"> del ejercicio 2019</w:t>
      </w:r>
      <w:r w:rsidR="00075541">
        <w:rPr>
          <w:rFonts w:ascii="Cambria" w:hAnsi="Cambria"/>
          <w:sz w:val="24"/>
          <w:szCs w:val="24"/>
        </w:rPr>
        <w:t xml:space="preserve"> (</w:t>
      </w:r>
      <w:r w:rsidR="00994EE1" w:rsidRPr="00EF48B7">
        <w:rPr>
          <w:rFonts w:ascii="Cambria" w:hAnsi="Cambria"/>
          <w:sz w:val="24"/>
          <w:szCs w:val="24"/>
        </w:rPr>
        <w:t>1.</w:t>
      </w:r>
      <w:r w:rsidR="00892891" w:rsidRPr="00EF48B7">
        <w:rPr>
          <w:rFonts w:ascii="Cambria" w:hAnsi="Cambria"/>
          <w:sz w:val="24"/>
          <w:szCs w:val="24"/>
        </w:rPr>
        <w:t>835</w:t>
      </w:r>
      <w:r w:rsidR="00994EE1" w:rsidRPr="00EF48B7">
        <w:rPr>
          <w:rFonts w:ascii="Cambria" w:hAnsi="Cambria"/>
          <w:sz w:val="24"/>
          <w:szCs w:val="24"/>
        </w:rPr>
        <w:t xml:space="preserve"> miles de euros</w:t>
      </w:r>
      <w:r w:rsidR="00075541">
        <w:rPr>
          <w:rFonts w:ascii="Cambria" w:hAnsi="Cambria"/>
          <w:sz w:val="24"/>
          <w:szCs w:val="24"/>
        </w:rPr>
        <w:t>)</w:t>
      </w:r>
      <w:r w:rsidR="00994EE1" w:rsidRPr="00EF48B7">
        <w:rPr>
          <w:rFonts w:ascii="Cambria" w:hAnsi="Cambria"/>
          <w:sz w:val="24"/>
          <w:szCs w:val="24"/>
        </w:rPr>
        <w:t xml:space="preserve">, un importe de </w:t>
      </w:r>
      <w:r w:rsidR="009B786A" w:rsidRPr="00EF48B7">
        <w:rPr>
          <w:rFonts w:ascii="Cambria" w:hAnsi="Cambria"/>
          <w:sz w:val="24"/>
          <w:szCs w:val="24"/>
        </w:rPr>
        <w:t xml:space="preserve">1.825 se </w:t>
      </w:r>
      <w:r w:rsidR="00075541">
        <w:rPr>
          <w:rFonts w:ascii="Cambria" w:hAnsi="Cambria"/>
          <w:sz w:val="24"/>
          <w:szCs w:val="24"/>
        </w:rPr>
        <w:t>registró</w:t>
      </w:r>
      <w:r w:rsidR="009B786A" w:rsidRPr="00EF48B7">
        <w:rPr>
          <w:rFonts w:ascii="Cambria" w:hAnsi="Cambria"/>
          <w:sz w:val="24"/>
          <w:szCs w:val="24"/>
        </w:rPr>
        <w:t xml:space="preserve"> en la cuenta de resultados en el epígrafe “Gastos de personal, provisiones</w:t>
      </w:r>
      <w:r w:rsidR="009B786A" w:rsidRPr="00075541">
        <w:rPr>
          <w:rFonts w:ascii="Cambria" w:hAnsi="Cambria"/>
          <w:sz w:val="24"/>
          <w:szCs w:val="24"/>
        </w:rPr>
        <w:t>” (véase Nota 13.3).</w:t>
      </w:r>
    </w:p>
    <w:p w14:paraId="06CBC84D" w14:textId="77777777" w:rsidR="00994EE1" w:rsidRDefault="00994EE1" w:rsidP="001F1EAB">
      <w:pPr>
        <w:pStyle w:val="Ttulo1a"/>
        <w:ind w:left="567"/>
        <w:rPr>
          <w:rFonts w:ascii="Cambria" w:hAnsi="Cambria"/>
          <w:sz w:val="24"/>
          <w:szCs w:val="24"/>
        </w:rPr>
      </w:pPr>
    </w:p>
    <w:p w14:paraId="21B5B941" w14:textId="77777777" w:rsidR="003D63B9" w:rsidRDefault="003D63B9">
      <w:pPr>
        <w:keepLines w:val="0"/>
        <w:widowControl/>
        <w:jc w:val="left"/>
        <w:rPr>
          <w:rFonts w:ascii="Cambria" w:hAnsi="Cambria"/>
          <w:b/>
          <w:sz w:val="24"/>
          <w:szCs w:val="24"/>
        </w:rPr>
      </w:pPr>
      <w:bookmarkStart w:id="10" w:name="_Ref256415569"/>
      <w:r>
        <w:rPr>
          <w:rFonts w:ascii="Cambria" w:hAnsi="Cambria"/>
          <w:sz w:val="24"/>
          <w:szCs w:val="24"/>
        </w:rPr>
        <w:br w:type="page"/>
      </w:r>
    </w:p>
    <w:p w14:paraId="5390B693" w14:textId="77777777" w:rsidR="003D63B9" w:rsidRDefault="003D63B9" w:rsidP="001F1EAB">
      <w:pPr>
        <w:pStyle w:val="Ttulo2"/>
        <w:keepNext/>
        <w:ind w:left="567"/>
        <w:rPr>
          <w:rFonts w:ascii="Cambria" w:hAnsi="Cambria"/>
          <w:sz w:val="24"/>
          <w:szCs w:val="24"/>
        </w:rPr>
      </w:pPr>
    </w:p>
    <w:p w14:paraId="36B5E469" w14:textId="795735BE" w:rsidR="00954BDB" w:rsidRPr="00F8465B" w:rsidRDefault="00915846" w:rsidP="001F1EAB">
      <w:pPr>
        <w:pStyle w:val="Ttulo2"/>
        <w:keepNext/>
        <w:ind w:left="567"/>
        <w:rPr>
          <w:rFonts w:ascii="Cambria" w:hAnsi="Cambria"/>
          <w:sz w:val="24"/>
          <w:szCs w:val="24"/>
        </w:rPr>
      </w:pPr>
      <w:r w:rsidRPr="00F8465B">
        <w:rPr>
          <w:rFonts w:ascii="Cambria" w:hAnsi="Cambria"/>
          <w:sz w:val="24"/>
          <w:szCs w:val="24"/>
        </w:rPr>
        <w:t>1</w:t>
      </w:r>
      <w:r w:rsidR="002C5320" w:rsidRPr="00F8465B">
        <w:rPr>
          <w:rFonts w:ascii="Cambria" w:hAnsi="Cambria"/>
          <w:sz w:val="24"/>
          <w:szCs w:val="24"/>
        </w:rPr>
        <w:t>1</w:t>
      </w:r>
      <w:r w:rsidR="00C53B79" w:rsidRPr="00F8465B">
        <w:rPr>
          <w:rFonts w:ascii="Cambria" w:hAnsi="Cambria"/>
          <w:sz w:val="24"/>
          <w:szCs w:val="24"/>
        </w:rPr>
        <w:t xml:space="preserve">.1 </w:t>
      </w:r>
      <w:r w:rsidR="00954BDB" w:rsidRPr="00F8465B">
        <w:rPr>
          <w:rFonts w:ascii="Cambria" w:hAnsi="Cambria"/>
          <w:sz w:val="24"/>
          <w:szCs w:val="24"/>
        </w:rPr>
        <w:t xml:space="preserve">Obligaciones por prestaciones </w:t>
      </w:r>
      <w:r w:rsidR="008C319A" w:rsidRPr="00F8465B">
        <w:rPr>
          <w:rFonts w:ascii="Cambria" w:hAnsi="Cambria"/>
          <w:sz w:val="24"/>
          <w:szCs w:val="24"/>
        </w:rPr>
        <w:t>con el personal</w:t>
      </w:r>
      <w:bookmarkEnd w:id="10"/>
    </w:p>
    <w:p w14:paraId="7B084F02" w14:textId="77777777" w:rsidR="00954BDB" w:rsidRPr="00F8465B" w:rsidRDefault="00954BDB" w:rsidP="005E2127">
      <w:pPr>
        <w:pStyle w:val="Ttulo1a"/>
        <w:ind w:left="567"/>
        <w:rPr>
          <w:rFonts w:ascii="Cambria" w:hAnsi="Cambria"/>
          <w:sz w:val="24"/>
          <w:szCs w:val="24"/>
        </w:rPr>
      </w:pPr>
    </w:p>
    <w:p w14:paraId="08CBE8C8" w14:textId="341CBFA8" w:rsidR="00954BDB" w:rsidRDefault="00954BDB" w:rsidP="005E2127">
      <w:pPr>
        <w:pStyle w:val="Ttulo1a"/>
        <w:ind w:left="567"/>
        <w:rPr>
          <w:rFonts w:ascii="Cambria" w:hAnsi="Cambria"/>
          <w:sz w:val="24"/>
          <w:szCs w:val="24"/>
        </w:rPr>
      </w:pPr>
      <w:r w:rsidRPr="00F8465B">
        <w:rPr>
          <w:rFonts w:ascii="Cambria" w:hAnsi="Cambria"/>
          <w:sz w:val="24"/>
          <w:szCs w:val="24"/>
        </w:rPr>
        <w:t>El detalle de las ob</w:t>
      </w:r>
      <w:r w:rsidR="008C319A" w:rsidRPr="00F8465B">
        <w:rPr>
          <w:rFonts w:ascii="Cambria" w:hAnsi="Cambria"/>
          <w:sz w:val="24"/>
          <w:szCs w:val="24"/>
        </w:rPr>
        <w:t>ligaciones por prestaciones al personal</w:t>
      </w:r>
      <w:r w:rsidRPr="00F8465B">
        <w:rPr>
          <w:rFonts w:ascii="Cambria" w:hAnsi="Cambria"/>
          <w:sz w:val="24"/>
          <w:szCs w:val="24"/>
        </w:rPr>
        <w:t>, así como los principales movimientos</w:t>
      </w:r>
      <w:r w:rsidR="007B0B9E" w:rsidRPr="00F8465B">
        <w:rPr>
          <w:rFonts w:ascii="Cambria" w:hAnsi="Cambria"/>
          <w:sz w:val="24"/>
          <w:szCs w:val="24"/>
        </w:rPr>
        <w:t>,</w:t>
      </w:r>
      <w:r w:rsidRPr="00F8465B">
        <w:rPr>
          <w:rFonts w:ascii="Cambria" w:hAnsi="Cambria"/>
          <w:sz w:val="24"/>
          <w:szCs w:val="24"/>
        </w:rPr>
        <w:t xml:space="preserve"> </w:t>
      </w:r>
      <w:r w:rsidR="00D843BA" w:rsidRPr="00F8465B">
        <w:rPr>
          <w:rFonts w:ascii="Cambria" w:hAnsi="Cambria"/>
          <w:sz w:val="24"/>
          <w:szCs w:val="24"/>
        </w:rPr>
        <w:t xml:space="preserve">durante los ejercicios </w:t>
      </w:r>
      <w:r w:rsidRPr="00F8465B">
        <w:rPr>
          <w:rFonts w:ascii="Cambria" w:hAnsi="Cambria"/>
          <w:sz w:val="24"/>
          <w:szCs w:val="24"/>
        </w:rPr>
        <w:t>20</w:t>
      </w:r>
      <w:r w:rsidR="00C641AC">
        <w:rPr>
          <w:rFonts w:ascii="Cambria" w:hAnsi="Cambria"/>
          <w:sz w:val="24"/>
          <w:szCs w:val="24"/>
        </w:rPr>
        <w:t>20</w:t>
      </w:r>
      <w:r w:rsidR="00CF7295" w:rsidRPr="00F8465B">
        <w:rPr>
          <w:rFonts w:ascii="Cambria" w:hAnsi="Cambria"/>
          <w:sz w:val="24"/>
          <w:szCs w:val="24"/>
        </w:rPr>
        <w:t xml:space="preserve"> y 20</w:t>
      </w:r>
      <w:r w:rsidR="00F472D4" w:rsidRPr="00F8465B">
        <w:rPr>
          <w:rFonts w:ascii="Cambria" w:hAnsi="Cambria"/>
          <w:sz w:val="24"/>
          <w:szCs w:val="24"/>
        </w:rPr>
        <w:t>1</w:t>
      </w:r>
      <w:r w:rsidR="00C641AC">
        <w:rPr>
          <w:rFonts w:ascii="Cambria" w:hAnsi="Cambria"/>
          <w:sz w:val="24"/>
          <w:szCs w:val="24"/>
        </w:rPr>
        <w:t>9</w:t>
      </w:r>
      <w:r w:rsidRPr="00F8465B">
        <w:rPr>
          <w:rFonts w:ascii="Cambria" w:hAnsi="Cambria"/>
          <w:sz w:val="24"/>
          <w:szCs w:val="24"/>
        </w:rPr>
        <w:t>,</w:t>
      </w:r>
      <w:r w:rsidR="00CF7295" w:rsidRPr="00F8465B">
        <w:rPr>
          <w:rFonts w:ascii="Cambria" w:hAnsi="Cambria"/>
          <w:sz w:val="24"/>
          <w:szCs w:val="24"/>
        </w:rPr>
        <w:t xml:space="preserve"> en miles de euros</w:t>
      </w:r>
      <w:r w:rsidRPr="00F8465B">
        <w:rPr>
          <w:rFonts w:ascii="Cambria" w:hAnsi="Cambria"/>
          <w:sz w:val="24"/>
          <w:szCs w:val="24"/>
        </w:rPr>
        <w:t xml:space="preserve"> son los siguientes:</w:t>
      </w:r>
    </w:p>
    <w:p w14:paraId="11ADE73F" w14:textId="49AA1ED3" w:rsidR="00E15643" w:rsidRPr="00C407D3" w:rsidRDefault="00E15643" w:rsidP="00C407D3"/>
    <w:p w14:paraId="578D2444" w14:textId="7564C957" w:rsidR="008439F7" w:rsidRDefault="00E15643" w:rsidP="00E15643">
      <w:pPr>
        <w:ind w:left="567"/>
        <w:rPr>
          <w:rFonts w:ascii="Cambria" w:hAnsi="Cambria"/>
          <w:b/>
          <w:sz w:val="24"/>
          <w:szCs w:val="24"/>
          <w:u w:val="single"/>
        </w:rPr>
      </w:pPr>
      <w:r w:rsidRPr="00F8465B">
        <w:rPr>
          <w:rFonts w:ascii="Cambria" w:hAnsi="Cambria"/>
          <w:b/>
          <w:sz w:val="24"/>
          <w:szCs w:val="24"/>
          <w:u w:val="single"/>
        </w:rPr>
        <w:t>Ejercicio 20</w:t>
      </w:r>
      <w:r w:rsidR="00C641AC">
        <w:rPr>
          <w:rFonts w:ascii="Cambria" w:hAnsi="Cambria"/>
          <w:b/>
          <w:sz w:val="24"/>
          <w:szCs w:val="24"/>
          <w:u w:val="single"/>
        </w:rPr>
        <w:t>20</w:t>
      </w:r>
    </w:p>
    <w:p w14:paraId="5CB53060" w14:textId="77777777" w:rsidR="00E15643" w:rsidRPr="00F8465B" w:rsidRDefault="00E15643" w:rsidP="00E15643">
      <w:pPr>
        <w:ind w:left="567"/>
        <w:rPr>
          <w:rFonts w:ascii="Cambria" w:hAnsi="Cambria"/>
          <w:b/>
          <w:sz w:val="24"/>
          <w:szCs w:val="24"/>
          <w:u w:val="single"/>
        </w:rPr>
      </w:pPr>
    </w:p>
    <w:tbl>
      <w:tblPr>
        <w:tblW w:w="9072" w:type="dxa"/>
        <w:jc w:val="center"/>
        <w:tblCellMar>
          <w:left w:w="70" w:type="dxa"/>
          <w:right w:w="70" w:type="dxa"/>
        </w:tblCellMar>
        <w:tblLook w:val="0000" w:firstRow="0" w:lastRow="0" w:firstColumn="0" w:lastColumn="0" w:noHBand="0" w:noVBand="0"/>
      </w:tblPr>
      <w:tblGrid>
        <w:gridCol w:w="2552"/>
        <w:gridCol w:w="831"/>
        <w:gridCol w:w="807"/>
        <w:gridCol w:w="1162"/>
        <w:gridCol w:w="1065"/>
        <w:gridCol w:w="830"/>
        <w:gridCol w:w="1059"/>
        <w:gridCol w:w="766"/>
      </w:tblGrid>
      <w:tr w:rsidR="00F0551B" w:rsidRPr="00F8465B" w14:paraId="79F92C71" w14:textId="77777777" w:rsidTr="00D45E8F">
        <w:trPr>
          <w:trHeight w:val="270"/>
          <w:jc w:val="center"/>
        </w:trPr>
        <w:tc>
          <w:tcPr>
            <w:tcW w:w="2552" w:type="dxa"/>
            <w:tcBorders>
              <w:bottom w:val="single" w:sz="8" w:space="0" w:color="auto"/>
            </w:tcBorders>
            <w:shd w:val="clear" w:color="auto" w:fill="FFFFFF"/>
            <w:noWrap/>
            <w:vAlign w:val="bottom"/>
          </w:tcPr>
          <w:p w14:paraId="286EA473" w14:textId="77777777" w:rsidR="00F0551B" w:rsidRPr="00F8465B" w:rsidRDefault="00F0551B" w:rsidP="00A40E65">
            <w:pPr>
              <w:jc w:val="left"/>
              <w:rPr>
                <w:rFonts w:ascii="Cambria" w:hAnsi="Cambria"/>
                <w:b/>
                <w:bCs/>
                <w:sz w:val="18"/>
                <w:szCs w:val="18"/>
              </w:rPr>
            </w:pPr>
          </w:p>
        </w:tc>
        <w:tc>
          <w:tcPr>
            <w:tcW w:w="831" w:type="dxa"/>
            <w:tcBorders>
              <w:bottom w:val="single" w:sz="8" w:space="0" w:color="auto"/>
            </w:tcBorders>
            <w:shd w:val="clear" w:color="auto" w:fill="FFFFFF"/>
            <w:noWrap/>
            <w:vAlign w:val="bottom"/>
          </w:tcPr>
          <w:p w14:paraId="37A7A98B" w14:textId="77777777" w:rsidR="00F0551B" w:rsidRPr="00F8465B" w:rsidRDefault="00F0551B" w:rsidP="00A40E65">
            <w:pPr>
              <w:jc w:val="center"/>
              <w:rPr>
                <w:rFonts w:ascii="Cambria" w:hAnsi="Cambria"/>
                <w:b/>
                <w:bCs/>
                <w:sz w:val="18"/>
                <w:szCs w:val="18"/>
              </w:rPr>
            </w:pPr>
          </w:p>
        </w:tc>
        <w:tc>
          <w:tcPr>
            <w:tcW w:w="807" w:type="dxa"/>
            <w:tcBorders>
              <w:bottom w:val="single" w:sz="8" w:space="0" w:color="auto"/>
              <w:right w:val="single" w:sz="8" w:space="0" w:color="auto"/>
            </w:tcBorders>
            <w:shd w:val="clear" w:color="auto" w:fill="FFFFFF"/>
            <w:vAlign w:val="bottom"/>
          </w:tcPr>
          <w:p w14:paraId="36200433" w14:textId="77777777" w:rsidR="00F0551B" w:rsidRPr="00F8465B" w:rsidRDefault="00F0551B" w:rsidP="00A40E65">
            <w:pPr>
              <w:jc w:val="center"/>
              <w:rPr>
                <w:rFonts w:ascii="Cambria" w:hAnsi="Cambria"/>
                <w:b/>
                <w:bCs/>
                <w:sz w:val="18"/>
                <w:szCs w:val="18"/>
              </w:rPr>
            </w:pPr>
          </w:p>
        </w:tc>
        <w:tc>
          <w:tcPr>
            <w:tcW w:w="4116" w:type="dxa"/>
            <w:gridSpan w:val="4"/>
            <w:tcBorders>
              <w:top w:val="single" w:sz="8" w:space="0" w:color="auto"/>
              <w:left w:val="single" w:sz="8" w:space="0" w:color="auto"/>
              <w:bottom w:val="single" w:sz="8" w:space="0" w:color="auto"/>
              <w:right w:val="single" w:sz="8" w:space="0" w:color="auto"/>
            </w:tcBorders>
            <w:shd w:val="clear" w:color="auto" w:fill="FFFFFF"/>
            <w:vAlign w:val="bottom"/>
          </w:tcPr>
          <w:p w14:paraId="2321C160" w14:textId="7FAE493E" w:rsidR="00F0551B" w:rsidRPr="00F8465B" w:rsidRDefault="00F0551B" w:rsidP="00A40E65">
            <w:pPr>
              <w:jc w:val="center"/>
              <w:rPr>
                <w:rFonts w:ascii="Cambria" w:hAnsi="Cambria"/>
                <w:b/>
                <w:bCs/>
                <w:sz w:val="18"/>
                <w:szCs w:val="18"/>
              </w:rPr>
            </w:pPr>
            <w:r>
              <w:rPr>
                <w:rFonts w:ascii="Cambria" w:hAnsi="Cambria"/>
                <w:b/>
                <w:bCs/>
                <w:sz w:val="18"/>
                <w:szCs w:val="18"/>
              </w:rPr>
              <w:t>AEC</w:t>
            </w:r>
          </w:p>
        </w:tc>
        <w:tc>
          <w:tcPr>
            <w:tcW w:w="766" w:type="dxa"/>
            <w:tcBorders>
              <w:left w:val="single" w:sz="8" w:space="0" w:color="auto"/>
              <w:bottom w:val="single" w:sz="8" w:space="0" w:color="auto"/>
            </w:tcBorders>
            <w:shd w:val="clear" w:color="auto" w:fill="FFFFFF"/>
            <w:noWrap/>
            <w:vAlign w:val="bottom"/>
          </w:tcPr>
          <w:p w14:paraId="61043885" w14:textId="77777777" w:rsidR="00F0551B" w:rsidRPr="00F8465B" w:rsidRDefault="00F0551B" w:rsidP="00A40E65">
            <w:pPr>
              <w:jc w:val="center"/>
              <w:rPr>
                <w:rFonts w:ascii="Cambria" w:hAnsi="Cambria"/>
                <w:b/>
                <w:bCs/>
                <w:sz w:val="18"/>
                <w:szCs w:val="18"/>
              </w:rPr>
            </w:pPr>
          </w:p>
        </w:tc>
      </w:tr>
      <w:tr w:rsidR="008439F7" w:rsidRPr="00F8465B" w14:paraId="7E479F6F" w14:textId="77777777" w:rsidTr="00D45E8F">
        <w:trPr>
          <w:trHeight w:val="270"/>
          <w:jc w:val="center"/>
        </w:trPr>
        <w:tc>
          <w:tcPr>
            <w:tcW w:w="2552"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2E0DAD64" w14:textId="77777777" w:rsidR="008439F7" w:rsidRPr="00F8465B" w:rsidRDefault="008439F7" w:rsidP="00A40E65">
            <w:pPr>
              <w:jc w:val="left"/>
              <w:rPr>
                <w:rFonts w:ascii="Cambria" w:hAnsi="Cambria"/>
                <w:b/>
                <w:bCs/>
                <w:sz w:val="18"/>
                <w:szCs w:val="18"/>
              </w:rPr>
            </w:pPr>
            <w:r w:rsidRPr="00F8465B">
              <w:rPr>
                <w:rFonts w:ascii="Cambria" w:hAnsi="Cambria"/>
                <w:b/>
                <w:bCs/>
                <w:sz w:val="18"/>
                <w:szCs w:val="18"/>
              </w:rPr>
              <w:t>Obligaciones personal a largo plazo</w:t>
            </w:r>
          </w:p>
        </w:tc>
        <w:tc>
          <w:tcPr>
            <w:tcW w:w="831"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5DC198FD" w14:textId="77777777" w:rsidR="008439F7" w:rsidRPr="00F8465B" w:rsidRDefault="008439F7" w:rsidP="00A40E65">
            <w:pPr>
              <w:jc w:val="center"/>
              <w:rPr>
                <w:rFonts w:ascii="Cambria" w:hAnsi="Cambria"/>
                <w:b/>
                <w:bCs/>
                <w:sz w:val="18"/>
                <w:szCs w:val="18"/>
              </w:rPr>
            </w:pPr>
            <w:r w:rsidRPr="00F8465B">
              <w:rPr>
                <w:rFonts w:ascii="Cambria" w:hAnsi="Cambria"/>
                <w:b/>
                <w:bCs/>
                <w:sz w:val="18"/>
                <w:szCs w:val="18"/>
              </w:rPr>
              <w:t>ACENOR Salto a los 60</w:t>
            </w:r>
          </w:p>
        </w:tc>
        <w:tc>
          <w:tcPr>
            <w:tcW w:w="807" w:type="dxa"/>
            <w:tcBorders>
              <w:top w:val="single" w:sz="8" w:space="0" w:color="auto"/>
              <w:left w:val="single" w:sz="8" w:space="0" w:color="auto"/>
              <w:bottom w:val="single" w:sz="8" w:space="0" w:color="auto"/>
              <w:right w:val="single" w:sz="8" w:space="0" w:color="auto"/>
            </w:tcBorders>
            <w:shd w:val="clear" w:color="auto" w:fill="FFFFFF"/>
            <w:vAlign w:val="bottom"/>
          </w:tcPr>
          <w:p w14:paraId="6716FC92" w14:textId="77777777" w:rsidR="008439F7" w:rsidRPr="00F8465B" w:rsidRDefault="008439F7" w:rsidP="00A40E65">
            <w:pPr>
              <w:jc w:val="center"/>
              <w:rPr>
                <w:rFonts w:ascii="Cambria" w:hAnsi="Cambria"/>
                <w:b/>
                <w:bCs/>
                <w:sz w:val="18"/>
                <w:szCs w:val="18"/>
              </w:rPr>
            </w:pPr>
            <w:r w:rsidRPr="00F8465B">
              <w:rPr>
                <w:rFonts w:ascii="Cambria" w:hAnsi="Cambria"/>
                <w:b/>
                <w:bCs/>
                <w:sz w:val="18"/>
                <w:szCs w:val="18"/>
              </w:rPr>
              <w:t>PRESUR</w:t>
            </w:r>
          </w:p>
        </w:tc>
        <w:tc>
          <w:tcPr>
            <w:tcW w:w="1162" w:type="dxa"/>
            <w:tcBorders>
              <w:top w:val="single" w:sz="8" w:space="0" w:color="auto"/>
              <w:left w:val="single" w:sz="8" w:space="0" w:color="auto"/>
              <w:bottom w:val="single" w:sz="8" w:space="0" w:color="auto"/>
              <w:right w:val="single" w:sz="8" w:space="0" w:color="auto"/>
            </w:tcBorders>
            <w:shd w:val="clear" w:color="auto" w:fill="FFFFFF"/>
            <w:vAlign w:val="bottom"/>
          </w:tcPr>
          <w:p w14:paraId="77E464FF" w14:textId="77777777" w:rsidR="008439F7" w:rsidRPr="00F8465B" w:rsidRDefault="008439F7" w:rsidP="00A40E65">
            <w:pPr>
              <w:jc w:val="center"/>
              <w:rPr>
                <w:rFonts w:ascii="Cambria" w:hAnsi="Cambria"/>
                <w:b/>
                <w:bCs/>
                <w:sz w:val="18"/>
                <w:szCs w:val="18"/>
              </w:rPr>
            </w:pPr>
            <w:r w:rsidRPr="00F8465B">
              <w:rPr>
                <w:rFonts w:ascii="Cambria" w:hAnsi="Cambria"/>
                <w:b/>
                <w:bCs/>
                <w:sz w:val="18"/>
                <w:szCs w:val="18"/>
              </w:rPr>
              <w:t>Ayudas Previas y cotizaciones</w:t>
            </w:r>
          </w:p>
        </w:tc>
        <w:tc>
          <w:tcPr>
            <w:tcW w:w="1065" w:type="dxa"/>
            <w:tcBorders>
              <w:top w:val="single" w:sz="8" w:space="0" w:color="auto"/>
              <w:left w:val="single" w:sz="8" w:space="0" w:color="auto"/>
              <w:bottom w:val="single" w:sz="8" w:space="0" w:color="auto"/>
              <w:right w:val="single" w:sz="8" w:space="0" w:color="auto"/>
            </w:tcBorders>
            <w:shd w:val="clear" w:color="auto" w:fill="FFFFFF"/>
            <w:vAlign w:val="bottom"/>
          </w:tcPr>
          <w:p w14:paraId="1003836D" w14:textId="77777777" w:rsidR="008439F7" w:rsidRPr="00F8465B" w:rsidRDefault="008439F7" w:rsidP="00A40E65">
            <w:pPr>
              <w:jc w:val="center"/>
              <w:rPr>
                <w:rFonts w:ascii="Cambria" w:hAnsi="Cambria"/>
                <w:b/>
                <w:bCs/>
                <w:sz w:val="18"/>
                <w:szCs w:val="18"/>
              </w:rPr>
            </w:pPr>
            <w:r w:rsidRPr="00F8465B">
              <w:rPr>
                <w:rFonts w:ascii="Cambria" w:hAnsi="Cambria"/>
                <w:b/>
                <w:bCs/>
                <w:sz w:val="18"/>
                <w:szCs w:val="18"/>
              </w:rPr>
              <w:t>Costes de ampliación ERE</w:t>
            </w:r>
          </w:p>
        </w:tc>
        <w:tc>
          <w:tcPr>
            <w:tcW w:w="830" w:type="dxa"/>
            <w:tcBorders>
              <w:top w:val="single" w:sz="8" w:space="0" w:color="auto"/>
              <w:left w:val="single" w:sz="8" w:space="0" w:color="auto"/>
              <w:bottom w:val="single" w:sz="8" w:space="0" w:color="auto"/>
              <w:right w:val="single" w:sz="8" w:space="0" w:color="auto"/>
            </w:tcBorders>
            <w:shd w:val="clear" w:color="auto" w:fill="FFFFFF"/>
            <w:vAlign w:val="bottom"/>
          </w:tcPr>
          <w:p w14:paraId="71D59894" w14:textId="77777777" w:rsidR="008439F7" w:rsidRPr="00F8465B" w:rsidRDefault="008439F7" w:rsidP="00A40E65">
            <w:pPr>
              <w:jc w:val="center"/>
              <w:rPr>
                <w:rFonts w:ascii="Cambria" w:hAnsi="Cambria"/>
                <w:b/>
                <w:bCs/>
                <w:sz w:val="18"/>
                <w:szCs w:val="18"/>
              </w:rPr>
            </w:pPr>
            <w:r w:rsidRPr="00F8465B">
              <w:rPr>
                <w:rFonts w:ascii="Cambria" w:hAnsi="Cambria"/>
                <w:b/>
                <w:bCs/>
                <w:sz w:val="18"/>
                <w:szCs w:val="18"/>
              </w:rPr>
              <w:t>Gastos médicos</w:t>
            </w:r>
          </w:p>
        </w:tc>
        <w:tc>
          <w:tcPr>
            <w:tcW w:w="1059" w:type="dxa"/>
            <w:tcBorders>
              <w:top w:val="single" w:sz="8" w:space="0" w:color="auto"/>
              <w:left w:val="single" w:sz="8" w:space="0" w:color="auto"/>
              <w:bottom w:val="single" w:sz="8" w:space="0" w:color="auto"/>
              <w:right w:val="single" w:sz="8" w:space="0" w:color="auto"/>
            </w:tcBorders>
            <w:shd w:val="clear" w:color="auto" w:fill="FFFFFF"/>
            <w:vAlign w:val="bottom"/>
          </w:tcPr>
          <w:p w14:paraId="2A4B5782" w14:textId="77777777" w:rsidR="008439F7" w:rsidRPr="00F8465B" w:rsidRDefault="008439F7" w:rsidP="00A40E65">
            <w:pPr>
              <w:jc w:val="center"/>
              <w:rPr>
                <w:rFonts w:ascii="Cambria" w:hAnsi="Cambria"/>
                <w:b/>
                <w:bCs/>
                <w:sz w:val="18"/>
                <w:szCs w:val="18"/>
              </w:rPr>
            </w:pPr>
            <w:r w:rsidRPr="00F8465B">
              <w:rPr>
                <w:rFonts w:ascii="Cambria" w:hAnsi="Cambria"/>
                <w:b/>
                <w:bCs/>
                <w:sz w:val="18"/>
                <w:szCs w:val="18"/>
              </w:rPr>
              <w:t>Gastos economato</w:t>
            </w:r>
          </w:p>
        </w:tc>
        <w:tc>
          <w:tcPr>
            <w:tcW w:w="766"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2768E5E1" w14:textId="77777777" w:rsidR="008439F7" w:rsidRPr="00F8465B" w:rsidRDefault="008439F7" w:rsidP="00A40E65">
            <w:pPr>
              <w:jc w:val="center"/>
              <w:rPr>
                <w:rFonts w:ascii="Cambria" w:hAnsi="Cambria"/>
                <w:b/>
                <w:bCs/>
                <w:sz w:val="18"/>
                <w:szCs w:val="18"/>
              </w:rPr>
            </w:pPr>
            <w:r w:rsidRPr="00F8465B">
              <w:rPr>
                <w:rFonts w:ascii="Cambria" w:hAnsi="Cambria"/>
                <w:b/>
                <w:bCs/>
                <w:sz w:val="18"/>
                <w:szCs w:val="18"/>
              </w:rPr>
              <w:t>Total</w:t>
            </w:r>
          </w:p>
        </w:tc>
      </w:tr>
      <w:tr w:rsidR="00C641AC" w:rsidRPr="00F8465B" w14:paraId="440FCFBF" w14:textId="77777777" w:rsidTr="00D45E8F">
        <w:trPr>
          <w:trHeight w:val="270"/>
          <w:jc w:val="center"/>
        </w:trPr>
        <w:tc>
          <w:tcPr>
            <w:tcW w:w="2552"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1CBC5618" w14:textId="5E0F3647" w:rsidR="00C641AC" w:rsidRPr="00F8465B" w:rsidRDefault="00C641AC" w:rsidP="00C641AC">
            <w:pPr>
              <w:jc w:val="left"/>
              <w:rPr>
                <w:rFonts w:ascii="Cambria" w:hAnsi="Cambria"/>
                <w:b/>
                <w:bCs/>
                <w:sz w:val="18"/>
                <w:szCs w:val="18"/>
              </w:rPr>
            </w:pPr>
            <w:r>
              <w:rPr>
                <w:rFonts w:ascii="Cambria" w:hAnsi="Cambria"/>
                <w:b/>
                <w:bCs/>
                <w:sz w:val="18"/>
                <w:szCs w:val="18"/>
              </w:rPr>
              <w:t>Saldo al 31.12.19</w:t>
            </w:r>
          </w:p>
        </w:tc>
        <w:tc>
          <w:tcPr>
            <w:tcW w:w="831"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003F986F" w14:textId="52915367" w:rsidR="00C641AC" w:rsidRDefault="00C641AC" w:rsidP="00C641AC">
            <w:pPr>
              <w:keepLines w:val="0"/>
              <w:widowControl/>
              <w:jc w:val="right"/>
              <w:rPr>
                <w:rFonts w:ascii="Cambria" w:hAnsi="Cambria" w:cs="Arial"/>
                <w:b/>
                <w:bCs/>
                <w:sz w:val="18"/>
                <w:szCs w:val="18"/>
                <w:lang w:val="es-ES"/>
              </w:rPr>
            </w:pPr>
            <w:r>
              <w:rPr>
                <w:rFonts w:ascii="Cambria" w:hAnsi="Cambria" w:cs="Arial"/>
                <w:b/>
                <w:bCs/>
                <w:sz w:val="18"/>
                <w:szCs w:val="18"/>
              </w:rPr>
              <w:t>522</w:t>
            </w:r>
          </w:p>
        </w:tc>
        <w:tc>
          <w:tcPr>
            <w:tcW w:w="807" w:type="dxa"/>
            <w:tcBorders>
              <w:top w:val="single" w:sz="8" w:space="0" w:color="auto"/>
              <w:left w:val="single" w:sz="8" w:space="0" w:color="auto"/>
              <w:bottom w:val="single" w:sz="8" w:space="0" w:color="auto"/>
              <w:right w:val="single" w:sz="8" w:space="0" w:color="auto"/>
            </w:tcBorders>
            <w:shd w:val="clear" w:color="auto" w:fill="FFFFFF"/>
            <w:vAlign w:val="bottom"/>
          </w:tcPr>
          <w:p w14:paraId="22C79944" w14:textId="3696977B" w:rsidR="00C641AC" w:rsidRDefault="00C641AC" w:rsidP="00C641AC">
            <w:pPr>
              <w:jc w:val="right"/>
              <w:rPr>
                <w:rFonts w:ascii="Cambria" w:hAnsi="Cambria" w:cs="Arial"/>
                <w:b/>
                <w:bCs/>
                <w:sz w:val="18"/>
                <w:szCs w:val="18"/>
              </w:rPr>
            </w:pPr>
            <w:r>
              <w:rPr>
                <w:rFonts w:ascii="Cambria" w:hAnsi="Cambria" w:cs="Arial"/>
                <w:b/>
                <w:bCs/>
                <w:sz w:val="18"/>
                <w:szCs w:val="18"/>
              </w:rPr>
              <w:t>4.278</w:t>
            </w:r>
          </w:p>
        </w:tc>
        <w:tc>
          <w:tcPr>
            <w:tcW w:w="1162" w:type="dxa"/>
            <w:tcBorders>
              <w:top w:val="single" w:sz="8" w:space="0" w:color="auto"/>
              <w:left w:val="single" w:sz="8" w:space="0" w:color="auto"/>
              <w:bottom w:val="single" w:sz="8" w:space="0" w:color="auto"/>
              <w:right w:val="single" w:sz="8" w:space="0" w:color="auto"/>
            </w:tcBorders>
            <w:shd w:val="clear" w:color="auto" w:fill="FFFFFF"/>
            <w:vAlign w:val="bottom"/>
          </w:tcPr>
          <w:p w14:paraId="5E4F8F5C" w14:textId="4AD1D547" w:rsidR="00C641AC" w:rsidRDefault="00C641AC" w:rsidP="00C641AC">
            <w:pPr>
              <w:jc w:val="right"/>
              <w:rPr>
                <w:rFonts w:ascii="Cambria" w:hAnsi="Cambria" w:cs="Arial"/>
                <w:b/>
                <w:bCs/>
                <w:sz w:val="18"/>
                <w:szCs w:val="18"/>
              </w:rPr>
            </w:pPr>
            <w:r>
              <w:rPr>
                <w:rFonts w:ascii="Cambria" w:hAnsi="Cambria" w:cs="Arial"/>
                <w:b/>
                <w:bCs/>
                <w:sz w:val="18"/>
                <w:szCs w:val="18"/>
              </w:rPr>
              <w:t>122</w:t>
            </w:r>
          </w:p>
        </w:tc>
        <w:tc>
          <w:tcPr>
            <w:tcW w:w="1065" w:type="dxa"/>
            <w:tcBorders>
              <w:top w:val="single" w:sz="8" w:space="0" w:color="auto"/>
              <w:left w:val="single" w:sz="8" w:space="0" w:color="auto"/>
              <w:bottom w:val="single" w:sz="8" w:space="0" w:color="auto"/>
              <w:right w:val="single" w:sz="8" w:space="0" w:color="auto"/>
            </w:tcBorders>
            <w:shd w:val="clear" w:color="auto" w:fill="FFFFFF"/>
            <w:vAlign w:val="bottom"/>
          </w:tcPr>
          <w:p w14:paraId="2D3B937D" w14:textId="0270A7B6" w:rsidR="00C641AC" w:rsidRDefault="00C641AC" w:rsidP="00C641AC">
            <w:pPr>
              <w:jc w:val="right"/>
              <w:rPr>
                <w:rFonts w:ascii="Cambria" w:hAnsi="Cambria" w:cs="Arial"/>
                <w:b/>
                <w:bCs/>
                <w:sz w:val="18"/>
                <w:szCs w:val="18"/>
              </w:rPr>
            </w:pPr>
            <w:r>
              <w:rPr>
                <w:rFonts w:ascii="Cambria" w:hAnsi="Cambria" w:cs="Arial"/>
                <w:b/>
                <w:bCs/>
                <w:sz w:val="18"/>
                <w:szCs w:val="18"/>
              </w:rPr>
              <w:t>1.090</w:t>
            </w:r>
          </w:p>
        </w:tc>
        <w:tc>
          <w:tcPr>
            <w:tcW w:w="830" w:type="dxa"/>
            <w:tcBorders>
              <w:top w:val="single" w:sz="8" w:space="0" w:color="auto"/>
              <w:left w:val="single" w:sz="8" w:space="0" w:color="auto"/>
              <w:bottom w:val="single" w:sz="8" w:space="0" w:color="auto"/>
              <w:right w:val="single" w:sz="8" w:space="0" w:color="auto"/>
            </w:tcBorders>
            <w:shd w:val="clear" w:color="auto" w:fill="FFFFFF"/>
            <w:vAlign w:val="bottom"/>
          </w:tcPr>
          <w:p w14:paraId="6195FECC" w14:textId="1429C63E" w:rsidR="00C641AC" w:rsidRDefault="00C641AC" w:rsidP="00C641AC">
            <w:pPr>
              <w:jc w:val="right"/>
              <w:rPr>
                <w:rFonts w:ascii="Cambria" w:hAnsi="Cambria" w:cs="Arial"/>
                <w:b/>
                <w:bCs/>
                <w:sz w:val="18"/>
                <w:szCs w:val="18"/>
              </w:rPr>
            </w:pPr>
            <w:r>
              <w:rPr>
                <w:rFonts w:ascii="Cambria" w:hAnsi="Cambria" w:cs="Arial"/>
                <w:b/>
                <w:bCs/>
                <w:sz w:val="18"/>
                <w:szCs w:val="18"/>
              </w:rPr>
              <w:t>79</w:t>
            </w:r>
          </w:p>
        </w:tc>
        <w:tc>
          <w:tcPr>
            <w:tcW w:w="1059" w:type="dxa"/>
            <w:tcBorders>
              <w:top w:val="single" w:sz="8" w:space="0" w:color="auto"/>
              <w:left w:val="single" w:sz="8" w:space="0" w:color="auto"/>
              <w:bottom w:val="single" w:sz="8" w:space="0" w:color="auto"/>
              <w:right w:val="single" w:sz="8" w:space="0" w:color="auto"/>
            </w:tcBorders>
            <w:shd w:val="clear" w:color="auto" w:fill="FFFFFF"/>
            <w:vAlign w:val="bottom"/>
          </w:tcPr>
          <w:p w14:paraId="525CB086" w14:textId="1F6A4320" w:rsidR="00C641AC" w:rsidRPr="004D1211" w:rsidRDefault="00C641AC" w:rsidP="00C641AC">
            <w:pPr>
              <w:jc w:val="right"/>
              <w:rPr>
                <w:rFonts w:ascii="Cambria" w:hAnsi="Cambria" w:cs="Arial"/>
                <w:b/>
                <w:bCs/>
                <w:sz w:val="18"/>
                <w:szCs w:val="18"/>
              </w:rPr>
            </w:pPr>
            <w:r w:rsidRPr="004D1211">
              <w:rPr>
                <w:rFonts w:ascii="Cambria" w:hAnsi="Cambria" w:cs="Arial"/>
                <w:b/>
                <w:bCs/>
                <w:sz w:val="18"/>
                <w:szCs w:val="18"/>
              </w:rPr>
              <w:t>1.511</w:t>
            </w:r>
          </w:p>
        </w:tc>
        <w:tc>
          <w:tcPr>
            <w:tcW w:w="766"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48ECEB68" w14:textId="27E2EA50" w:rsidR="00C641AC" w:rsidRPr="004D1211" w:rsidRDefault="00C641AC" w:rsidP="00C641AC">
            <w:pPr>
              <w:jc w:val="right"/>
              <w:rPr>
                <w:rFonts w:ascii="Cambria" w:hAnsi="Cambria" w:cs="Arial"/>
                <w:b/>
                <w:bCs/>
                <w:sz w:val="18"/>
                <w:szCs w:val="18"/>
              </w:rPr>
            </w:pPr>
            <w:r w:rsidRPr="004D1211">
              <w:rPr>
                <w:rFonts w:ascii="Cambria" w:hAnsi="Cambria" w:cs="Arial"/>
                <w:b/>
                <w:bCs/>
                <w:sz w:val="18"/>
                <w:szCs w:val="18"/>
              </w:rPr>
              <w:t>7.602</w:t>
            </w:r>
          </w:p>
        </w:tc>
      </w:tr>
      <w:tr w:rsidR="004A2C0D" w:rsidRPr="00F8465B" w14:paraId="360E5A20" w14:textId="77777777" w:rsidTr="00D45E8F">
        <w:trPr>
          <w:trHeight w:val="255"/>
          <w:jc w:val="center"/>
        </w:trPr>
        <w:tc>
          <w:tcPr>
            <w:tcW w:w="2552" w:type="dxa"/>
            <w:tcBorders>
              <w:top w:val="nil"/>
              <w:left w:val="single" w:sz="8" w:space="0" w:color="auto"/>
              <w:bottom w:val="nil"/>
              <w:right w:val="single" w:sz="8" w:space="0" w:color="auto"/>
            </w:tcBorders>
            <w:shd w:val="clear" w:color="auto" w:fill="FFFFFF"/>
            <w:noWrap/>
            <w:vAlign w:val="bottom"/>
          </w:tcPr>
          <w:p w14:paraId="2DA1997F" w14:textId="77777777" w:rsidR="004A2C0D" w:rsidRPr="00F8465B" w:rsidRDefault="004A2C0D" w:rsidP="004A2C0D">
            <w:pPr>
              <w:rPr>
                <w:rFonts w:ascii="Cambria" w:hAnsi="Cambria"/>
                <w:sz w:val="18"/>
                <w:szCs w:val="18"/>
              </w:rPr>
            </w:pPr>
            <w:r w:rsidRPr="00F8465B">
              <w:rPr>
                <w:rFonts w:ascii="Cambria" w:hAnsi="Cambria"/>
                <w:sz w:val="18"/>
                <w:szCs w:val="18"/>
              </w:rPr>
              <w:t>Fondos Propios</w:t>
            </w:r>
          </w:p>
        </w:tc>
        <w:tc>
          <w:tcPr>
            <w:tcW w:w="831" w:type="dxa"/>
            <w:tcBorders>
              <w:top w:val="nil"/>
              <w:left w:val="nil"/>
              <w:bottom w:val="nil"/>
              <w:right w:val="single" w:sz="8" w:space="0" w:color="auto"/>
            </w:tcBorders>
            <w:shd w:val="clear" w:color="auto" w:fill="FFFFFF" w:themeFill="background1"/>
            <w:vAlign w:val="center"/>
          </w:tcPr>
          <w:p w14:paraId="2B8A5F13" w14:textId="2AB9934E" w:rsidR="004A2C0D" w:rsidRDefault="00B93AE4" w:rsidP="004A2C0D">
            <w:pPr>
              <w:jc w:val="center"/>
              <w:rPr>
                <w:rFonts w:ascii="Cambria" w:hAnsi="Cambria" w:cs="Arial"/>
                <w:sz w:val="18"/>
                <w:szCs w:val="18"/>
              </w:rPr>
            </w:pPr>
            <w:r>
              <w:rPr>
                <w:rFonts w:ascii="Cambria" w:hAnsi="Cambria" w:cs="Arial"/>
                <w:sz w:val="18"/>
                <w:szCs w:val="18"/>
              </w:rPr>
              <w:t>-</w:t>
            </w:r>
          </w:p>
        </w:tc>
        <w:tc>
          <w:tcPr>
            <w:tcW w:w="807" w:type="dxa"/>
            <w:tcBorders>
              <w:top w:val="nil"/>
              <w:left w:val="single" w:sz="8" w:space="0" w:color="auto"/>
              <w:bottom w:val="nil"/>
              <w:right w:val="single" w:sz="8" w:space="0" w:color="auto"/>
            </w:tcBorders>
            <w:shd w:val="clear" w:color="auto" w:fill="FFFFFF" w:themeFill="background1"/>
            <w:vAlign w:val="center"/>
          </w:tcPr>
          <w:p w14:paraId="766E2FBE" w14:textId="3516F42A" w:rsidR="004A2C0D" w:rsidRDefault="00B93AE4" w:rsidP="004A2C0D">
            <w:pPr>
              <w:jc w:val="right"/>
              <w:rPr>
                <w:rFonts w:ascii="Cambria" w:hAnsi="Cambria" w:cs="Arial"/>
                <w:sz w:val="18"/>
                <w:szCs w:val="18"/>
              </w:rPr>
            </w:pPr>
            <w:r>
              <w:rPr>
                <w:rFonts w:ascii="Cambria" w:hAnsi="Cambria" w:cs="Arial"/>
                <w:sz w:val="18"/>
                <w:szCs w:val="18"/>
              </w:rPr>
              <w:t>(20)</w:t>
            </w:r>
          </w:p>
        </w:tc>
        <w:tc>
          <w:tcPr>
            <w:tcW w:w="1162" w:type="dxa"/>
            <w:tcBorders>
              <w:top w:val="nil"/>
              <w:left w:val="single" w:sz="8" w:space="0" w:color="auto"/>
              <w:bottom w:val="nil"/>
              <w:right w:val="single" w:sz="8" w:space="0" w:color="auto"/>
            </w:tcBorders>
            <w:shd w:val="clear" w:color="auto" w:fill="FFFFFF" w:themeFill="background1"/>
            <w:vAlign w:val="center"/>
          </w:tcPr>
          <w:p w14:paraId="7C2A960A" w14:textId="1EEFE528" w:rsidR="004A2C0D" w:rsidRDefault="00B93AE4" w:rsidP="00B93AE4">
            <w:pPr>
              <w:jc w:val="center"/>
              <w:rPr>
                <w:rFonts w:ascii="Cambria" w:hAnsi="Cambria" w:cs="Arial"/>
                <w:sz w:val="18"/>
                <w:szCs w:val="18"/>
              </w:rPr>
            </w:pPr>
            <w:r>
              <w:rPr>
                <w:rFonts w:ascii="Cambria" w:hAnsi="Cambria" w:cs="Arial"/>
                <w:sz w:val="18"/>
                <w:szCs w:val="18"/>
              </w:rPr>
              <w:t>-</w:t>
            </w:r>
          </w:p>
        </w:tc>
        <w:tc>
          <w:tcPr>
            <w:tcW w:w="1065" w:type="dxa"/>
            <w:tcBorders>
              <w:top w:val="nil"/>
              <w:left w:val="single" w:sz="8" w:space="0" w:color="auto"/>
              <w:bottom w:val="nil"/>
              <w:right w:val="single" w:sz="8" w:space="0" w:color="auto"/>
            </w:tcBorders>
            <w:shd w:val="clear" w:color="auto" w:fill="FFFFFF" w:themeFill="background1"/>
            <w:vAlign w:val="bottom"/>
          </w:tcPr>
          <w:p w14:paraId="08CAEDF4" w14:textId="4D0D9ED2" w:rsidR="004A2C0D" w:rsidRDefault="00B93AE4" w:rsidP="004A2C0D">
            <w:pPr>
              <w:jc w:val="right"/>
              <w:rPr>
                <w:rFonts w:ascii="Cambria" w:hAnsi="Cambria" w:cs="Arial"/>
                <w:sz w:val="18"/>
                <w:szCs w:val="18"/>
              </w:rPr>
            </w:pPr>
            <w:r>
              <w:rPr>
                <w:rFonts w:ascii="Cambria" w:hAnsi="Cambria" w:cs="Arial"/>
                <w:sz w:val="18"/>
                <w:szCs w:val="18"/>
              </w:rPr>
              <w:t>14</w:t>
            </w:r>
          </w:p>
        </w:tc>
        <w:tc>
          <w:tcPr>
            <w:tcW w:w="830" w:type="dxa"/>
            <w:tcBorders>
              <w:top w:val="nil"/>
              <w:left w:val="single" w:sz="8" w:space="0" w:color="auto"/>
              <w:bottom w:val="nil"/>
              <w:right w:val="single" w:sz="8" w:space="0" w:color="auto"/>
            </w:tcBorders>
            <w:shd w:val="clear" w:color="auto" w:fill="FFFFFF" w:themeFill="background1"/>
            <w:vAlign w:val="center"/>
          </w:tcPr>
          <w:p w14:paraId="6C1767E7" w14:textId="59E10E3C" w:rsidR="004A2C0D" w:rsidRDefault="004D1211" w:rsidP="004A2C0D">
            <w:pPr>
              <w:jc w:val="center"/>
              <w:rPr>
                <w:rFonts w:ascii="Cambria" w:hAnsi="Cambria" w:cs="Arial"/>
                <w:sz w:val="18"/>
                <w:szCs w:val="18"/>
              </w:rPr>
            </w:pPr>
            <w:r>
              <w:rPr>
                <w:rFonts w:ascii="Cambria" w:hAnsi="Cambria" w:cs="Arial"/>
                <w:sz w:val="18"/>
                <w:szCs w:val="18"/>
              </w:rPr>
              <w:t>-</w:t>
            </w:r>
          </w:p>
        </w:tc>
        <w:tc>
          <w:tcPr>
            <w:tcW w:w="1059" w:type="dxa"/>
            <w:tcBorders>
              <w:top w:val="nil"/>
              <w:left w:val="single" w:sz="8" w:space="0" w:color="auto"/>
              <w:bottom w:val="nil"/>
              <w:right w:val="single" w:sz="8" w:space="0" w:color="auto"/>
            </w:tcBorders>
            <w:shd w:val="clear" w:color="auto" w:fill="FFFFFF" w:themeFill="background1"/>
            <w:vAlign w:val="center"/>
          </w:tcPr>
          <w:p w14:paraId="58FA06F2" w14:textId="65F8A077" w:rsidR="004A2C0D" w:rsidRPr="004D1211" w:rsidRDefault="0051476D" w:rsidP="0051476D">
            <w:pPr>
              <w:jc w:val="right"/>
              <w:rPr>
                <w:rFonts w:ascii="Cambria" w:hAnsi="Cambria" w:cs="Arial"/>
                <w:sz w:val="18"/>
                <w:szCs w:val="18"/>
              </w:rPr>
            </w:pPr>
            <w:r>
              <w:rPr>
                <w:rFonts w:ascii="Cambria" w:hAnsi="Cambria" w:cs="Arial"/>
                <w:sz w:val="18"/>
                <w:szCs w:val="18"/>
              </w:rPr>
              <w:t>(7)</w:t>
            </w:r>
          </w:p>
        </w:tc>
        <w:tc>
          <w:tcPr>
            <w:tcW w:w="766" w:type="dxa"/>
            <w:tcBorders>
              <w:top w:val="nil"/>
              <w:left w:val="single" w:sz="8" w:space="0" w:color="auto"/>
              <w:bottom w:val="nil"/>
              <w:right w:val="single" w:sz="8" w:space="0" w:color="auto"/>
            </w:tcBorders>
            <w:shd w:val="clear" w:color="auto" w:fill="FFFFFF" w:themeFill="background1"/>
            <w:vAlign w:val="center"/>
          </w:tcPr>
          <w:p w14:paraId="0AE95FD6" w14:textId="0F8B914B" w:rsidR="004A2C0D" w:rsidRPr="0051476D" w:rsidRDefault="0051476D" w:rsidP="000D558E">
            <w:pPr>
              <w:jc w:val="right"/>
              <w:rPr>
                <w:rFonts w:ascii="Cambria" w:hAnsi="Cambria" w:cs="Arial"/>
                <w:sz w:val="18"/>
                <w:szCs w:val="18"/>
              </w:rPr>
            </w:pPr>
            <w:r>
              <w:rPr>
                <w:rFonts w:ascii="Cambria" w:hAnsi="Cambria" w:cs="Arial"/>
                <w:sz w:val="18"/>
                <w:szCs w:val="18"/>
              </w:rPr>
              <w:t>(13)</w:t>
            </w:r>
          </w:p>
        </w:tc>
      </w:tr>
      <w:tr w:rsidR="004A2C0D" w:rsidRPr="00F8465B" w14:paraId="7EBCDD82" w14:textId="77777777" w:rsidTr="00B93AE4">
        <w:trPr>
          <w:trHeight w:val="270"/>
          <w:jc w:val="center"/>
        </w:trPr>
        <w:tc>
          <w:tcPr>
            <w:tcW w:w="2552" w:type="dxa"/>
            <w:tcBorders>
              <w:top w:val="nil"/>
              <w:left w:val="single" w:sz="8" w:space="0" w:color="auto"/>
              <w:right w:val="single" w:sz="8" w:space="0" w:color="auto"/>
            </w:tcBorders>
            <w:shd w:val="clear" w:color="auto" w:fill="FFFFFF"/>
            <w:noWrap/>
            <w:vAlign w:val="bottom"/>
          </w:tcPr>
          <w:p w14:paraId="193C2A47" w14:textId="4FC32CFD" w:rsidR="004A2C0D" w:rsidRPr="00F8465B" w:rsidRDefault="00B93AE4" w:rsidP="004A2C0D">
            <w:pPr>
              <w:rPr>
                <w:rFonts w:ascii="Cambria" w:hAnsi="Cambria"/>
                <w:sz w:val="18"/>
                <w:szCs w:val="18"/>
              </w:rPr>
            </w:pPr>
            <w:r>
              <w:rPr>
                <w:rFonts w:ascii="Cambria" w:hAnsi="Cambria"/>
                <w:sz w:val="18"/>
                <w:szCs w:val="18"/>
              </w:rPr>
              <w:t>Excesos</w:t>
            </w:r>
            <w:r w:rsidR="00887E18">
              <w:rPr>
                <w:rFonts w:ascii="Cambria" w:hAnsi="Cambria"/>
                <w:sz w:val="18"/>
                <w:szCs w:val="18"/>
              </w:rPr>
              <w:t xml:space="preserve"> </w:t>
            </w:r>
            <w:r w:rsidR="00887E18" w:rsidRPr="004D1211">
              <w:rPr>
                <w:rFonts w:ascii="Cambria" w:hAnsi="Cambria" w:cs="Arial"/>
                <w:sz w:val="18"/>
                <w:szCs w:val="18"/>
                <w:lang w:val="es-ES"/>
              </w:rPr>
              <w:t>(Nota 13.3)</w:t>
            </w:r>
          </w:p>
        </w:tc>
        <w:tc>
          <w:tcPr>
            <w:tcW w:w="831" w:type="dxa"/>
            <w:tcBorders>
              <w:top w:val="nil"/>
              <w:left w:val="nil"/>
              <w:right w:val="nil"/>
            </w:tcBorders>
            <w:shd w:val="clear" w:color="auto" w:fill="FFFFFF" w:themeFill="background1"/>
            <w:noWrap/>
            <w:vAlign w:val="center"/>
          </w:tcPr>
          <w:p w14:paraId="342E9646" w14:textId="43CE9384" w:rsidR="004A2C0D" w:rsidRDefault="00B93AE4" w:rsidP="00817521">
            <w:pPr>
              <w:jc w:val="right"/>
              <w:rPr>
                <w:rFonts w:ascii="Cambria" w:hAnsi="Cambria" w:cs="Arial"/>
                <w:sz w:val="18"/>
                <w:szCs w:val="18"/>
              </w:rPr>
            </w:pPr>
            <w:r>
              <w:rPr>
                <w:rFonts w:ascii="Cambria" w:hAnsi="Cambria" w:cs="Arial"/>
                <w:sz w:val="18"/>
                <w:szCs w:val="18"/>
              </w:rPr>
              <w:t>(</w:t>
            </w:r>
            <w:r w:rsidR="00077F1B">
              <w:rPr>
                <w:rFonts w:ascii="Cambria" w:hAnsi="Cambria" w:cs="Arial"/>
                <w:sz w:val="18"/>
                <w:szCs w:val="18"/>
              </w:rPr>
              <w:t>62</w:t>
            </w:r>
            <w:r>
              <w:rPr>
                <w:rFonts w:ascii="Cambria" w:hAnsi="Cambria" w:cs="Arial"/>
                <w:sz w:val="18"/>
                <w:szCs w:val="18"/>
              </w:rPr>
              <w:t>)</w:t>
            </w:r>
          </w:p>
        </w:tc>
        <w:tc>
          <w:tcPr>
            <w:tcW w:w="807" w:type="dxa"/>
            <w:tcBorders>
              <w:top w:val="nil"/>
              <w:left w:val="single" w:sz="8" w:space="0" w:color="auto"/>
              <w:right w:val="single" w:sz="8" w:space="0" w:color="auto"/>
            </w:tcBorders>
            <w:shd w:val="clear" w:color="auto" w:fill="FFFFFF" w:themeFill="background1"/>
            <w:vAlign w:val="bottom"/>
          </w:tcPr>
          <w:p w14:paraId="7A47C2E8" w14:textId="2DFFAA64" w:rsidR="004A2C0D" w:rsidRDefault="00B93AE4" w:rsidP="00B93AE4">
            <w:pPr>
              <w:jc w:val="center"/>
              <w:rPr>
                <w:rFonts w:ascii="Cambria" w:hAnsi="Cambria" w:cs="Arial"/>
                <w:sz w:val="18"/>
                <w:szCs w:val="18"/>
              </w:rPr>
            </w:pPr>
            <w:r>
              <w:rPr>
                <w:rFonts w:ascii="Cambria" w:hAnsi="Cambria" w:cs="Arial"/>
                <w:sz w:val="18"/>
                <w:szCs w:val="18"/>
              </w:rPr>
              <w:t>-</w:t>
            </w:r>
          </w:p>
        </w:tc>
        <w:tc>
          <w:tcPr>
            <w:tcW w:w="1162" w:type="dxa"/>
            <w:tcBorders>
              <w:top w:val="nil"/>
              <w:left w:val="single" w:sz="8" w:space="0" w:color="auto"/>
              <w:right w:val="single" w:sz="8" w:space="0" w:color="auto"/>
            </w:tcBorders>
            <w:shd w:val="clear" w:color="auto" w:fill="FFFFFF" w:themeFill="background1"/>
            <w:vAlign w:val="center"/>
          </w:tcPr>
          <w:p w14:paraId="2E0D496D" w14:textId="7C4A4BE2" w:rsidR="004A2C0D" w:rsidRDefault="00B93AE4" w:rsidP="00B93AE4">
            <w:pPr>
              <w:jc w:val="center"/>
              <w:rPr>
                <w:rFonts w:ascii="Cambria" w:hAnsi="Cambria" w:cs="Arial"/>
                <w:sz w:val="18"/>
                <w:szCs w:val="18"/>
              </w:rPr>
            </w:pPr>
            <w:r>
              <w:rPr>
                <w:rFonts w:ascii="Cambria" w:hAnsi="Cambria" w:cs="Arial"/>
                <w:sz w:val="18"/>
                <w:szCs w:val="18"/>
              </w:rPr>
              <w:t>-</w:t>
            </w:r>
          </w:p>
        </w:tc>
        <w:tc>
          <w:tcPr>
            <w:tcW w:w="1065" w:type="dxa"/>
            <w:tcBorders>
              <w:top w:val="nil"/>
              <w:left w:val="single" w:sz="8" w:space="0" w:color="auto"/>
              <w:right w:val="single" w:sz="8" w:space="0" w:color="auto"/>
            </w:tcBorders>
            <w:shd w:val="clear" w:color="auto" w:fill="FFFFFF" w:themeFill="background1"/>
            <w:vAlign w:val="bottom"/>
          </w:tcPr>
          <w:p w14:paraId="4EC699E9" w14:textId="39C50029" w:rsidR="004A2C0D" w:rsidRDefault="00B93AE4" w:rsidP="00B93AE4">
            <w:pPr>
              <w:jc w:val="center"/>
              <w:rPr>
                <w:rFonts w:ascii="Cambria" w:hAnsi="Cambria" w:cs="Arial"/>
                <w:sz w:val="18"/>
                <w:szCs w:val="18"/>
              </w:rPr>
            </w:pPr>
            <w:r>
              <w:rPr>
                <w:rFonts w:ascii="Cambria" w:hAnsi="Cambria" w:cs="Arial"/>
                <w:sz w:val="18"/>
                <w:szCs w:val="18"/>
              </w:rPr>
              <w:t>-</w:t>
            </w:r>
          </w:p>
        </w:tc>
        <w:tc>
          <w:tcPr>
            <w:tcW w:w="830" w:type="dxa"/>
            <w:tcBorders>
              <w:top w:val="nil"/>
              <w:left w:val="single" w:sz="8" w:space="0" w:color="auto"/>
              <w:right w:val="single" w:sz="8" w:space="0" w:color="auto"/>
            </w:tcBorders>
            <w:shd w:val="clear" w:color="auto" w:fill="FFFFFF" w:themeFill="background1"/>
            <w:vAlign w:val="bottom"/>
          </w:tcPr>
          <w:p w14:paraId="340B6C24" w14:textId="5A9E13AC" w:rsidR="004A2C0D" w:rsidRDefault="004D1211" w:rsidP="004D1211">
            <w:pPr>
              <w:jc w:val="center"/>
              <w:rPr>
                <w:rFonts w:ascii="Cambria" w:hAnsi="Cambria" w:cs="Arial"/>
                <w:sz w:val="18"/>
                <w:szCs w:val="18"/>
              </w:rPr>
            </w:pPr>
            <w:r>
              <w:rPr>
                <w:rFonts w:ascii="Cambria" w:hAnsi="Cambria" w:cs="Arial"/>
                <w:sz w:val="18"/>
                <w:szCs w:val="18"/>
              </w:rPr>
              <w:t>-</w:t>
            </w:r>
          </w:p>
        </w:tc>
        <w:tc>
          <w:tcPr>
            <w:tcW w:w="1059" w:type="dxa"/>
            <w:tcBorders>
              <w:top w:val="nil"/>
              <w:left w:val="single" w:sz="8" w:space="0" w:color="auto"/>
              <w:right w:val="single" w:sz="8" w:space="0" w:color="auto"/>
            </w:tcBorders>
            <w:shd w:val="clear" w:color="auto" w:fill="FFFFFF" w:themeFill="background1"/>
            <w:vAlign w:val="bottom"/>
          </w:tcPr>
          <w:p w14:paraId="35407B84" w14:textId="587F7280" w:rsidR="004A2C0D" w:rsidRPr="004D1211" w:rsidRDefault="0051476D" w:rsidP="0051476D">
            <w:pPr>
              <w:jc w:val="center"/>
              <w:rPr>
                <w:rFonts w:ascii="Cambria" w:hAnsi="Cambria" w:cs="Arial"/>
                <w:sz w:val="18"/>
                <w:szCs w:val="18"/>
                <w:highlight w:val="yellow"/>
              </w:rPr>
            </w:pPr>
            <w:r w:rsidRPr="0051476D">
              <w:rPr>
                <w:rFonts w:ascii="Cambria" w:hAnsi="Cambria" w:cs="Arial"/>
                <w:sz w:val="18"/>
                <w:szCs w:val="18"/>
              </w:rPr>
              <w:t>-</w:t>
            </w:r>
          </w:p>
        </w:tc>
        <w:tc>
          <w:tcPr>
            <w:tcW w:w="766" w:type="dxa"/>
            <w:tcBorders>
              <w:top w:val="nil"/>
              <w:left w:val="single" w:sz="8" w:space="0" w:color="auto"/>
              <w:right w:val="single" w:sz="8" w:space="0" w:color="auto"/>
            </w:tcBorders>
            <w:shd w:val="clear" w:color="auto" w:fill="FFFFFF" w:themeFill="background1"/>
            <w:noWrap/>
            <w:vAlign w:val="bottom"/>
          </w:tcPr>
          <w:p w14:paraId="05CF5A03" w14:textId="1942E784" w:rsidR="004A2C0D" w:rsidRPr="0051476D" w:rsidRDefault="004D1211" w:rsidP="004A2C0D">
            <w:pPr>
              <w:jc w:val="right"/>
              <w:rPr>
                <w:rFonts w:ascii="Cambria" w:hAnsi="Cambria" w:cs="Arial"/>
                <w:sz w:val="18"/>
                <w:szCs w:val="18"/>
              </w:rPr>
            </w:pPr>
            <w:r w:rsidRPr="0051476D">
              <w:rPr>
                <w:rFonts w:ascii="Cambria" w:hAnsi="Cambria" w:cs="Arial"/>
                <w:sz w:val="18"/>
                <w:szCs w:val="18"/>
              </w:rPr>
              <w:t>(</w:t>
            </w:r>
            <w:r w:rsidR="0051476D" w:rsidRPr="0051476D">
              <w:rPr>
                <w:rFonts w:ascii="Cambria" w:hAnsi="Cambria" w:cs="Arial"/>
                <w:sz w:val="18"/>
                <w:szCs w:val="18"/>
              </w:rPr>
              <w:t>62</w:t>
            </w:r>
            <w:r w:rsidRPr="0051476D">
              <w:rPr>
                <w:rFonts w:ascii="Cambria" w:hAnsi="Cambria" w:cs="Arial"/>
                <w:sz w:val="18"/>
                <w:szCs w:val="18"/>
              </w:rPr>
              <w:t>)</w:t>
            </w:r>
          </w:p>
        </w:tc>
      </w:tr>
      <w:tr w:rsidR="00B93AE4" w:rsidRPr="00F8465B" w14:paraId="7A30BA38" w14:textId="77777777" w:rsidTr="00B93AE4">
        <w:trPr>
          <w:trHeight w:val="270"/>
          <w:jc w:val="center"/>
        </w:trPr>
        <w:tc>
          <w:tcPr>
            <w:tcW w:w="2552" w:type="dxa"/>
            <w:tcBorders>
              <w:left w:val="single" w:sz="8" w:space="0" w:color="auto"/>
              <w:bottom w:val="single" w:sz="4" w:space="0" w:color="auto"/>
              <w:right w:val="single" w:sz="8" w:space="0" w:color="auto"/>
            </w:tcBorders>
            <w:shd w:val="clear" w:color="auto" w:fill="FFFFFF"/>
            <w:noWrap/>
            <w:vAlign w:val="bottom"/>
          </w:tcPr>
          <w:p w14:paraId="2E8ABBD0" w14:textId="15C99B63" w:rsidR="00B93AE4" w:rsidRPr="00F8465B" w:rsidRDefault="00B93AE4" w:rsidP="00B93AE4">
            <w:pPr>
              <w:jc w:val="left"/>
              <w:rPr>
                <w:rFonts w:ascii="Cambria" w:hAnsi="Cambria"/>
                <w:b/>
                <w:bCs/>
                <w:sz w:val="18"/>
                <w:szCs w:val="18"/>
              </w:rPr>
            </w:pPr>
            <w:r w:rsidRPr="00F8465B">
              <w:rPr>
                <w:rFonts w:ascii="Cambria" w:hAnsi="Cambria"/>
                <w:sz w:val="18"/>
                <w:szCs w:val="18"/>
              </w:rPr>
              <w:t>Traspasos</w:t>
            </w:r>
          </w:p>
        </w:tc>
        <w:tc>
          <w:tcPr>
            <w:tcW w:w="831" w:type="dxa"/>
            <w:tcBorders>
              <w:left w:val="single" w:sz="8" w:space="0" w:color="auto"/>
              <w:bottom w:val="single" w:sz="4" w:space="0" w:color="auto"/>
              <w:right w:val="nil"/>
            </w:tcBorders>
            <w:shd w:val="clear" w:color="auto" w:fill="FFFFFF" w:themeFill="background1"/>
            <w:noWrap/>
            <w:vAlign w:val="center"/>
          </w:tcPr>
          <w:p w14:paraId="1B53F082" w14:textId="3BF4764A" w:rsidR="00B93AE4" w:rsidRPr="00B93AE4" w:rsidRDefault="00077F1B" w:rsidP="00077F1B">
            <w:pPr>
              <w:jc w:val="right"/>
              <w:rPr>
                <w:rFonts w:ascii="Cambria" w:hAnsi="Cambria" w:cs="Arial"/>
                <w:sz w:val="18"/>
                <w:szCs w:val="18"/>
              </w:rPr>
            </w:pPr>
            <w:r>
              <w:rPr>
                <w:rFonts w:ascii="Cambria" w:hAnsi="Cambria" w:cs="Arial"/>
                <w:sz w:val="18"/>
                <w:szCs w:val="18"/>
              </w:rPr>
              <w:t>3</w:t>
            </w:r>
          </w:p>
        </w:tc>
        <w:tc>
          <w:tcPr>
            <w:tcW w:w="807" w:type="dxa"/>
            <w:tcBorders>
              <w:left w:val="single" w:sz="8" w:space="0" w:color="auto"/>
              <w:bottom w:val="single" w:sz="4" w:space="0" w:color="auto"/>
              <w:right w:val="single" w:sz="8" w:space="0" w:color="auto"/>
            </w:tcBorders>
            <w:shd w:val="clear" w:color="auto" w:fill="FFFFFF" w:themeFill="background1"/>
            <w:vAlign w:val="bottom"/>
          </w:tcPr>
          <w:p w14:paraId="7E3E6BD0" w14:textId="601AEB9F" w:rsidR="00B93AE4" w:rsidRPr="00B93AE4" w:rsidRDefault="00B93AE4" w:rsidP="00B93AE4">
            <w:pPr>
              <w:jc w:val="right"/>
              <w:rPr>
                <w:rFonts w:ascii="Cambria" w:hAnsi="Cambria" w:cs="Arial"/>
                <w:sz w:val="18"/>
                <w:szCs w:val="18"/>
              </w:rPr>
            </w:pPr>
            <w:r>
              <w:rPr>
                <w:rFonts w:ascii="Cambria" w:hAnsi="Cambria" w:cs="Arial"/>
                <w:sz w:val="18"/>
                <w:szCs w:val="18"/>
              </w:rPr>
              <w:t>(1.46</w:t>
            </w:r>
            <w:r w:rsidR="00077F1B">
              <w:rPr>
                <w:rFonts w:ascii="Cambria" w:hAnsi="Cambria" w:cs="Arial"/>
                <w:sz w:val="18"/>
                <w:szCs w:val="18"/>
              </w:rPr>
              <w:t>9</w:t>
            </w:r>
            <w:r>
              <w:rPr>
                <w:rFonts w:ascii="Cambria" w:hAnsi="Cambria" w:cs="Arial"/>
                <w:sz w:val="18"/>
                <w:szCs w:val="18"/>
              </w:rPr>
              <w:t>)</w:t>
            </w:r>
          </w:p>
        </w:tc>
        <w:tc>
          <w:tcPr>
            <w:tcW w:w="1162" w:type="dxa"/>
            <w:tcBorders>
              <w:left w:val="single" w:sz="8" w:space="0" w:color="auto"/>
              <w:bottom w:val="single" w:sz="4" w:space="0" w:color="auto"/>
              <w:right w:val="single" w:sz="8" w:space="0" w:color="auto"/>
            </w:tcBorders>
            <w:shd w:val="clear" w:color="auto" w:fill="FFFFFF" w:themeFill="background1"/>
            <w:vAlign w:val="center"/>
          </w:tcPr>
          <w:p w14:paraId="3BBAFA6E" w14:textId="2AD094F9" w:rsidR="00B93AE4" w:rsidRPr="004D1211" w:rsidRDefault="00B93AE4" w:rsidP="00B93AE4">
            <w:pPr>
              <w:jc w:val="right"/>
              <w:rPr>
                <w:rFonts w:ascii="Cambria" w:hAnsi="Cambria" w:cs="Arial"/>
                <w:sz w:val="18"/>
                <w:szCs w:val="18"/>
              </w:rPr>
            </w:pPr>
            <w:r w:rsidRPr="004D1211">
              <w:rPr>
                <w:rFonts w:ascii="Cambria" w:hAnsi="Cambria" w:cs="Arial"/>
                <w:sz w:val="18"/>
                <w:szCs w:val="18"/>
              </w:rPr>
              <w:t>(61)</w:t>
            </w:r>
          </w:p>
        </w:tc>
        <w:tc>
          <w:tcPr>
            <w:tcW w:w="1065" w:type="dxa"/>
            <w:tcBorders>
              <w:left w:val="single" w:sz="8" w:space="0" w:color="auto"/>
              <w:bottom w:val="single" w:sz="4" w:space="0" w:color="auto"/>
              <w:right w:val="single" w:sz="8" w:space="0" w:color="auto"/>
            </w:tcBorders>
            <w:shd w:val="clear" w:color="auto" w:fill="FFFFFF" w:themeFill="background1"/>
            <w:vAlign w:val="bottom"/>
          </w:tcPr>
          <w:p w14:paraId="0F262F25" w14:textId="0E48BF85" w:rsidR="00B93AE4" w:rsidRPr="004D1211" w:rsidRDefault="00B93AE4" w:rsidP="00B93AE4">
            <w:pPr>
              <w:jc w:val="right"/>
              <w:rPr>
                <w:rFonts w:ascii="Cambria" w:hAnsi="Cambria" w:cs="Arial"/>
                <w:sz w:val="18"/>
                <w:szCs w:val="18"/>
              </w:rPr>
            </w:pPr>
            <w:r w:rsidRPr="004D1211">
              <w:rPr>
                <w:rFonts w:ascii="Cambria" w:hAnsi="Cambria" w:cs="Arial"/>
                <w:sz w:val="18"/>
                <w:szCs w:val="18"/>
              </w:rPr>
              <w:t>(227)</w:t>
            </w:r>
          </w:p>
        </w:tc>
        <w:tc>
          <w:tcPr>
            <w:tcW w:w="830" w:type="dxa"/>
            <w:tcBorders>
              <w:left w:val="single" w:sz="8" w:space="0" w:color="auto"/>
              <w:bottom w:val="single" w:sz="4" w:space="0" w:color="auto"/>
              <w:right w:val="single" w:sz="8" w:space="0" w:color="auto"/>
            </w:tcBorders>
            <w:shd w:val="clear" w:color="auto" w:fill="FFFFFF" w:themeFill="background1"/>
            <w:vAlign w:val="bottom"/>
          </w:tcPr>
          <w:p w14:paraId="46EB6878" w14:textId="1EDB1945" w:rsidR="00B93AE4" w:rsidRPr="004D1211" w:rsidRDefault="004D1211" w:rsidP="00B93AE4">
            <w:pPr>
              <w:jc w:val="right"/>
              <w:rPr>
                <w:rFonts w:ascii="Cambria" w:hAnsi="Cambria" w:cs="Arial"/>
                <w:sz w:val="18"/>
                <w:szCs w:val="18"/>
              </w:rPr>
            </w:pPr>
            <w:r w:rsidRPr="004D1211">
              <w:rPr>
                <w:rFonts w:ascii="Cambria" w:hAnsi="Cambria" w:cs="Arial"/>
                <w:sz w:val="18"/>
                <w:szCs w:val="18"/>
              </w:rPr>
              <w:t>(2)</w:t>
            </w:r>
          </w:p>
        </w:tc>
        <w:tc>
          <w:tcPr>
            <w:tcW w:w="1059" w:type="dxa"/>
            <w:tcBorders>
              <w:left w:val="single" w:sz="8" w:space="0" w:color="auto"/>
              <w:bottom w:val="single" w:sz="4" w:space="0" w:color="auto"/>
              <w:right w:val="single" w:sz="8" w:space="0" w:color="auto"/>
            </w:tcBorders>
            <w:shd w:val="clear" w:color="auto" w:fill="FFFFFF" w:themeFill="background1"/>
            <w:vAlign w:val="bottom"/>
          </w:tcPr>
          <w:p w14:paraId="5013AF1D" w14:textId="2D69447E" w:rsidR="00B93AE4" w:rsidRPr="004D1211" w:rsidRDefault="004D1211" w:rsidP="00B93AE4">
            <w:pPr>
              <w:jc w:val="right"/>
              <w:rPr>
                <w:rFonts w:ascii="Cambria" w:hAnsi="Cambria" w:cs="Arial"/>
                <w:sz w:val="18"/>
                <w:szCs w:val="18"/>
              </w:rPr>
            </w:pPr>
            <w:r w:rsidRPr="004D1211">
              <w:rPr>
                <w:rFonts w:ascii="Cambria" w:hAnsi="Cambria" w:cs="Arial"/>
                <w:sz w:val="18"/>
                <w:szCs w:val="18"/>
              </w:rPr>
              <w:t>(25)</w:t>
            </w:r>
          </w:p>
        </w:tc>
        <w:tc>
          <w:tcPr>
            <w:tcW w:w="766" w:type="dxa"/>
            <w:tcBorders>
              <w:left w:val="single" w:sz="8" w:space="0" w:color="auto"/>
              <w:bottom w:val="single" w:sz="4" w:space="0" w:color="auto"/>
              <w:right w:val="single" w:sz="8" w:space="0" w:color="auto"/>
            </w:tcBorders>
            <w:shd w:val="clear" w:color="auto" w:fill="FFFFFF" w:themeFill="background1"/>
            <w:noWrap/>
            <w:vAlign w:val="bottom"/>
          </w:tcPr>
          <w:p w14:paraId="1E31DE7A" w14:textId="340D249A" w:rsidR="00B93AE4" w:rsidRPr="0051476D" w:rsidRDefault="004D1211" w:rsidP="00B93AE4">
            <w:pPr>
              <w:jc w:val="right"/>
              <w:rPr>
                <w:rFonts w:ascii="Cambria" w:hAnsi="Cambria" w:cs="Arial"/>
                <w:sz w:val="18"/>
                <w:szCs w:val="18"/>
              </w:rPr>
            </w:pPr>
            <w:r w:rsidRPr="0051476D">
              <w:rPr>
                <w:rFonts w:ascii="Cambria" w:hAnsi="Cambria" w:cs="Arial"/>
                <w:sz w:val="18"/>
                <w:szCs w:val="18"/>
              </w:rPr>
              <w:t>(1.78</w:t>
            </w:r>
            <w:r w:rsidR="0051476D">
              <w:rPr>
                <w:rFonts w:ascii="Cambria" w:hAnsi="Cambria" w:cs="Arial"/>
                <w:sz w:val="18"/>
                <w:szCs w:val="18"/>
              </w:rPr>
              <w:t>1</w:t>
            </w:r>
            <w:r w:rsidRPr="0051476D">
              <w:rPr>
                <w:rFonts w:ascii="Cambria" w:hAnsi="Cambria" w:cs="Arial"/>
                <w:sz w:val="18"/>
                <w:szCs w:val="18"/>
              </w:rPr>
              <w:t>)</w:t>
            </w:r>
          </w:p>
        </w:tc>
      </w:tr>
      <w:tr w:rsidR="00B93AE4" w:rsidRPr="00F8465B" w14:paraId="3047D6F4" w14:textId="77777777" w:rsidTr="00B93AE4">
        <w:trPr>
          <w:trHeight w:val="270"/>
          <w:jc w:val="center"/>
        </w:trPr>
        <w:tc>
          <w:tcPr>
            <w:tcW w:w="2552" w:type="dxa"/>
            <w:tcBorders>
              <w:top w:val="single" w:sz="4" w:space="0" w:color="auto"/>
              <w:left w:val="single" w:sz="8" w:space="0" w:color="auto"/>
              <w:bottom w:val="single" w:sz="8" w:space="0" w:color="auto"/>
              <w:right w:val="single" w:sz="8" w:space="0" w:color="auto"/>
            </w:tcBorders>
            <w:shd w:val="clear" w:color="auto" w:fill="FFFFFF"/>
            <w:noWrap/>
            <w:vAlign w:val="bottom"/>
          </w:tcPr>
          <w:p w14:paraId="2CEDA66B" w14:textId="725AD5F7" w:rsidR="00B93AE4" w:rsidRDefault="00B93AE4" w:rsidP="00B93AE4">
            <w:pPr>
              <w:jc w:val="left"/>
              <w:rPr>
                <w:rFonts w:ascii="Cambria" w:hAnsi="Cambria"/>
                <w:b/>
                <w:bCs/>
                <w:sz w:val="18"/>
                <w:szCs w:val="18"/>
              </w:rPr>
            </w:pPr>
            <w:r>
              <w:rPr>
                <w:rFonts w:ascii="Cambria" w:hAnsi="Cambria"/>
                <w:b/>
                <w:bCs/>
                <w:sz w:val="18"/>
                <w:szCs w:val="18"/>
              </w:rPr>
              <w:t>Saldo al 31.12.20</w:t>
            </w:r>
          </w:p>
        </w:tc>
        <w:tc>
          <w:tcPr>
            <w:tcW w:w="831" w:type="dxa"/>
            <w:tcBorders>
              <w:top w:val="single" w:sz="4" w:space="0" w:color="auto"/>
              <w:left w:val="single" w:sz="8" w:space="0" w:color="auto"/>
              <w:bottom w:val="single" w:sz="8" w:space="0" w:color="auto"/>
              <w:right w:val="nil"/>
            </w:tcBorders>
            <w:shd w:val="clear" w:color="auto" w:fill="FFFFFF" w:themeFill="background1"/>
            <w:noWrap/>
            <w:vAlign w:val="bottom"/>
          </w:tcPr>
          <w:p w14:paraId="341634FB" w14:textId="22B77697" w:rsidR="00B93AE4" w:rsidRDefault="00B93AE4" w:rsidP="00B93AE4">
            <w:pPr>
              <w:jc w:val="right"/>
              <w:rPr>
                <w:rFonts w:ascii="Cambria" w:hAnsi="Cambria" w:cs="Arial"/>
                <w:b/>
                <w:bCs/>
                <w:sz w:val="18"/>
                <w:szCs w:val="18"/>
              </w:rPr>
            </w:pPr>
            <w:r>
              <w:rPr>
                <w:rFonts w:ascii="Cambria" w:hAnsi="Cambria" w:cs="Arial"/>
                <w:b/>
                <w:bCs/>
                <w:sz w:val="18"/>
                <w:szCs w:val="18"/>
              </w:rPr>
              <w:t>463</w:t>
            </w:r>
          </w:p>
        </w:tc>
        <w:tc>
          <w:tcPr>
            <w:tcW w:w="807" w:type="dxa"/>
            <w:tcBorders>
              <w:top w:val="single" w:sz="4" w:space="0" w:color="auto"/>
              <w:left w:val="single" w:sz="8" w:space="0" w:color="auto"/>
              <w:bottom w:val="single" w:sz="8" w:space="0" w:color="auto"/>
              <w:right w:val="single" w:sz="8" w:space="0" w:color="auto"/>
            </w:tcBorders>
            <w:shd w:val="clear" w:color="auto" w:fill="FFFFFF" w:themeFill="background1"/>
            <w:vAlign w:val="bottom"/>
          </w:tcPr>
          <w:p w14:paraId="52FB606B" w14:textId="2BFAF4C9" w:rsidR="00B93AE4" w:rsidRDefault="00B93AE4" w:rsidP="00B93AE4">
            <w:pPr>
              <w:jc w:val="right"/>
              <w:rPr>
                <w:rFonts w:ascii="Cambria" w:hAnsi="Cambria" w:cs="Arial"/>
                <w:b/>
                <w:bCs/>
                <w:sz w:val="18"/>
                <w:szCs w:val="18"/>
              </w:rPr>
            </w:pPr>
            <w:r>
              <w:rPr>
                <w:rFonts w:ascii="Cambria" w:hAnsi="Cambria" w:cs="Arial"/>
                <w:b/>
                <w:bCs/>
                <w:sz w:val="18"/>
                <w:szCs w:val="18"/>
              </w:rPr>
              <w:t>2.7</w:t>
            </w:r>
            <w:r w:rsidR="00077F1B">
              <w:rPr>
                <w:rFonts w:ascii="Cambria" w:hAnsi="Cambria" w:cs="Arial"/>
                <w:b/>
                <w:bCs/>
                <w:sz w:val="18"/>
                <w:szCs w:val="18"/>
              </w:rPr>
              <w:t>89</w:t>
            </w:r>
          </w:p>
        </w:tc>
        <w:tc>
          <w:tcPr>
            <w:tcW w:w="1162" w:type="dxa"/>
            <w:tcBorders>
              <w:top w:val="single" w:sz="4" w:space="0" w:color="auto"/>
              <w:left w:val="single" w:sz="8" w:space="0" w:color="auto"/>
              <w:bottom w:val="single" w:sz="8" w:space="0" w:color="auto"/>
              <w:right w:val="single" w:sz="8" w:space="0" w:color="auto"/>
            </w:tcBorders>
            <w:shd w:val="clear" w:color="auto" w:fill="FFFFFF" w:themeFill="background1"/>
            <w:vAlign w:val="bottom"/>
          </w:tcPr>
          <w:p w14:paraId="10AEBD8B" w14:textId="51F2ABAC" w:rsidR="00B93AE4" w:rsidRDefault="00B93AE4" w:rsidP="00B93AE4">
            <w:pPr>
              <w:jc w:val="right"/>
              <w:rPr>
                <w:rFonts w:ascii="Cambria" w:hAnsi="Cambria" w:cs="Arial"/>
                <w:b/>
                <w:bCs/>
                <w:sz w:val="18"/>
                <w:szCs w:val="18"/>
              </w:rPr>
            </w:pPr>
            <w:r>
              <w:rPr>
                <w:rFonts w:ascii="Cambria" w:hAnsi="Cambria" w:cs="Arial"/>
                <w:b/>
                <w:bCs/>
                <w:sz w:val="18"/>
                <w:szCs w:val="18"/>
              </w:rPr>
              <w:t>61</w:t>
            </w:r>
          </w:p>
        </w:tc>
        <w:tc>
          <w:tcPr>
            <w:tcW w:w="1065" w:type="dxa"/>
            <w:tcBorders>
              <w:top w:val="single" w:sz="4" w:space="0" w:color="auto"/>
              <w:left w:val="single" w:sz="8" w:space="0" w:color="auto"/>
              <w:bottom w:val="single" w:sz="8" w:space="0" w:color="auto"/>
              <w:right w:val="single" w:sz="8" w:space="0" w:color="auto"/>
            </w:tcBorders>
            <w:shd w:val="clear" w:color="auto" w:fill="FFFFFF" w:themeFill="background1"/>
            <w:vAlign w:val="bottom"/>
          </w:tcPr>
          <w:p w14:paraId="1AAA3AB7" w14:textId="11EDFD5E" w:rsidR="00B93AE4" w:rsidRDefault="00B93AE4" w:rsidP="00B93AE4">
            <w:pPr>
              <w:jc w:val="right"/>
              <w:rPr>
                <w:rFonts w:ascii="Cambria" w:hAnsi="Cambria" w:cs="Arial"/>
                <w:b/>
                <w:bCs/>
                <w:sz w:val="18"/>
                <w:szCs w:val="18"/>
              </w:rPr>
            </w:pPr>
            <w:r>
              <w:rPr>
                <w:rFonts w:ascii="Cambria" w:hAnsi="Cambria" w:cs="Arial"/>
                <w:b/>
                <w:bCs/>
                <w:sz w:val="18"/>
                <w:szCs w:val="18"/>
              </w:rPr>
              <w:t>877</w:t>
            </w:r>
          </w:p>
        </w:tc>
        <w:tc>
          <w:tcPr>
            <w:tcW w:w="830" w:type="dxa"/>
            <w:tcBorders>
              <w:top w:val="single" w:sz="4" w:space="0" w:color="auto"/>
              <w:left w:val="single" w:sz="8" w:space="0" w:color="auto"/>
              <w:bottom w:val="single" w:sz="8" w:space="0" w:color="auto"/>
              <w:right w:val="single" w:sz="8" w:space="0" w:color="auto"/>
            </w:tcBorders>
            <w:shd w:val="clear" w:color="auto" w:fill="FFFFFF" w:themeFill="background1"/>
            <w:vAlign w:val="bottom"/>
          </w:tcPr>
          <w:p w14:paraId="0F9B4152" w14:textId="01E218E1" w:rsidR="00B93AE4" w:rsidRDefault="004D1211" w:rsidP="00B93AE4">
            <w:pPr>
              <w:jc w:val="right"/>
              <w:rPr>
                <w:rFonts w:ascii="Cambria" w:hAnsi="Cambria" w:cs="Arial"/>
                <w:b/>
                <w:bCs/>
                <w:sz w:val="18"/>
                <w:szCs w:val="18"/>
              </w:rPr>
            </w:pPr>
            <w:r>
              <w:rPr>
                <w:rFonts w:ascii="Cambria" w:hAnsi="Cambria" w:cs="Arial"/>
                <w:b/>
                <w:bCs/>
                <w:sz w:val="18"/>
                <w:szCs w:val="18"/>
              </w:rPr>
              <w:t>77</w:t>
            </w:r>
          </w:p>
        </w:tc>
        <w:tc>
          <w:tcPr>
            <w:tcW w:w="1059" w:type="dxa"/>
            <w:tcBorders>
              <w:top w:val="single" w:sz="4" w:space="0" w:color="auto"/>
              <w:left w:val="single" w:sz="8" w:space="0" w:color="auto"/>
              <w:bottom w:val="single" w:sz="8" w:space="0" w:color="auto"/>
              <w:right w:val="single" w:sz="8" w:space="0" w:color="auto"/>
            </w:tcBorders>
            <w:shd w:val="clear" w:color="auto" w:fill="FFFFFF" w:themeFill="background1"/>
            <w:vAlign w:val="bottom"/>
          </w:tcPr>
          <w:p w14:paraId="52259B2A" w14:textId="6C27AEA1" w:rsidR="00B93AE4" w:rsidRPr="004D1211" w:rsidRDefault="0051476D" w:rsidP="00B93AE4">
            <w:pPr>
              <w:jc w:val="right"/>
              <w:rPr>
                <w:rFonts w:ascii="Cambria" w:hAnsi="Cambria" w:cs="Arial"/>
                <w:b/>
                <w:bCs/>
                <w:sz w:val="18"/>
                <w:szCs w:val="18"/>
              </w:rPr>
            </w:pPr>
            <w:r>
              <w:rPr>
                <w:rFonts w:ascii="Cambria" w:hAnsi="Cambria" w:cs="Arial"/>
                <w:b/>
                <w:bCs/>
                <w:sz w:val="18"/>
                <w:szCs w:val="18"/>
              </w:rPr>
              <w:t>1.479</w:t>
            </w:r>
          </w:p>
        </w:tc>
        <w:tc>
          <w:tcPr>
            <w:tcW w:w="766"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07BE72D4" w14:textId="33338292" w:rsidR="00B93AE4" w:rsidRPr="004D1211" w:rsidRDefault="0051476D" w:rsidP="00B93AE4">
            <w:pPr>
              <w:jc w:val="right"/>
              <w:rPr>
                <w:rFonts w:ascii="Cambria" w:hAnsi="Cambria" w:cs="Arial"/>
                <w:b/>
                <w:bCs/>
                <w:sz w:val="18"/>
                <w:szCs w:val="18"/>
              </w:rPr>
            </w:pPr>
            <w:r>
              <w:rPr>
                <w:rFonts w:ascii="Cambria" w:hAnsi="Cambria" w:cs="Arial"/>
                <w:b/>
                <w:bCs/>
                <w:sz w:val="18"/>
                <w:szCs w:val="18"/>
              </w:rPr>
              <w:t>5.746</w:t>
            </w:r>
          </w:p>
        </w:tc>
      </w:tr>
    </w:tbl>
    <w:p w14:paraId="3A64F69F" w14:textId="77777777" w:rsidR="004A2C0D" w:rsidRDefault="004A2C0D" w:rsidP="000B1E3E">
      <w:pPr>
        <w:ind w:left="567"/>
        <w:rPr>
          <w:rFonts w:ascii="Cambria" w:hAnsi="Cambria"/>
          <w:b/>
          <w:sz w:val="24"/>
          <w:szCs w:val="24"/>
          <w:u w:val="single"/>
        </w:rPr>
      </w:pPr>
    </w:p>
    <w:p w14:paraId="4E560A67" w14:textId="77777777" w:rsidR="004A2C0D" w:rsidRPr="004D1211" w:rsidRDefault="004A2C0D" w:rsidP="000B1E3E">
      <w:pPr>
        <w:ind w:left="567"/>
        <w:rPr>
          <w:rFonts w:ascii="Times New Roman" w:hAnsi="Times New Roman"/>
          <w:sz w:val="20"/>
          <w:lang w:val="es-ES"/>
        </w:rPr>
      </w:pPr>
      <w:r w:rsidRPr="004D1211">
        <w:fldChar w:fldCharType="begin"/>
      </w:r>
      <w:r w:rsidRPr="004D1211">
        <w:instrText xml:space="preserve"> LINK Excel.Sheet.12 "\\\\192.168.1.200\\comun\\Archivo\\Control y auditoría\\Auditoría\\Auditoría externa\\2018\\CCAA\\Cuadros memoria Cofivacasa 2018.xlsx" "PROVISIONES PERSONAL PASIVO!F12C1:F19C10" \a \f 4 \h </w:instrText>
      </w:r>
      <w:r w:rsidR="00D8348D" w:rsidRPr="004D1211">
        <w:instrText xml:space="preserve"> \* MERGEFORMAT </w:instrText>
      </w:r>
      <w:r w:rsidRPr="004D1211">
        <w:fldChar w:fldCharType="separate"/>
      </w:r>
    </w:p>
    <w:tbl>
      <w:tblPr>
        <w:tblW w:w="9624" w:type="dxa"/>
        <w:tblCellMar>
          <w:left w:w="70" w:type="dxa"/>
          <w:right w:w="70" w:type="dxa"/>
        </w:tblCellMar>
        <w:tblLook w:val="04A0" w:firstRow="1" w:lastRow="0" w:firstColumn="1" w:lastColumn="0" w:noHBand="0" w:noVBand="1"/>
      </w:tblPr>
      <w:tblGrid>
        <w:gridCol w:w="1920"/>
        <w:gridCol w:w="1244"/>
        <w:gridCol w:w="880"/>
        <w:gridCol w:w="780"/>
        <w:gridCol w:w="760"/>
        <w:gridCol w:w="980"/>
        <w:gridCol w:w="740"/>
        <w:gridCol w:w="820"/>
        <w:gridCol w:w="740"/>
        <w:gridCol w:w="760"/>
      </w:tblGrid>
      <w:tr w:rsidR="000B4321" w:rsidRPr="004D1211" w14:paraId="1A9E9803" w14:textId="77777777" w:rsidTr="00903B1B">
        <w:trPr>
          <w:trHeight w:val="139"/>
        </w:trPr>
        <w:tc>
          <w:tcPr>
            <w:tcW w:w="1920" w:type="dxa"/>
            <w:tcBorders>
              <w:top w:val="nil"/>
              <w:left w:val="nil"/>
              <w:bottom w:val="single" w:sz="8" w:space="0" w:color="auto"/>
              <w:right w:val="single" w:sz="4" w:space="0" w:color="auto"/>
            </w:tcBorders>
            <w:shd w:val="clear" w:color="auto" w:fill="auto"/>
            <w:vAlign w:val="center"/>
            <w:hideMark/>
          </w:tcPr>
          <w:p w14:paraId="55D9E6AF" w14:textId="77777777" w:rsidR="000B4321" w:rsidRPr="004D1211" w:rsidRDefault="000B4321" w:rsidP="004A2C0D">
            <w:pPr>
              <w:keepLines w:val="0"/>
              <w:widowControl/>
              <w:jc w:val="center"/>
              <w:rPr>
                <w:rFonts w:ascii="Cambria" w:hAnsi="Cambria" w:cs="Arial"/>
                <w:sz w:val="18"/>
                <w:szCs w:val="18"/>
                <w:lang w:val="es-ES"/>
              </w:rPr>
            </w:pPr>
            <w:r w:rsidRPr="004D1211">
              <w:rPr>
                <w:rFonts w:ascii="Cambria" w:hAnsi="Cambria" w:cs="Arial"/>
                <w:sz w:val="18"/>
                <w:szCs w:val="18"/>
                <w:lang w:val="es-ES"/>
              </w:rPr>
              <w:t> </w:t>
            </w:r>
          </w:p>
        </w:tc>
        <w:tc>
          <w:tcPr>
            <w:tcW w:w="2124" w:type="dxa"/>
            <w:gridSpan w:val="2"/>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9F6DE90" w14:textId="77777777" w:rsidR="000B4321" w:rsidRPr="004D1211" w:rsidRDefault="000B4321" w:rsidP="000B4321">
            <w:pPr>
              <w:jc w:val="center"/>
              <w:rPr>
                <w:rFonts w:ascii="Cambria" w:hAnsi="Cambria"/>
                <w:b/>
                <w:bCs/>
                <w:sz w:val="18"/>
                <w:szCs w:val="18"/>
              </w:rPr>
            </w:pPr>
            <w:r w:rsidRPr="004D1211">
              <w:rPr>
                <w:rFonts w:ascii="Cambria" w:hAnsi="Cambria"/>
                <w:b/>
                <w:bCs/>
                <w:sz w:val="18"/>
                <w:szCs w:val="18"/>
              </w:rPr>
              <w:t> </w:t>
            </w:r>
          </w:p>
          <w:p w14:paraId="2A14C25E" w14:textId="24F65A67" w:rsidR="000B4321" w:rsidRPr="004D1211" w:rsidRDefault="000B4321" w:rsidP="000B4321">
            <w:pPr>
              <w:jc w:val="center"/>
              <w:rPr>
                <w:rFonts w:ascii="Cambria" w:hAnsi="Cambria"/>
                <w:b/>
                <w:bCs/>
                <w:sz w:val="18"/>
                <w:szCs w:val="18"/>
              </w:rPr>
            </w:pPr>
            <w:r w:rsidRPr="004D1211">
              <w:rPr>
                <w:rFonts w:ascii="Cambria" w:hAnsi="Cambria"/>
                <w:b/>
                <w:bCs/>
                <w:sz w:val="18"/>
                <w:szCs w:val="18"/>
              </w:rPr>
              <w:t>ACENOR</w:t>
            </w:r>
          </w:p>
        </w:tc>
        <w:tc>
          <w:tcPr>
            <w:tcW w:w="1540" w:type="dxa"/>
            <w:gridSpan w:val="2"/>
            <w:tcBorders>
              <w:top w:val="nil"/>
              <w:left w:val="single" w:sz="4" w:space="0" w:color="auto"/>
              <w:bottom w:val="single" w:sz="8" w:space="0" w:color="auto"/>
              <w:right w:val="nil"/>
            </w:tcBorders>
            <w:shd w:val="clear" w:color="000000" w:fill="FFFFFF"/>
            <w:vAlign w:val="center"/>
            <w:hideMark/>
          </w:tcPr>
          <w:p w14:paraId="79714784" w14:textId="77777777" w:rsidR="000B4321" w:rsidRPr="004D1211" w:rsidRDefault="000B4321" w:rsidP="004A2C0D">
            <w:pPr>
              <w:keepLines w:val="0"/>
              <w:widowControl/>
              <w:jc w:val="center"/>
              <w:rPr>
                <w:rFonts w:ascii="Cambria" w:hAnsi="Cambria" w:cs="Arial"/>
                <w:b/>
                <w:bCs/>
                <w:sz w:val="18"/>
                <w:szCs w:val="18"/>
                <w:lang w:val="es-ES"/>
              </w:rPr>
            </w:pPr>
            <w:r w:rsidRPr="004D1211">
              <w:rPr>
                <w:rFonts w:ascii="Cambria" w:hAnsi="Cambria" w:cs="Arial"/>
                <w:b/>
                <w:bCs/>
                <w:sz w:val="18"/>
                <w:szCs w:val="18"/>
                <w:lang w:val="es-ES"/>
              </w:rPr>
              <w:t> </w:t>
            </w:r>
          </w:p>
        </w:tc>
        <w:tc>
          <w:tcPr>
            <w:tcW w:w="328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09D19C13" w14:textId="77777777" w:rsidR="000B4321" w:rsidRPr="004D1211" w:rsidRDefault="000B4321" w:rsidP="004A2C0D">
            <w:pPr>
              <w:keepLines w:val="0"/>
              <w:widowControl/>
              <w:jc w:val="center"/>
              <w:rPr>
                <w:rFonts w:ascii="Cambria" w:hAnsi="Cambria" w:cs="Arial"/>
                <w:b/>
                <w:bCs/>
                <w:sz w:val="18"/>
                <w:szCs w:val="18"/>
                <w:lang w:val="es-ES"/>
              </w:rPr>
            </w:pPr>
            <w:r w:rsidRPr="004D1211">
              <w:rPr>
                <w:rFonts w:ascii="Cambria" w:hAnsi="Cambria" w:cs="Arial"/>
                <w:b/>
                <w:bCs/>
                <w:sz w:val="18"/>
                <w:szCs w:val="18"/>
                <w:lang w:val="es-ES"/>
              </w:rPr>
              <w:t>AEC</w:t>
            </w:r>
          </w:p>
        </w:tc>
        <w:tc>
          <w:tcPr>
            <w:tcW w:w="760" w:type="dxa"/>
            <w:tcBorders>
              <w:top w:val="nil"/>
              <w:left w:val="nil"/>
              <w:bottom w:val="single" w:sz="8" w:space="0" w:color="auto"/>
              <w:right w:val="nil"/>
            </w:tcBorders>
            <w:shd w:val="clear" w:color="000000" w:fill="FFFFFF"/>
            <w:vAlign w:val="center"/>
            <w:hideMark/>
          </w:tcPr>
          <w:p w14:paraId="495D47F7" w14:textId="77777777" w:rsidR="000B4321" w:rsidRPr="004D1211" w:rsidRDefault="000B4321" w:rsidP="004A2C0D">
            <w:pPr>
              <w:keepLines w:val="0"/>
              <w:widowControl/>
              <w:jc w:val="center"/>
              <w:rPr>
                <w:rFonts w:ascii="Cambria" w:hAnsi="Cambria" w:cs="Arial"/>
                <w:b/>
                <w:bCs/>
                <w:sz w:val="18"/>
                <w:szCs w:val="18"/>
                <w:lang w:val="es-ES"/>
              </w:rPr>
            </w:pPr>
            <w:r w:rsidRPr="004D1211">
              <w:rPr>
                <w:rFonts w:ascii="Cambria" w:hAnsi="Cambria" w:cs="Arial"/>
                <w:b/>
                <w:bCs/>
                <w:sz w:val="18"/>
                <w:szCs w:val="18"/>
                <w:lang w:val="es-ES"/>
              </w:rPr>
              <w:t> </w:t>
            </w:r>
          </w:p>
        </w:tc>
      </w:tr>
      <w:tr w:rsidR="004A2C0D" w:rsidRPr="004D1211" w14:paraId="6AA07355" w14:textId="77777777" w:rsidTr="00903B1B">
        <w:trPr>
          <w:trHeight w:val="1035"/>
        </w:trPr>
        <w:tc>
          <w:tcPr>
            <w:tcW w:w="1920" w:type="dxa"/>
            <w:tcBorders>
              <w:top w:val="nil"/>
              <w:left w:val="single" w:sz="8" w:space="0" w:color="auto"/>
              <w:bottom w:val="single" w:sz="8" w:space="0" w:color="auto"/>
              <w:right w:val="nil"/>
            </w:tcBorders>
            <w:shd w:val="clear" w:color="auto" w:fill="auto"/>
            <w:vAlign w:val="center"/>
            <w:hideMark/>
          </w:tcPr>
          <w:p w14:paraId="513A774B" w14:textId="77777777" w:rsidR="004A2C0D" w:rsidRPr="004D1211" w:rsidRDefault="004A2C0D" w:rsidP="004A2C0D">
            <w:pPr>
              <w:keepLines w:val="0"/>
              <w:widowControl/>
              <w:jc w:val="left"/>
              <w:rPr>
                <w:rFonts w:ascii="Cambria" w:hAnsi="Cambria" w:cs="Arial"/>
                <w:b/>
                <w:bCs/>
                <w:sz w:val="18"/>
                <w:szCs w:val="18"/>
                <w:lang w:val="es-ES"/>
              </w:rPr>
            </w:pPr>
            <w:r w:rsidRPr="004D1211">
              <w:rPr>
                <w:rFonts w:ascii="Cambria" w:hAnsi="Cambria" w:cs="Arial"/>
                <w:b/>
                <w:bCs/>
                <w:sz w:val="18"/>
                <w:szCs w:val="18"/>
                <w:lang w:val="es-ES"/>
              </w:rPr>
              <w:t>Obligaciones personal a corto plazo</w:t>
            </w:r>
          </w:p>
        </w:tc>
        <w:tc>
          <w:tcPr>
            <w:tcW w:w="1244" w:type="dxa"/>
            <w:tcBorders>
              <w:top w:val="nil"/>
              <w:left w:val="single" w:sz="8" w:space="0" w:color="auto"/>
              <w:bottom w:val="single" w:sz="8" w:space="0" w:color="auto"/>
              <w:right w:val="single" w:sz="8" w:space="0" w:color="auto"/>
            </w:tcBorders>
            <w:shd w:val="clear" w:color="auto" w:fill="auto"/>
            <w:noWrap/>
            <w:vAlign w:val="center"/>
            <w:hideMark/>
          </w:tcPr>
          <w:p w14:paraId="51701B53" w14:textId="77777777" w:rsidR="008007E8" w:rsidRPr="004D1211" w:rsidRDefault="008007E8" w:rsidP="004A2C0D">
            <w:pPr>
              <w:keepLines w:val="0"/>
              <w:widowControl/>
              <w:jc w:val="center"/>
              <w:rPr>
                <w:rFonts w:ascii="Cambria" w:hAnsi="Cambria" w:cs="Arial"/>
                <w:b/>
                <w:bCs/>
                <w:sz w:val="16"/>
                <w:szCs w:val="18"/>
                <w:lang w:val="es-ES"/>
              </w:rPr>
            </w:pPr>
            <w:r w:rsidRPr="004D1211">
              <w:rPr>
                <w:rFonts w:ascii="Cambria" w:hAnsi="Cambria" w:cs="Arial"/>
                <w:b/>
                <w:bCs/>
                <w:sz w:val="16"/>
                <w:szCs w:val="18"/>
                <w:lang w:val="es-ES"/>
              </w:rPr>
              <w:t>Regularización pólizas</w:t>
            </w:r>
          </w:p>
          <w:p w14:paraId="6AD5F104" w14:textId="77777777" w:rsidR="004A2C0D" w:rsidRPr="004D1211" w:rsidRDefault="008007E8" w:rsidP="004A2C0D">
            <w:pPr>
              <w:keepLines w:val="0"/>
              <w:widowControl/>
              <w:jc w:val="center"/>
              <w:rPr>
                <w:rFonts w:ascii="Cambria" w:hAnsi="Cambria" w:cs="Arial"/>
                <w:b/>
                <w:bCs/>
                <w:sz w:val="16"/>
                <w:szCs w:val="18"/>
                <w:lang w:val="es-ES"/>
              </w:rPr>
            </w:pPr>
            <w:r w:rsidRPr="004D1211">
              <w:rPr>
                <w:rFonts w:ascii="Cambria" w:hAnsi="Cambria" w:cs="Arial"/>
                <w:b/>
                <w:bCs/>
                <w:sz w:val="16"/>
                <w:szCs w:val="18"/>
                <w:lang w:val="es-ES"/>
              </w:rPr>
              <w:t xml:space="preserve"> 111 y 112</w:t>
            </w:r>
          </w:p>
          <w:p w14:paraId="4AFF47AB" w14:textId="09965238" w:rsidR="007E6AFC" w:rsidRPr="004D1211" w:rsidRDefault="00D45E8F" w:rsidP="004A2C0D">
            <w:pPr>
              <w:keepLines w:val="0"/>
              <w:widowControl/>
              <w:jc w:val="center"/>
              <w:rPr>
                <w:rFonts w:ascii="Cambria" w:hAnsi="Cambria" w:cs="Arial"/>
                <w:b/>
                <w:bCs/>
                <w:sz w:val="16"/>
                <w:szCs w:val="16"/>
                <w:lang w:val="es-ES"/>
              </w:rPr>
            </w:pPr>
            <w:r w:rsidRPr="004D1211">
              <w:rPr>
                <w:rFonts w:ascii="Cambria" w:hAnsi="Cambria" w:cs="Arial"/>
                <w:sz w:val="18"/>
                <w:szCs w:val="18"/>
                <w:lang w:val="es-ES"/>
              </w:rPr>
              <w:t>(Nota 13.3</w:t>
            </w:r>
            <w:r w:rsidR="007E6AFC" w:rsidRPr="004D1211">
              <w:rPr>
                <w:rFonts w:ascii="Cambria" w:hAnsi="Cambria" w:cs="Arial"/>
                <w:sz w:val="18"/>
                <w:szCs w:val="18"/>
                <w:lang w:val="es-ES"/>
              </w:rPr>
              <w:t>)</w:t>
            </w:r>
          </w:p>
        </w:tc>
        <w:tc>
          <w:tcPr>
            <w:tcW w:w="880" w:type="dxa"/>
            <w:tcBorders>
              <w:top w:val="nil"/>
              <w:left w:val="nil"/>
              <w:bottom w:val="single" w:sz="8" w:space="0" w:color="auto"/>
              <w:right w:val="single" w:sz="8" w:space="0" w:color="auto"/>
            </w:tcBorders>
            <w:shd w:val="clear" w:color="auto" w:fill="auto"/>
            <w:vAlign w:val="center"/>
            <w:hideMark/>
          </w:tcPr>
          <w:p w14:paraId="3E6D59A4" w14:textId="0D49CA99" w:rsidR="004A2C0D" w:rsidRPr="004D1211" w:rsidRDefault="004A2C0D" w:rsidP="00C40B8E">
            <w:pPr>
              <w:keepLines w:val="0"/>
              <w:widowControl/>
              <w:jc w:val="center"/>
              <w:rPr>
                <w:rFonts w:ascii="Cambria" w:hAnsi="Cambria" w:cs="Arial"/>
                <w:b/>
                <w:bCs/>
                <w:sz w:val="16"/>
                <w:szCs w:val="16"/>
                <w:lang w:val="es-ES"/>
              </w:rPr>
            </w:pPr>
            <w:r w:rsidRPr="004D1211">
              <w:rPr>
                <w:rFonts w:ascii="Cambria" w:hAnsi="Cambria" w:cs="Arial"/>
                <w:b/>
                <w:bCs/>
                <w:sz w:val="16"/>
                <w:szCs w:val="18"/>
                <w:lang w:val="es-ES"/>
              </w:rPr>
              <w:t>Salto a los 60</w:t>
            </w:r>
          </w:p>
        </w:tc>
        <w:tc>
          <w:tcPr>
            <w:tcW w:w="780" w:type="dxa"/>
            <w:tcBorders>
              <w:top w:val="nil"/>
              <w:left w:val="nil"/>
              <w:bottom w:val="single" w:sz="8" w:space="0" w:color="auto"/>
              <w:right w:val="single" w:sz="8" w:space="0" w:color="auto"/>
            </w:tcBorders>
            <w:shd w:val="clear" w:color="auto" w:fill="auto"/>
            <w:vAlign w:val="center"/>
            <w:hideMark/>
          </w:tcPr>
          <w:p w14:paraId="0414BF59" w14:textId="77777777" w:rsidR="004A2C0D" w:rsidRPr="004D1211" w:rsidRDefault="004A2C0D" w:rsidP="004A2C0D">
            <w:pPr>
              <w:keepLines w:val="0"/>
              <w:widowControl/>
              <w:jc w:val="center"/>
              <w:rPr>
                <w:rFonts w:ascii="Cambria" w:hAnsi="Cambria" w:cs="Arial"/>
                <w:b/>
                <w:bCs/>
                <w:sz w:val="16"/>
                <w:szCs w:val="16"/>
                <w:lang w:val="es-ES"/>
              </w:rPr>
            </w:pPr>
            <w:r w:rsidRPr="004D1211">
              <w:rPr>
                <w:rFonts w:ascii="Cambria" w:hAnsi="Cambria" w:cs="Arial"/>
                <w:b/>
                <w:bCs/>
                <w:sz w:val="16"/>
                <w:szCs w:val="18"/>
                <w:lang w:val="es-ES"/>
              </w:rPr>
              <w:t>BWE</w:t>
            </w:r>
          </w:p>
        </w:tc>
        <w:tc>
          <w:tcPr>
            <w:tcW w:w="760" w:type="dxa"/>
            <w:tcBorders>
              <w:top w:val="nil"/>
              <w:left w:val="nil"/>
              <w:bottom w:val="nil"/>
              <w:right w:val="single" w:sz="8" w:space="0" w:color="auto"/>
            </w:tcBorders>
            <w:shd w:val="clear" w:color="auto" w:fill="auto"/>
            <w:vAlign w:val="center"/>
            <w:hideMark/>
          </w:tcPr>
          <w:p w14:paraId="2AFD79D9" w14:textId="77777777" w:rsidR="004A2C0D" w:rsidRPr="004D1211" w:rsidRDefault="004A2C0D" w:rsidP="004A2C0D">
            <w:pPr>
              <w:keepLines w:val="0"/>
              <w:widowControl/>
              <w:jc w:val="center"/>
              <w:rPr>
                <w:rFonts w:ascii="Cambria" w:hAnsi="Cambria" w:cs="Arial"/>
                <w:b/>
                <w:bCs/>
                <w:sz w:val="16"/>
                <w:szCs w:val="16"/>
                <w:lang w:val="es-ES"/>
              </w:rPr>
            </w:pPr>
            <w:r w:rsidRPr="004D1211">
              <w:rPr>
                <w:rFonts w:ascii="Cambria" w:hAnsi="Cambria" w:cs="Arial"/>
                <w:b/>
                <w:bCs/>
                <w:sz w:val="16"/>
                <w:szCs w:val="18"/>
                <w:lang w:val="es-ES"/>
              </w:rPr>
              <w:t>PRESUR</w:t>
            </w:r>
          </w:p>
        </w:tc>
        <w:tc>
          <w:tcPr>
            <w:tcW w:w="980" w:type="dxa"/>
            <w:tcBorders>
              <w:top w:val="nil"/>
              <w:left w:val="nil"/>
              <w:bottom w:val="single" w:sz="8" w:space="0" w:color="auto"/>
              <w:right w:val="single" w:sz="8" w:space="0" w:color="auto"/>
            </w:tcBorders>
            <w:shd w:val="clear" w:color="auto" w:fill="auto"/>
            <w:vAlign w:val="center"/>
            <w:hideMark/>
          </w:tcPr>
          <w:p w14:paraId="59383C5E" w14:textId="77777777" w:rsidR="004A2C0D" w:rsidRPr="004D1211" w:rsidRDefault="004A2C0D" w:rsidP="004A2C0D">
            <w:pPr>
              <w:keepLines w:val="0"/>
              <w:widowControl/>
              <w:jc w:val="center"/>
              <w:rPr>
                <w:rFonts w:ascii="Cambria" w:hAnsi="Cambria" w:cs="Arial"/>
                <w:b/>
                <w:bCs/>
                <w:sz w:val="16"/>
                <w:szCs w:val="16"/>
                <w:lang w:val="es-ES"/>
              </w:rPr>
            </w:pPr>
            <w:r w:rsidRPr="004D1211">
              <w:rPr>
                <w:rFonts w:ascii="Cambria" w:hAnsi="Cambria" w:cs="Arial"/>
                <w:b/>
                <w:bCs/>
                <w:sz w:val="16"/>
                <w:szCs w:val="18"/>
                <w:lang w:val="es-ES"/>
              </w:rPr>
              <w:t>Ayudas Previas y cotiza-ciones</w:t>
            </w:r>
          </w:p>
        </w:tc>
        <w:tc>
          <w:tcPr>
            <w:tcW w:w="740" w:type="dxa"/>
            <w:tcBorders>
              <w:top w:val="nil"/>
              <w:left w:val="nil"/>
              <w:bottom w:val="single" w:sz="8" w:space="0" w:color="auto"/>
              <w:right w:val="single" w:sz="8" w:space="0" w:color="auto"/>
            </w:tcBorders>
            <w:shd w:val="clear" w:color="auto" w:fill="auto"/>
            <w:vAlign w:val="center"/>
            <w:hideMark/>
          </w:tcPr>
          <w:p w14:paraId="5D70C760" w14:textId="77777777" w:rsidR="004A2C0D" w:rsidRPr="004D1211" w:rsidRDefault="004A2C0D" w:rsidP="004A2C0D">
            <w:pPr>
              <w:keepLines w:val="0"/>
              <w:widowControl/>
              <w:jc w:val="center"/>
              <w:rPr>
                <w:rFonts w:ascii="Cambria" w:hAnsi="Cambria" w:cs="Arial"/>
                <w:b/>
                <w:bCs/>
                <w:sz w:val="16"/>
                <w:szCs w:val="16"/>
                <w:lang w:val="es-ES"/>
              </w:rPr>
            </w:pPr>
            <w:r w:rsidRPr="004D1211">
              <w:rPr>
                <w:rFonts w:ascii="Cambria" w:hAnsi="Cambria" w:cs="Arial"/>
                <w:b/>
                <w:bCs/>
                <w:sz w:val="16"/>
                <w:szCs w:val="18"/>
              </w:rPr>
              <w:t>Costes de amplia-ción ERE</w:t>
            </w:r>
          </w:p>
        </w:tc>
        <w:tc>
          <w:tcPr>
            <w:tcW w:w="820" w:type="dxa"/>
            <w:tcBorders>
              <w:top w:val="nil"/>
              <w:left w:val="nil"/>
              <w:bottom w:val="single" w:sz="8" w:space="0" w:color="auto"/>
              <w:right w:val="single" w:sz="8" w:space="0" w:color="auto"/>
            </w:tcBorders>
            <w:shd w:val="clear" w:color="auto" w:fill="auto"/>
            <w:vAlign w:val="center"/>
            <w:hideMark/>
          </w:tcPr>
          <w:p w14:paraId="4A9D96ED" w14:textId="77777777" w:rsidR="004A2C0D" w:rsidRPr="004D1211" w:rsidRDefault="004A2C0D" w:rsidP="004A2C0D">
            <w:pPr>
              <w:keepLines w:val="0"/>
              <w:widowControl/>
              <w:jc w:val="center"/>
              <w:rPr>
                <w:rFonts w:ascii="Cambria" w:hAnsi="Cambria" w:cs="Arial"/>
                <w:b/>
                <w:bCs/>
                <w:sz w:val="16"/>
                <w:szCs w:val="16"/>
                <w:lang w:val="es-ES"/>
              </w:rPr>
            </w:pPr>
            <w:r w:rsidRPr="004D1211">
              <w:rPr>
                <w:rFonts w:ascii="Cambria" w:hAnsi="Cambria" w:cs="Arial"/>
                <w:b/>
                <w:bCs/>
                <w:sz w:val="16"/>
                <w:szCs w:val="18"/>
              </w:rPr>
              <w:t>Gastos médicos</w:t>
            </w:r>
          </w:p>
        </w:tc>
        <w:tc>
          <w:tcPr>
            <w:tcW w:w="740" w:type="dxa"/>
            <w:tcBorders>
              <w:top w:val="nil"/>
              <w:left w:val="nil"/>
              <w:bottom w:val="single" w:sz="8" w:space="0" w:color="auto"/>
              <w:right w:val="single" w:sz="8" w:space="0" w:color="auto"/>
            </w:tcBorders>
            <w:shd w:val="clear" w:color="auto" w:fill="auto"/>
            <w:vAlign w:val="center"/>
            <w:hideMark/>
          </w:tcPr>
          <w:p w14:paraId="1AB3CEE7" w14:textId="77777777" w:rsidR="004A2C0D" w:rsidRPr="004D1211" w:rsidRDefault="004A2C0D" w:rsidP="004A2C0D">
            <w:pPr>
              <w:keepLines w:val="0"/>
              <w:widowControl/>
              <w:jc w:val="center"/>
              <w:rPr>
                <w:rFonts w:ascii="Cambria" w:hAnsi="Cambria" w:cs="Arial"/>
                <w:b/>
                <w:bCs/>
                <w:sz w:val="16"/>
                <w:szCs w:val="16"/>
                <w:lang w:val="es-ES"/>
              </w:rPr>
            </w:pPr>
            <w:r w:rsidRPr="004D1211">
              <w:rPr>
                <w:rFonts w:ascii="Cambria" w:hAnsi="Cambria" w:cs="Arial"/>
                <w:b/>
                <w:bCs/>
                <w:sz w:val="16"/>
                <w:szCs w:val="18"/>
              </w:rPr>
              <w:t>Gastos econo-mato</w:t>
            </w:r>
          </w:p>
        </w:tc>
        <w:tc>
          <w:tcPr>
            <w:tcW w:w="760" w:type="dxa"/>
            <w:tcBorders>
              <w:top w:val="nil"/>
              <w:left w:val="nil"/>
              <w:bottom w:val="single" w:sz="8" w:space="0" w:color="auto"/>
              <w:right w:val="single" w:sz="8" w:space="0" w:color="auto"/>
            </w:tcBorders>
            <w:shd w:val="clear" w:color="auto" w:fill="auto"/>
            <w:noWrap/>
            <w:vAlign w:val="center"/>
            <w:hideMark/>
          </w:tcPr>
          <w:p w14:paraId="7F152E5C" w14:textId="77777777" w:rsidR="004A2C0D" w:rsidRPr="004D1211" w:rsidRDefault="004A2C0D" w:rsidP="004A2C0D">
            <w:pPr>
              <w:keepLines w:val="0"/>
              <w:widowControl/>
              <w:jc w:val="center"/>
              <w:rPr>
                <w:rFonts w:ascii="Cambria" w:hAnsi="Cambria" w:cs="Arial"/>
                <w:b/>
                <w:bCs/>
                <w:sz w:val="16"/>
                <w:szCs w:val="16"/>
                <w:lang w:val="es-ES"/>
              </w:rPr>
            </w:pPr>
            <w:r w:rsidRPr="004D1211">
              <w:rPr>
                <w:rFonts w:ascii="Cambria" w:hAnsi="Cambria" w:cs="Arial"/>
                <w:b/>
                <w:bCs/>
                <w:sz w:val="16"/>
                <w:szCs w:val="18"/>
                <w:lang w:val="es-ES"/>
              </w:rPr>
              <w:t>Total</w:t>
            </w:r>
          </w:p>
        </w:tc>
      </w:tr>
      <w:tr w:rsidR="00903B1B" w:rsidRPr="004D1211" w14:paraId="5A7CE8F8" w14:textId="77777777" w:rsidTr="00903B1B">
        <w:trPr>
          <w:trHeight w:val="270"/>
        </w:trPr>
        <w:tc>
          <w:tcPr>
            <w:tcW w:w="1920" w:type="dxa"/>
            <w:tcBorders>
              <w:top w:val="nil"/>
              <w:left w:val="single" w:sz="8" w:space="0" w:color="auto"/>
              <w:bottom w:val="single" w:sz="8" w:space="0" w:color="auto"/>
              <w:right w:val="single" w:sz="8" w:space="0" w:color="auto"/>
            </w:tcBorders>
            <w:shd w:val="clear" w:color="000000" w:fill="FFFFFF"/>
            <w:noWrap/>
            <w:vAlign w:val="center"/>
            <w:hideMark/>
          </w:tcPr>
          <w:p w14:paraId="28758415" w14:textId="50F9E2AC" w:rsidR="00903B1B" w:rsidRPr="004D1211" w:rsidRDefault="00903B1B" w:rsidP="00903B1B">
            <w:pPr>
              <w:keepLines w:val="0"/>
              <w:widowControl/>
              <w:jc w:val="left"/>
              <w:rPr>
                <w:rFonts w:ascii="Cambria" w:hAnsi="Cambria" w:cs="Arial"/>
                <w:b/>
                <w:bCs/>
                <w:sz w:val="18"/>
                <w:szCs w:val="18"/>
                <w:lang w:val="es-ES"/>
              </w:rPr>
            </w:pPr>
            <w:r w:rsidRPr="004D1211">
              <w:rPr>
                <w:rFonts w:ascii="Cambria" w:hAnsi="Cambria" w:cs="Arial"/>
                <w:b/>
                <w:bCs/>
                <w:sz w:val="18"/>
                <w:szCs w:val="18"/>
                <w:lang w:val="es-ES"/>
              </w:rPr>
              <w:t>Saldo al 31.12.19</w:t>
            </w:r>
          </w:p>
        </w:tc>
        <w:tc>
          <w:tcPr>
            <w:tcW w:w="1244" w:type="dxa"/>
            <w:tcBorders>
              <w:top w:val="nil"/>
              <w:left w:val="nil"/>
              <w:bottom w:val="single" w:sz="8" w:space="0" w:color="auto"/>
              <w:right w:val="single" w:sz="8" w:space="0" w:color="auto"/>
            </w:tcBorders>
            <w:shd w:val="clear" w:color="000000" w:fill="FFFFFF"/>
            <w:noWrap/>
            <w:vAlign w:val="center"/>
            <w:hideMark/>
          </w:tcPr>
          <w:p w14:paraId="3F58EB4D" w14:textId="6F92FBD4" w:rsidR="00903B1B" w:rsidRPr="004D1211" w:rsidRDefault="00903B1B" w:rsidP="00903B1B">
            <w:pPr>
              <w:keepLines w:val="0"/>
              <w:widowControl/>
              <w:jc w:val="center"/>
              <w:rPr>
                <w:rFonts w:ascii="Cambria" w:hAnsi="Cambria" w:cs="Arial"/>
                <w:b/>
                <w:bCs/>
                <w:sz w:val="18"/>
                <w:szCs w:val="18"/>
                <w:lang w:val="es-ES"/>
              </w:rPr>
            </w:pPr>
            <w:r w:rsidRPr="004D1211">
              <w:rPr>
                <w:rFonts w:ascii="Cambria" w:hAnsi="Cambria" w:cs="Arial"/>
                <w:b/>
                <w:bCs/>
                <w:sz w:val="18"/>
                <w:szCs w:val="18"/>
              </w:rPr>
              <w:t>1.614</w:t>
            </w:r>
          </w:p>
        </w:tc>
        <w:tc>
          <w:tcPr>
            <w:tcW w:w="880" w:type="dxa"/>
            <w:tcBorders>
              <w:top w:val="nil"/>
              <w:left w:val="nil"/>
              <w:bottom w:val="single" w:sz="8" w:space="0" w:color="auto"/>
              <w:right w:val="single" w:sz="8" w:space="0" w:color="auto"/>
            </w:tcBorders>
            <w:shd w:val="clear" w:color="000000" w:fill="FFFFFF"/>
            <w:noWrap/>
            <w:vAlign w:val="center"/>
            <w:hideMark/>
          </w:tcPr>
          <w:p w14:paraId="5147C25D" w14:textId="7ED781EB" w:rsidR="00903B1B" w:rsidRPr="004D1211" w:rsidRDefault="00903B1B" w:rsidP="00903B1B">
            <w:pPr>
              <w:keepLines w:val="0"/>
              <w:widowControl/>
              <w:jc w:val="right"/>
              <w:rPr>
                <w:rFonts w:ascii="Cambria" w:hAnsi="Cambria" w:cs="Arial"/>
                <w:b/>
                <w:bCs/>
                <w:sz w:val="18"/>
                <w:szCs w:val="18"/>
                <w:lang w:val="es-ES"/>
              </w:rPr>
            </w:pPr>
            <w:r w:rsidRPr="004D1211">
              <w:rPr>
                <w:rFonts w:ascii="Cambria" w:hAnsi="Cambria" w:cs="Arial"/>
                <w:b/>
                <w:bCs/>
                <w:sz w:val="18"/>
                <w:szCs w:val="18"/>
              </w:rPr>
              <w:t>301</w:t>
            </w:r>
          </w:p>
        </w:tc>
        <w:tc>
          <w:tcPr>
            <w:tcW w:w="780" w:type="dxa"/>
            <w:tcBorders>
              <w:top w:val="nil"/>
              <w:left w:val="nil"/>
              <w:bottom w:val="single" w:sz="8" w:space="0" w:color="auto"/>
              <w:right w:val="single" w:sz="8" w:space="0" w:color="auto"/>
            </w:tcBorders>
            <w:shd w:val="clear" w:color="000000" w:fill="FFFFFF"/>
            <w:vAlign w:val="center"/>
            <w:hideMark/>
          </w:tcPr>
          <w:p w14:paraId="48F83803" w14:textId="15BD8C15" w:rsidR="00903B1B" w:rsidRPr="004D1211" w:rsidRDefault="00903B1B" w:rsidP="00903B1B">
            <w:pPr>
              <w:keepLines w:val="0"/>
              <w:widowControl/>
              <w:jc w:val="right"/>
              <w:rPr>
                <w:rFonts w:ascii="Cambria" w:hAnsi="Cambria" w:cs="Arial"/>
                <w:b/>
                <w:bCs/>
                <w:sz w:val="18"/>
                <w:szCs w:val="18"/>
                <w:lang w:val="es-ES"/>
              </w:rPr>
            </w:pPr>
            <w:r w:rsidRPr="004D1211">
              <w:rPr>
                <w:rFonts w:ascii="Cambria" w:hAnsi="Cambria" w:cs="Arial"/>
                <w:b/>
                <w:bCs/>
                <w:sz w:val="18"/>
                <w:szCs w:val="18"/>
              </w:rPr>
              <w:t>203</w:t>
            </w:r>
          </w:p>
        </w:tc>
        <w:tc>
          <w:tcPr>
            <w:tcW w:w="760" w:type="dxa"/>
            <w:tcBorders>
              <w:top w:val="single" w:sz="8" w:space="0" w:color="auto"/>
              <w:left w:val="nil"/>
              <w:bottom w:val="single" w:sz="8" w:space="0" w:color="auto"/>
              <w:right w:val="single" w:sz="8" w:space="0" w:color="auto"/>
            </w:tcBorders>
            <w:shd w:val="clear" w:color="000000" w:fill="FFFFFF"/>
            <w:noWrap/>
            <w:vAlign w:val="center"/>
            <w:hideMark/>
          </w:tcPr>
          <w:p w14:paraId="758996D7" w14:textId="40293F21" w:rsidR="00903B1B" w:rsidRPr="004D1211" w:rsidRDefault="00903B1B" w:rsidP="00903B1B">
            <w:pPr>
              <w:keepLines w:val="0"/>
              <w:widowControl/>
              <w:jc w:val="right"/>
              <w:rPr>
                <w:rFonts w:ascii="Cambria" w:hAnsi="Cambria" w:cs="Arial"/>
                <w:b/>
                <w:bCs/>
                <w:sz w:val="18"/>
                <w:szCs w:val="18"/>
                <w:lang w:val="es-ES"/>
              </w:rPr>
            </w:pPr>
            <w:r w:rsidRPr="004D1211">
              <w:rPr>
                <w:rFonts w:ascii="Cambria" w:hAnsi="Cambria" w:cs="Arial"/>
                <w:b/>
                <w:bCs/>
                <w:sz w:val="18"/>
                <w:szCs w:val="18"/>
              </w:rPr>
              <w:t>1.872</w:t>
            </w:r>
          </w:p>
        </w:tc>
        <w:tc>
          <w:tcPr>
            <w:tcW w:w="980" w:type="dxa"/>
            <w:tcBorders>
              <w:top w:val="nil"/>
              <w:left w:val="nil"/>
              <w:bottom w:val="single" w:sz="8" w:space="0" w:color="auto"/>
              <w:right w:val="single" w:sz="8" w:space="0" w:color="auto"/>
            </w:tcBorders>
            <w:shd w:val="clear" w:color="000000" w:fill="FFFFFF"/>
            <w:vAlign w:val="center"/>
            <w:hideMark/>
          </w:tcPr>
          <w:p w14:paraId="3A6CA872" w14:textId="66F04C1D" w:rsidR="00903B1B" w:rsidRPr="004D1211" w:rsidRDefault="00903B1B" w:rsidP="00903B1B">
            <w:pPr>
              <w:keepLines w:val="0"/>
              <w:widowControl/>
              <w:jc w:val="right"/>
              <w:rPr>
                <w:rFonts w:ascii="Cambria" w:hAnsi="Cambria" w:cs="Arial"/>
                <w:b/>
                <w:bCs/>
                <w:sz w:val="18"/>
                <w:szCs w:val="18"/>
                <w:lang w:val="es-ES"/>
              </w:rPr>
            </w:pPr>
            <w:r w:rsidRPr="004D1211">
              <w:rPr>
                <w:rFonts w:ascii="Cambria" w:hAnsi="Cambria" w:cs="Arial"/>
                <w:b/>
                <w:bCs/>
                <w:sz w:val="18"/>
                <w:szCs w:val="18"/>
              </w:rPr>
              <w:t>70</w:t>
            </w:r>
          </w:p>
        </w:tc>
        <w:tc>
          <w:tcPr>
            <w:tcW w:w="740" w:type="dxa"/>
            <w:tcBorders>
              <w:top w:val="nil"/>
              <w:left w:val="nil"/>
              <w:bottom w:val="single" w:sz="8" w:space="0" w:color="auto"/>
              <w:right w:val="single" w:sz="8" w:space="0" w:color="auto"/>
            </w:tcBorders>
            <w:shd w:val="clear" w:color="000000" w:fill="FFFFFF"/>
            <w:vAlign w:val="center"/>
            <w:hideMark/>
          </w:tcPr>
          <w:p w14:paraId="7586FE71" w14:textId="6D152477" w:rsidR="00903B1B" w:rsidRPr="004D1211" w:rsidRDefault="00903B1B" w:rsidP="00903B1B">
            <w:pPr>
              <w:keepLines w:val="0"/>
              <w:widowControl/>
              <w:jc w:val="right"/>
              <w:rPr>
                <w:rFonts w:ascii="Cambria" w:hAnsi="Cambria" w:cs="Arial"/>
                <w:b/>
                <w:bCs/>
                <w:sz w:val="18"/>
                <w:szCs w:val="18"/>
                <w:lang w:val="es-ES"/>
              </w:rPr>
            </w:pPr>
            <w:r w:rsidRPr="004D1211">
              <w:rPr>
                <w:rFonts w:ascii="Cambria" w:hAnsi="Cambria" w:cs="Arial"/>
                <w:b/>
                <w:bCs/>
                <w:sz w:val="18"/>
                <w:szCs w:val="18"/>
              </w:rPr>
              <w:t>234</w:t>
            </w:r>
          </w:p>
        </w:tc>
        <w:tc>
          <w:tcPr>
            <w:tcW w:w="820" w:type="dxa"/>
            <w:tcBorders>
              <w:top w:val="nil"/>
              <w:left w:val="nil"/>
              <w:bottom w:val="single" w:sz="8" w:space="0" w:color="auto"/>
              <w:right w:val="single" w:sz="8" w:space="0" w:color="auto"/>
            </w:tcBorders>
            <w:shd w:val="clear" w:color="000000" w:fill="FFFFFF"/>
            <w:vAlign w:val="center"/>
            <w:hideMark/>
          </w:tcPr>
          <w:p w14:paraId="56DC3DDE" w14:textId="25C2FD02" w:rsidR="00903B1B" w:rsidRPr="004D1211" w:rsidRDefault="00903B1B" w:rsidP="00903B1B">
            <w:pPr>
              <w:keepLines w:val="0"/>
              <w:widowControl/>
              <w:jc w:val="right"/>
              <w:rPr>
                <w:rFonts w:ascii="Cambria" w:hAnsi="Cambria" w:cs="Arial"/>
                <w:b/>
                <w:bCs/>
                <w:sz w:val="18"/>
                <w:szCs w:val="18"/>
                <w:lang w:val="es-ES"/>
              </w:rPr>
            </w:pPr>
            <w:r w:rsidRPr="004D1211">
              <w:rPr>
                <w:rFonts w:ascii="Cambria" w:hAnsi="Cambria" w:cs="Arial"/>
                <w:b/>
                <w:bCs/>
                <w:sz w:val="18"/>
                <w:szCs w:val="18"/>
              </w:rPr>
              <w:t>10</w:t>
            </w:r>
          </w:p>
        </w:tc>
        <w:tc>
          <w:tcPr>
            <w:tcW w:w="740" w:type="dxa"/>
            <w:tcBorders>
              <w:top w:val="nil"/>
              <w:left w:val="nil"/>
              <w:bottom w:val="single" w:sz="8" w:space="0" w:color="auto"/>
              <w:right w:val="single" w:sz="8" w:space="0" w:color="auto"/>
            </w:tcBorders>
            <w:shd w:val="clear" w:color="000000" w:fill="FFFFFF"/>
            <w:vAlign w:val="center"/>
            <w:hideMark/>
          </w:tcPr>
          <w:p w14:paraId="5A3E6190" w14:textId="3C83CC7C" w:rsidR="00903B1B" w:rsidRPr="004D1211" w:rsidRDefault="00903B1B" w:rsidP="00903B1B">
            <w:pPr>
              <w:keepLines w:val="0"/>
              <w:widowControl/>
              <w:jc w:val="right"/>
              <w:rPr>
                <w:rFonts w:ascii="Cambria" w:hAnsi="Cambria" w:cs="Arial"/>
                <w:b/>
                <w:bCs/>
                <w:sz w:val="18"/>
                <w:szCs w:val="18"/>
                <w:lang w:val="es-ES"/>
              </w:rPr>
            </w:pPr>
            <w:r w:rsidRPr="004D1211">
              <w:rPr>
                <w:rFonts w:ascii="Cambria" w:hAnsi="Cambria" w:cs="Arial"/>
                <w:b/>
                <w:bCs/>
                <w:sz w:val="18"/>
                <w:szCs w:val="18"/>
              </w:rPr>
              <w:t>527</w:t>
            </w:r>
          </w:p>
        </w:tc>
        <w:tc>
          <w:tcPr>
            <w:tcW w:w="760" w:type="dxa"/>
            <w:tcBorders>
              <w:top w:val="nil"/>
              <w:left w:val="nil"/>
              <w:bottom w:val="nil"/>
              <w:right w:val="single" w:sz="8" w:space="0" w:color="auto"/>
            </w:tcBorders>
            <w:shd w:val="clear" w:color="000000" w:fill="FFFFFF"/>
            <w:noWrap/>
            <w:vAlign w:val="center"/>
            <w:hideMark/>
          </w:tcPr>
          <w:p w14:paraId="2631AB14" w14:textId="22057AAB" w:rsidR="00903B1B" w:rsidRPr="004D1211" w:rsidRDefault="00903B1B" w:rsidP="00903B1B">
            <w:pPr>
              <w:keepLines w:val="0"/>
              <w:widowControl/>
              <w:jc w:val="right"/>
              <w:rPr>
                <w:rFonts w:ascii="Cambria" w:hAnsi="Cambria" w:cs="Arial"/>
                <w:b/>
                <w:bCs/>
                <w:sz w:val="18"/>
                <w:szCs w:val="18"/>
                <w:lang w:val="es-ES"/>
              </w:rPr>
            </w:pPr>
            <w:r w:rsidRPr="004D1211">
              <w:rPr>
                <w:rFonts w:ascii="Cambria" w:hAnsi="Cambria" w:cs="Arial"/>
                <w:b/>
                <w:bCs/>
                <w:sz w:val="18"/>
                <w:szCs w:val="18"/>
              </w:rPr>
              <w:t>4.831</w:t>
            </w:r>
          </w:p>
        </w:tc>
      </w:tr>
      <w:tr w:rsidR="004A2C0D" w:rsidRPr="004D1211" w14:paraId="76AAC00D" w14:textId="77777777" w:rsidTr="00903B1B">
        <w:trPr>
          <w:trHeight w:val="255"/>
        </w:trPr>
        <w:tc>
          <w:tcPr>
            <w:tcW w:w="1920" w:type="dxa"/>
            <w:tcBorders>
              <w:top w:val="nil"/>
              <w:left w:val="single" w:sz="8" w:space="0" w:color="auto"/>
              <w:bottom w:val="nil"/>
              <w:right w:val="nil"/>
            </w:tcBorders>
            <w:shd w:val="clear" w:color="000000" w:fill="FFFFFF"/>
            <w:noWrap/>
            <w:vAlign w:val="center"/>
            <w:hideMark/>
          </w:tcPr>
          <w:p w14:paraId="05024F9C" w14:textId="4D6D07ED" w:rsidR="004A2C0D" w:rsidRPr="004D1211" w:rsidRDefault="004A2C0D" w:rsidP="007E6AFC">
            <w:pPr>
              <w:keepLines w:val="0"/>
              <w:widowControl/>
              <w:jc w:val="left"/>
              <w:rPr>
                <w:rFonts w:ascii="Cambria" w:hAnsi="Cambria" w:cs="Arial"/>
                <w:sz w:val="18"/>
                <w:szCs w:val="18"/>
                <w:lang w:val="es-ES"/>
              </w:rPr>
            </w:pPr>
            <w:r w:rsidRPr="004D1211">
              <w:rPr>
                <w:rFonts w:ascii="Cambria" w:hAnsi="Cambria" w:cs="Arial"/>
                <w:sz w:val="18"/>
                <w:szCs w:val="18"/>
                <w:lang w:val="es-ES"/>
              </w:rPr>
              <w:t>Dotación</w:t>
            </w:r>
            <w:r w:rsidR="00CC1423" w:rsidRPr="004D1211">
              <w:rPr>
                <w:rFonts w:ascii="Cambria" w:hAnsi="Cambria" w:cs="Arial"/>
                <w:sz w:val="18"/>
                <w:szCs w:val="18"/>
                <w:lang w:val="es-ES"/>
              </w:rPr>
              <w:t xml:space="preserve"> </w:t>
            </w:r>
          </w:p>
        </w:tc>
        <w:tc>
          <w:tcPr>
            <w:tcW w:w="1244" w:type="dxa"/>
            <w:tcBorders>
              <w:top w:val="nil"/>
              <w:left w:val="single" w:sz="8" w:space="0" w:color="auto"/>
              <w:bottom w:val="nil"/>
              <w:right w:val="single" w:sz="8" w:space="0" w:color="auto"/>
            </w:tcBorders>
            <w:shd w:val="clear" w:color="000000" w:fill="FFFFFF"/>
            <w:noWrap/>
            <w:vAlign w:val="center"/>
          </w:tcPr>
          <w:p w14:paraId="44B4BB29" w14:textId="6B8EEAC5" w:rsidR="004A2C0D" w:rsidRPr="004D1211" w:rsidRDefault="004D1211" w:rsidP="007E6AFC">
            <w:pPr>
              <w:keepLines w:val="0"/>
              <w:widowControl/>
              <w:jc w:val="right"/>
              <w:rPr>
                <w:rFonts w:ascii="Cambria" w:hAnsi="Cambria" w:cs="Arial"/>
                <w:sz w:val="18"/>
                <w:szCs w:val="18"/>
                <w:lang w:val="es-ES"/>
              </w:rPr>
            </w:pPr>
            <w:r w:rsidRPr="004D1211">
              <w:rPr>
                <w:rFonts w:ascii="Cambria" w:hAnsi="Cambria" w:cs="Arial"/>
                <w:sz w:val="18"/>
                <w:szCs w:val="18"/>
                <w:lang w:val="es-ES"/>
              </w:rPr>
              <w:t>154</w:t>
            </w:r>
          </w:p>
        </w:tc>
        <w:tc>
          <w:tcPr>
            <w:tcW w:w="880" w:type="dxa"/>
            <w:tcBorders>
              <w:top w:val="nil"/>
              <w:left w:val="nil"/>
              <w:bottom w:val="nil"/>
              <w:right w:val="nil"/>
            </w:tcBorders>
            <w:shd w:val="clear" w:color="000000" w:fill="FFFFFF"/>
            <w:noWrap/>
            <w:vAlign w:val="center"/>
          </w:tcPr>
          <w:p w14:paraId="647CE32B" w14:textId="555C5817" w:rsidR="004A2C0D" w:rsidRPr="004D1211" w:rsidRDefault="004D1211" w:rsidP="004A2C0D">
            <w:pPr>
              <w:keepLines w:val="0"/>
              <w:widowControl/>
              <w:jc w:val="center"/>
              <w:rPr>
                <w:rFonts w:ascii="Cambria" w:hAnsi="Cambria" w:cs="Arial"/>
                <w:sz w:val="18"/>
                <w:szCs w:val="18"/>
                <w:lang w:val="es-ES"/>
              </w:rPr>
            </w:pPr>
            <w:r>
              <w:rPr>
                <w:rFonts w:ascii="Cambria" w:hAnsi="Cambria" w:cs="Arial"/>
                <w:sz w:val="18"/>
                <w:szCs w:val="18"/>
                <w:lang w:val="es-ES"/>
              </w:rPr>
              <w:t>-</w:t>
            </w:r>
          </w:p>
        </w:tc>
        <w:tc>
          <w:tcPr>
            <w:tcW w:w="780" w:type="dxa"/>
            <w:tcBorders>
              <w:top w:val="nil"/>
              <w:left w:val="single" w:sz="8" w:space="0" w:color="auto"/>
              <w:bottom w:val="nil"/>
              <w:right w:val="single" w:sz="8" w:space="0" w:color="auto"/>
            </w:tcBorders>
            <w:shd w:val="clear" w:color="000000" w:fill="FFFFFF"/>
            <w:noWrap/>
            <w:vAlign w:val="center"/>
          </w:tcPr>
          <w:p w14:paraId="2623C935" w14:textId="1CD9B310" w:rsidR="004A2C0D" w:rsidRPr="004D1211" w:rsidRDefault="008126A8" w:rsidP="004A2C0D">
            <w:pPr>
              <w:keepLines w:val="0"/>
              <w:widowControl/>
              <w:jc w:val="center"/>
              <w:rPr>
                <w:rFonts w:ascii="Cambria" w:hAnsi="Cambria" w:cs="Arial"/>
                <w:sz w:val="18"/>
                <w:szCs w:val="18"/>
                <w:lang w:val="es-ES"/>
              </w:rPr>
            </w:pPr>
            <w:r>
              <w:rPr>
                <w:rFonts w:ascii="Cambria" w:hAnsi="Cambria" w:cs="Arial"/>
                <w:sz w:val="18"/>
                <w:szCs w:val="18"/>
                <w:lang w:val="es-ES"/>
              </w:rPr>
              <w:t>-</w:t>
            </w:r>
          </w:p>
        </w:tc>
        <w:tc>
          <w:tcPr>
            <w:tcW w:w="760" w:type="dxa"/>
            <w:tcBorders>
              <w:top w:val="nil"/>
              <w:left w:val="nil"/>
              <w:bottom w:val="nil"/>
              <w:right w:val="nil"/>
            </w:tcBorders>
            <w:shd w:val="clear" w:color="000000" w:fill="FFFFFF"/>
            <w:noWrap/>
            <w:vAlign w:val="center"/>
          </w:tcPr>
          <w:p w14:paraId="45EAAEE6" w14:textId="232B499F" w:rsidR="004A2C0D" w:rsidRPr="004D1211" w:rsidRDefault="000063CB" w:rsidP="000063CB">
            <w:pPr>
              <w:keepLines w:val="0"/>
              <w:widowControl/>
              <w:jc w:val="center"/>
              <w:rPr>
                <w:rFonts w:ascii="Cambria" w:hAnsi="Cambria" w:cs="Arial"/>
                <w:sz w:val="18"/>
                <w:szCs w:val="18"/>
                <w:lang w:val="es-ES"/>
              </w:rPr>
            </w:pPr>
            <w:r>
              <w:rPr>
                <w:rFonts w:ascii="Cambria" w:hAnsi="Cambria" w:cs="Arial"/>
                <w:sz w:val="18"/>
                <w:szCs w:val="18"/>
                <w:lang w:val="es-ES"/>
              </w:rPr>
              <w:t>-</w:t>
            </w:r>
          </w:p>
        </w:tc>
        <w:tc>
          <w:tcPr>
            <w:tcW w:w="980" w:type="dxa"/>
            <w:tcBorders>
              <w:top w:val="nil"/>
              <w:left w:val="single" w:sz="8" w:space="0" w:color="auto"/>
              <w:bottom w:val="nil"/>
              <w:right w:val="single" w:sz="8" w:space="0" w:color="auto"/>
            </w:tcBorders>
            <w:shd w:val="clear" w:color="000000" w:fill="FFFFFF"/>
            <w:noWrap/>
            <w:vAlign w:val="center"/>
          </w:tcPr>
          <w:p w14:paraId="574493AE" w14:textId="6E45FACF" w:rsidR="004A2C0D" w:rsidRPr="004D1211" w:rsidRDefault="000063CB" w:rsidP="000063CB">
            <w:pPr>
              <w:keepLines w:val="0"/>
              <w:widowControl/>
              <w:jc w:val="center"/>
              <w:rPr>
                <w:rFonts w:ascii="Cambria" w:hAnsi="Cambria" w:cs="Arial"/>
                <w:sz w:val="18"/>
                <w:szCs w:val="18"/>
                <w:lang w:val="es-ES"/>
              </w:rPr>
            </w:pPr>
            <w:r>
              <w:rPr>
                <w:rFonts w:ascii="Cambria" w:hAnsi="Cambria" w:cs="Arial"/>
                <w:sz w:val="18"/>
                <w:szCs w:val="18"/>
                <w:lang w:val="es-ES"/>
              </w:rPr>
              <w:t>-</w:t>
            </w:r>
          </w:p>
        </w:tc>
        <w:tc>
          <w:tcPr>
            <w:tcW w:w="740" w:type="dxa"/>
            <w:tcBorders>
              <w:top w:val="nil"/>
              <w:left w:val="nil"/>
              <w:bottom w:val="nil"/>
              <w:right w:val="nil"/>
            </w:tcBorders>
            <w:shd w:val="clear" w:color="000000" w:fill="FFFFFF"/>
            <w:noWrap/>
            <w:vAlign w:val="center"/>
          </w:tcPr>
          <w:p w14:paraId="7CE26A27" w14:textId="205D2B5D" w:rsidR="004A2C0D" w:rsidRPr="004D1211" w:rsidRDefault="000063CB" w:rsidP="000063CB">
            <w:pPr>
              <w:keepLines w:val="0"/>
              <w:widowControl/>
              <w:jc w:val="center"/>
              <w:rPr>
                <w:rFonts w:ascii="Cambria" w:hAnsi="Cambria" w:cs="Arial"/>
                <w:sz w:val="18"/>
                <w:szCs w:val="18"/>
                <w:lang w:val="es-ES"/>
              </w:rPr>
            </w:pPr>
            <w:r>
              <w:rPr>
                <w:rFonts w:ascii="Cambria" w:hAnsi="Cambria" w:cs="Arial"/>
                <w:sz w:val="18"/>
                <w:szCs w:val="18"/>
                <w:lang w:val="es-ES"/>
              </w:rPr>
              <w:t>-</w:t>
            </w:r>
          </w:p>
        </w:tc>
        <w:tc>
          <w:tcPr>
            <w:tcW w:w="820" w:type="dxa"/>
            <w:tcBorders>
              <w:top w:val="nil"/>
              <w:left w:val="single" w:sz="8" w:space="0" w:color="auto"/>
              <w:bottom w:val="nil"/>
              <w:right w:val="single" w:sz="8" w:space="0" w:color="auto"/>
            </w:tcBorders>
            <w:shd w:val="clear" w:color="000000" w:fill="FFFFFF"/>
            <w:noWrap/>
            <w:vAlign w:val="center"/>
          </w:tcPr>
          <w:p w14:paraId="150F423F" w14:textId="33D25CDA" w:rsidR="004A2C0D" w:rsidRPr="004D1211" w:rsidRDefault="000063CB" w:rsidP="000063CB">
            <w:pPr>
              <w:keepLines w:val="0"/>
              <w:widowControl/>
              <w:jc w:val="center"/>
              <w:rPr>
                <w:rFonts w:ascii="Cambria" w:hAnsi="Cambria" w:cs="Arial"/>
                <w:sz w:val="18"/>
                <w:szCs w:val="18"/>
                <w:lang w:val="es-ES"/>
              </w:rPr>
            </w:pPr>
            <w:r>
              <w:rPr>
                <w:rFonts w:ascii="Cambria" w:hAnsi="Cambria" w:cs="Arial"/>
                <w:sz w:val="18"/>
                <w:szCs w:val="18"/>
                <w:lang w:val="es-ES"/>
              </w:rPr>
              <w:t>-</w:t>
            </w:r>
          </w:p>
        </w:tc>
        <w:tc>
          <w:tcPr>
            <w:tcW w:w="740" w:type="dxa"/>
            <w:tcBorders>
              <w:top w:val="nil"/>
              <w:left w:val="nil"/>
              <w:bottom w:val="nil"/>
              <w:right w:val="nil"/>
            </w:tcBorders>
            <w:shd w:val="clear" w:color="000000" w:fill="FFFFFF"/>
            <w:noWrap/>
            <w:vAlign w:val="center"/>
          </w:tcPr>
          <w:p w14:paraId="056D29E8" w14:textId="1B41BB34" w:rsidR="004A2C0D" w:rsidRPr="004D1211" w:rsidRDefault="000063CB" w:rsidP="00E561F5">
            <w:pPr>
              <w:keepLines w:val="0"/>
              <w:widowControl/>
              <w:jc w:val="center"/>
              <w:rPr>
                <w:rFonts w:ascii="Cambria" w:hAnsi="Cambria" w:cs="Arial"/>
                <w:sz w:val="18"/>
                <w:szCs w:val="18"/>
                <w:lang w:val="es-ES"/>
              </w:rPr>
            </w:pPr>
            <w:r>
              <w:rPr>
                <w:rFonts w:ascii="Cambria" w:hAnsi="Cambria" w:cs="Arial"/>
                <w:sz w:val="18"/>
                <w:szCs w:val="18"/>
                <w:lang w:val="es-ES"/>
              </w:rPr>
              <w:t>-</w:t>
            </w:r>
          </w:p>
        </w:tc>
        <w:tc>
          <w:tcPr>
            <w:tcW w:w="760" w:type="dxa"/>
            <w:tcBorders>
              <w:top w:val="single" w:sz="8" w:space="0" w:color="auto"/>
              <w:left w:val="single" w:sz="8" w:space="0" w:color="auto"/>
              <w:bottom w:val="nil"/>
              <w:right w:val="single" w:sz="8" w:space="0" w:color="auto"/>
            </w:tcBorders>
            <w:shd w:val="clear" w:color="000000" w:fill="FFFFFF"/>
            <w:noWrap/>
            <w:vAlign w:val="center"/>
          </w:tcPr>
          <w:p w14:paraId="47ED538A" w14:textId="57DD7871" w:rsidR="004A2C0D" w:rsidRPr="004D1211" w:rsidRDefault="000063CB" w:rsidP="004A2C0D">
            <w:pPr>
              <w:keepLines w:val="0"/>
              <w:widowControl/>
              <w:jc w:val="right"/>
              <w:rPr>
                <w:rFonts w:ascii="Cambria" w:hAnsi="Cambria" w:cs="Arial"/>
                <w:sz w:val="18"/>
                <w:szCs w:val="18"/>
                <w:lang w:val="es-ES"/>
              </w:rPr>
            </w:pPr>
            <w:r>
              <w:rPr>
                <w:rFonts w:ascii="Cambria" w:hAnsi="Cambria" w:cs="Arial"/>
                <w:sz w:val="18"/>
                <w:szCs w:val="18"/>
                <w:lang w:val="es-ES"/>
              </w:rPr>
              <w:t>154</w:t>
            </w:r>
          </w:p>
        </w:tc>
      </w:tr>
      <w:tr w:rsidR="004A2C0D" w:rsidRPr="004D1211" w14:paraId="0994228F" w14:textId="77777777" w:rsidTr="00903B1B">
        <w:trPr>
          <w:trHeight w:val="255"/>
        </w:trPr>
        <w:tc>
          <w:tcPr>
            <w:tcW w:w="1920" w:type="dxa"/>
            <w:tcBorders>
              <w:top w:val="nil"/>
              <w:left w:val="single" w:sz="8" w:space="0" w:color="auto"/>
              <w:bottom w:val="nil"/>
              <w:right w:val="nil"/>
            </w:tcBorders>
            <w:shd w:val="clear" w:color="000000" w:fill="FFFFFF"/>
            <w:noWrap/>
            <w:vAlign w:val="center"/>
            <w:hideMark/>
          </w:tcPr>
          <w:p w14:paraId="13F34F09" w14:textId="77777777" w:rsidR="004A2C0D" w:rsidRPr="004D1211" w:rsidRDefault="004A2C0D" w:rsidP="004A2C0D">
            <w:pPr>
              <w:keepLines w:val="0"/>
              <w:widowControl/>
              <w:jc w:val="left"/>
              <w:rPr>
                <w:rFonts w:ascii="Cambria" w:hAnsi="Cambria" w:cs="Arial"/>
                <w:sz w:val="18"/>
                <w:szCs w:val="18"/>
                <w:lang w:val="es-ES"/>
              </w:rPr>
            </w:pPr>
            <w:r w:rsidRPr="004D1211">
              <w:rPr>
                <w:rFonts w:ascii="Cambria" w:hAnsi="Cambria" w:cs="Arial"/>
                <w:sz w:val="18"/>
                <w:szCs w:val="18"/>
                <w:lang w:val="es-ES"/>
              </w:rPr>
              <w:t>Aplicaciones</w:t>
            </w:r>
          </w:p>
        </w:tc>
        <w:tc>
          <w:tcPr>
            <w:tcW w:w="1244" w:type="dxa"/>
            <w:tcBorders>
              <w:top w:val="nil"/>
              <w:left w:val="single" w:sz="8" w:space="0" w:color="auto"/>
              <w:bottom w:val="nil"/>
              <w:right w:val="single" w:sz="8" w:space="0" w:color="auto"/>
            </w:tcBorders>
            <w:shd w:val="clear" w:color="000000" w:fill="FFFFFF"/>
            <w:noWrap/>
            <w:vAlign w:val="bottom"/>
          </w:tcPr>
          <w:p w14:paraId="782BD5D9" w14:textId="49F380C9" w:rsidR="004A2C0D" w:rsidRPr="004D1211" w:rsidRDefault="004D1211" w:rsidP="00817521">
            <w:pPr>
              <w:keepLines w:val="0"/>
              <w:widowControl/>
              <w:jc w:val="center"/>
              <w:rPr>
                <w:rFonts w:ascii="Cambria" w:hAnsi="Cambria" w:cs="Arial"/>
                <w:sz w:val="18"/>
                <w:szCs w:val="18"/>
                <w:lang w:val="es-ES"/>
              </w:rPr>
            </w:pPr>
            <w:r w:rsidRPr="004D1211">
              <w:rPr>
                <w:rFonts w:ascii="Cambria" w:hAnsi="Cambria" w:cs="Arial"/>
                <w:sz w:val="18"/>
                <w:szCs w:val="18"/>
                <w:lang w:val="es-ES"/>
              </w:rPr>
              <w:t>-</w:t>
            </w:r>
          </w:p>
        </w:tc>
        <w:tc>
          <w:tcPr>
            <w:tcW w:w="880" w:type="dxa"/>
            <w:tcBorders>
              <w:top w:val="nil"/>
              <w:left w:val="nil"/>
              <w:bottom w:val="nil"/>
              <w:right w:val="nil"/>
            </w:tcBorders>
            <w:shd w:val="clear" w:color="000000" w:fill="FFFFFF"/>
            <w:noWrap/>
            <w:vAlign w:val="center"/>
          </w:tcPr>
          <w:p w14:paraId="44B7CDE8" w14:textId="52AC48B0" w:rsidR="004A2C0D" w:rsidRPr="004D1211" w:rsidRDefault="004D1211" w:rsidP="004A2C0D">
            <w:pPr>
              <w:keepLines w:val="0"/>
              <w:widowControl/>
              <w:jc w:val="center"/>
              <w:rPr>
                <w:rFonts w:ascii="Cambria" w:hAnsi="Cambria" w:cs="Arial"/>
                <w:sz w:val="18"/>
                <w:szCs w:val="18"/>
                <w:lang w:val="es-ES"/>
              </w:rPr>
            </w:pPr>
            <w:r>
              <w:rPr>
                <w:rFonts w:ascii="Cambria" w:hAnsi="Cambria" w:cs="Arial"/>
                <w:sz w:val="18"/>
                <w:szCs w:val="18"/>
                <w:lang w:val="es-ES"/>
              </w:rPr>
              <w:t>-</w:t>
            </w:r>
          </w:p>
        </w:tc>
        <w:tc>
          <w:tcPr>
            <w:tcW w:w="780" w:type="dxa"/>
            <w:tcBorders>
              <w:top w:val="nil"/>
              <w:left w:val="single" w:sz="8" w:space="0" w:color="auto"/>
              <w:bottom w:val="nil"/>
              <w:right w:val="single" w:sz="8" w:space="0" w:color="auto"/>
            </w:tcBorders>
            <w:shd w:val="clear" w:color="000000" w:fill="FFFFFF"/>
            <w:noWrap/>
            <w:vAlign w:val="bottom"/>
          </w:tcPr>
          <w:p w14:paraId="5A6322A8" w14:textId="19F9ED15" w:rsidR="004A2C0D" w:rsidRPr="004D1211" w:rsidRDefault="008126A8" w:rsidP="00817521">
            <w:pPr>
              <w:keepLines w:val="0"/>
              <w:widowControl/>
              <w:jc w:val="center"/>
              <w:rPr>
                <w:rFonts w:ascii="Cambria" w:hAnsi="Cambria" w:cs="Arial"/>
                <w:sz w:val="18"/>
                <w:szCs w:val="18"/>
                <w:lang w:val="es-ES"/>
              </w:rPr>
            </w:pPr>
            <w:r>
              <w:rPr>
                <w:rFonts w:ascii="Cambria" w:hAnsi="Cambria" w:cs="Arial"/>
                <w:sz w:val="18"/>
                <w:szCs w:val="18"/>
                <w:lang w:val="es-ES"/>
              </w:rPr>
              <w:t>-</w:t>
            </w:r>
          </w:p>
        </w:tc>
        <w:tc>
          <w:tcPr>
            <w:tcW w:w="760" w:type="dxa"/>
            <w:tcBorders>
              <w:top w:val="nil"/>
              <w:left w:val="nil"/>
              <w:bottom w:val="nil"/>
              <w:right w:val="nil"/>
            </w:tcBorders>
            <w:shd w:val="clear" w:color="000000" w:fill="FFFFFF"/>
            <w:noWrap/>
            <w:vAlign w:val="bottom"/>
          </w:tcPr>
          <w:p w14:paraId="28357E05" w14:textId="05658803" w:rsidR="004A2C0D" w:rsidRPr="004D1211" w:rsidRDefault="008126A8" w:rsidP="00817521">
            <w:pPr>
              <w:keepLines w:val="0"/>
              <w:widowControl/>
              <w:jc w:val="right"/>
              <w:rPr>
                <w:rFonts w:ascii="Cambria" w:hAnsi="Cambria" w:cs="Arial"/>
                <w:sz w:val="18"/>
                <w:szCs w:val="18"/>
                <w:lang w:val="es-ES"/>
              </w:rPr>
            </w:pPr>
            <w:r>
              <w:rPr>
                <w:rFonts w:ascii="Cambria" w:hAnsi="Cambria" w:cs="Arial"/>
                <w:sz w:val="18"/>
                <w:szCs w:val="18"/>
                <w:lang w:val="es-ES"/>
              </w:rPr>
              <w:t>(1.871)</w:t>
            </w:r>
          </w:p>
        </w:tc>
        <w:tc>
          <w:tcPr>
            <w:tcW w:w="980" w:type="dxa"/>
            <w:tcBorders>
              <w:top w:val="nil"/>
              <w:left w:val="single" w:sz="8" w:space="0" w:color="auto"/>
              <w:bottom w:val="nil"/>
              <w:right w:val="single" w:sz="8" w:space="0" w:color="auto"/>
            </w:tcBorders>
            <w:shd w:val="clear" w:color="000000" w:fill="FFFFFF"/>
            <w:noWrap/>
            <w:vAlign w:val="bottom"/>
          </w:tcPr>
          <w:p w14:paraId="27304A61" w14:textId="33A34CE3" w:rsidR="004A2C0D" w:rsidRPr="004D1211" w:rsidRDefault="000063CB" w:rsidP="004A2C0D">
            <w:pPr>
              <w:keepLines w:val="0"/>
              <w:widowControl/>
              <w:jc w:val="right"/>
              <w:rPr>
                <w:rFonts w:ascii="Cambria" w:hAnsi="Cambria" w:cs="Arial"/>
                <w:sz w:val="18"/>
                <w:szCs w:val="18"/>
                <w:lang w:val="es-ES"/>
              </w:rPr>
            </w:pPr>
            <w:r>
              <w:rPr>
                <w:rFonts w:ascii="Cambria" w:hAnsi="Cambria" w:cs="Arial"/>
                <w:sz w:val="18"/>
                <w:szCs w:val="18"/>
                <w:lang w:val="es-ES"/>
              </w:rPr>
              <w:t>(70)</w:t>
            </w:r>
          </w:p>
        </w:tc>
        <w:tc>
          <w:tcPr>
            <w:tcW w:w="740" w:type="dxa"/>
            <w:tcBorders>
              <w:top w:val="nil"/>
              <w:left w:val="nil"/>
              <w:bottom w:val="nil"/>
              <w:right w:val="nil"/>
            </w:tcBorders>
            <w:shd w:val="clear" w:color="000000" w:fill="FFFFFF"/>
            <w:noWrap/>
            <w:vAlign w:val="bottom"/>
          </w:tcPr>
          <w:p w14:paraId="02A22670" w14:textId="6E04435B" w:rsidR="004A2C0D" w:rsidRPr="004D1211" w:rsidRDefault="000063CB" w:rsidP="00817521">
            <w:pPr>
              <w:keepLines w:val="0"/>
              <w:widowControl/>
              <w:jc w:val="right"/>
              <w:rPr>
                <w:rFonts w:ascii="Cambria" w:hAnsi="Cambria" w:cs="Arial"/>
                <w:sz w:val="18"/>
                <w:szCs w:val="18"/>
                <w:lang w:val="es-ES"/>
              </w:rPr>
            </w:pPr>
            <w:r>
              <w:rPr>
                <w:rFonts w:ascii="Cambria" w:hAnsi="Cambria" w:cs="Arial"/>
                <w:sz w:val="18"/>
                <w:szCs w:val="18"/>
                <w:lang w:val="es-ES"/>
              </w:rPr>
              <w:t>(241)</w:t>
            </w:r>
          </w:p>
        </w:tc>
        <w:tc>
          <w:tcPr>
            <w:tcW w:w="820" w:type="dxa"/>
            <w:tcBorders>
              <w:top w:val="nil"/>
              <w:left w:val="single" w:sz="8" w:space="0" w:color="auto"/>
              <w:bottom w:val="nil"/>
              <w:right w:val="single" w:sz="8" w:space="0" w:color="auto"/>
            </w:tcBorders>
            <w:shd w:val="clear" w:color="000000" w:fill="FFFFFF"/>
            <w:noWrap/>
            <w:vAlign w:val="bottom"/>
          </w:tcPr>
          <w:p w14:paraId="21A936D5" w14:textId="6E84D5F1" w:rsidR="004A2C0D" w:rsidRPr="004D1211" w:rsidRDefault="000063CB" w:rsidP="004A2C0D">
            <w:pPr>
              <w:keepLines w:val="0"/>
              <w:widowControl/>
              <w:jc w:val="right"/>
              <w:rPr>
                <w:rFonts w:ascii="Cambria" w:hAnsi="Cambria" w:cs="Arial"/>
                <w:sz w:val="18"/>
                <w:szCs w:val="18"/>
                <w:lang w:val="es-ES"/>
              </w:rPr>
            </w:pPr>
            <w:r>
              <w:rPr>
                <w:rFonts w:ascii="Cambria" w:hAnsi="Cambria" w:cs="Arial"/>
                <w:sz w:val="18"/>
                <w:szCs w:val="18"/>
                <w:lang w:val="es-ES"/>
              </w:rPr>
              <w:t>(2)</w:t>
            </w:r>
          </w:p>
        </w:tc>
        <w:tc>
          <w:tcPr>
            <w:tcW w:w="740" w:type="dxa"/>
            <w:tcBorders>
              <w:top w:val="nil"/>
              <w:left w:val="nil"/>
              <w:bottom w:val="nil"/>
              <w:right w:val="nil"/>
            </w:tcBorders>
            <w:shd w:val="clear" w:color="000000" w:fill="FFFFFF"/>
            <w:vAlign w:val="center"/>
          </w:tcPr>
          <w:p w14:paraId="73A9604C" w14:textId="71F0BE07" w:rsidR="004A2C0D" w:rsidRPr="004D1211" w:rsidRDefault="000063CB" w:rsidP="004A2C0D">
            <w:pPr>
              <w:keepLines w:val="0"/>
              <w:widowControl/>
              <w:jc w:val="center"/>
              <w:rPr>
                <w:rFonts w:ascii="Cambria" w:hAnsi="Cambria" w:cs="Arial"/>
                <w:sz w:val="18"/>
                <w:szCs w:val="18"/>
                <w:lang w:val="es-ES"/>
              </w:rPr>
            </w:pPr>
            <w:r>
              <w:rPr>
                <w:rFonts w:ascii="Cambria" w:hAnsi="Cambria" w:cs="Arial"/>
                <w:sz w:val="18"/>
                <w:szCs w:val="18"/>
                <w:lang w:val="es-ES"/>
              </w:rPr>
              <w:t>-</w:t>
            </w:r>
          </w:p>
        </w:tc>
        <w:tc>
          <w:tcPr>
            <w:tcW w:w="760" w:type="dxa"/>
            <w:tcBorders>
              <w:top w:val="nil"/>
              <w:left w:val="single" w:sz="8" w:space="0" w:color="auto"/>
              <w:bottom w:val="nil"/>
              <w:right w:val="single" w:sz="8" w:space="0" w:color="auto"/>
            </w:tcBorders>
            <w:shd w:val="clear" w:color="000000" w:fill="FFFFFF"/>
            <w:noWrap/>
            <w:vAlign w:val="bottom"/>
          </w:tcPr>
          <w:p w14:paraId="43E02910" w14:textId="0BEED8EC" w:rsidR="004A2C0D" w:rsidRPr="004D1211" w:rsidRDefault="00EE0454" w:rsidP="000D558E">
            <w:pPr>
              <w:keepLines w:val="0"/>
              <w:widowControl/>
              <w:jc w:val="right"/>
              <w:rPr>
                <w:rFonts w:ascii="Cambria" w:hAnsi="Cambria" w:cs="Arial"/>
                <w:sz w:val="18"/>
                <w:szCs w:val="18"/>
                <w:lang w:val="es-ES"/>
              </w:rPr>
            </w:pPr>
            <w:r>
              <w:rPr>
                <w:rFonts w:ascii="Cambria" w:hAnsi="Cambria" w:cs="Arial"/>
                <w:sz w:val="18"/>
                <w:szCs w:val="18"/>
                <w:lang w:val="es-ES"/>
              </w:rPr>
              <w:t>(2.184)</w:t>
            </w:r>
          </w:p>
        </w:tc>
      </w:tr>
      <w:tr w:rsidR="004A2C0D" w:rsidRPr="004D1211" w14:paraId="048A9E80" w14:textId="77777777" w:rsidTr="00903B1B">
        <w:trPr>
          <w:trHeight w:val="270"/>
        </w:trPr>
        <w:tc>
          <w:tcPr>
            <w:tcW w:w="1920" w:type="dxa"/>
            <w:tcBorders>
              <w:top w:val="nil"/>
              <w:left w:val="single" w:sz="8" w:space="0" w:color="auto"/>
              <w:bottom w:val="single" w:sz="8" w:space="0" w:color="auto"/>
              <w:right w:val="nil"/>
            </w:tcBorders>
            <w:shd w:val="clear" w:color="000000" w:fill="FFFFFF"/>
            <w:noWrap/>
            <w:vAlign w:val="center"/>
            <w:hideMark/>
          </w:tcPr>
          <w:p w14:paraId="12FE6FF7" w14:textId="77777777" w:rsidR="004A2C0D" w:rsidRPr="004D1211" w:rsidRDefault="004A2C0D" w:rsidP="004A2C0D">
            <w:pPr>
              <w:keepLines w:val="0"/>
              <w:widowControl/>
              <w:jc w:val="left"/>
              <w:rPr>
                <w:rFonts w:ascii="Cambria" w:hAnsi="Cambria" w:cs="Arial"/>
                <w:sz w:val="18"/>
                <w:szCs w:val="18"/>
                <w:lang w:val="es-ES"/>
              </w:rPr>
            </w:pPr>
            <w:r w:rsidRPr="004D1211">
              <w:rPr>
                <w:rFonts w:ascii="Cambria" w:hAnsi="Cambria" w:cs="Arial"/>
                <w:sz w:val="18"/>
                <w:szCs w:val="18"/>
                <w:lang w:val="es-ES"/>
              </w:rPr>
              <w:t>Traspasos</w:t>
            </w:r>
          </w:p>
        </w:tc>
        <w:tc>
          <w:tcPr>
            <w:tcW w:w="1244" w:type="dxa"/>
            <w:tcBorders>
              <w:top w:val="nil"/>
              <w:left w:val="single" w:sz="8" w:space="0" w:color="auto"/>
              <w:bottom w:val="single" w:sz="8" w:space="0" w:color="auto"/>
              <w:right w:val="single" w:sz="8" w:space="0" w:color="auto"/>
            </w:tcBorders>
            <w:shd w:val="clear" w:color="auto" w:fill="auto"/>
            <w:noWrap/>
            <w:vAlign w:val="center"/>
          </w:tcPr>
          <w:p w14:paraId="461A0A0E" w14:textId="1BB150A3" w:rsidR="004A2C0D" w:rsidRPr="004D1211" w:rsidRDefault="00B93AE4" w:rsidP="004A2C0D">
            <w:pPr>
              <w:keepLines w:val="0"/>
              <w:widowControl/>
              <w:jc w:val="center"/>
              <w:rPr>
                <w:rFonts w:ascii="Cambria" w:hAnsi="Cambria" w:cs="Arial"/>
                <w:sz w:val="18"/>
                <w:szCs w:val="18"/>
                <w:lang w:val="es-ES"/>
              </w:rPr>
            </w:pPr>
            <w:r w:rsidRPr="004D1211">
              <w:rPr>
                <w:rFonts w:ascii="Cambria" w:hAnsi="Cambria" w:cs="Arial"/>
                <w:sz w:val="18"/>
                <w:szCs w:val="18"/>
                <w:lang w:val="es-ES"/>
              </w:rPr>
              <w:t>-</w:t>
            </w:r>
          </w:p>
        </w:tc>
        <w:tc>
          <w:tcPr>
            <w:tcW w:w="880" w:type="dxa"/>
            <w:tcBorders>
              <w:top w:val="nil"/>
              <w:left w:val="nil"/>
              <w:bottom w:val="single" w:sz="8" w:space="0" w:color="auto"/>
              <w:right w:val="nil"/>
            </w:tcBorders>
            <w:shd w:val="clear" w:color="000000" w:fill="FFFFFF"/>
            <w:noWrap/>
            <w:vAlign w:val="center"/>
          </w:tcPr>
          <w:p w14:paraId="7000A52F" w14:textId="682A72EE" w:rsidR="004A2C0D" w:rsidRPr="004D1211" w:rsidRDefault="00077F1B" w:rsidP="00B93AE4">
            <w:pPr>
              <w:keepLines w:val="0"/>
              <w:widowControl/>
              <w:jc w:val="center"/>
              <w:rPr>
                <w:rFonts w:ascii="Cambria" w:hAnsi="Cambria" w:cs="Arial"/>
                <w:sz w:val="18"/>
                <w:szCs w:val="18"/>
                <w:lang w:val="es-ES"/>
              </w:rPr>
            </w:pPr>
            <w:r>
              <w:rPr>
                <w:rFonts w:ascii="Cambria" w:hAnsi="Cambria" w:cs="Arial"/>
                <w:sz w:val="18"/>
                <w:szCs w:val="18"/>
                <w:lang w:val="es-ES"/>
              </w:rPr>
              <w:t>(3)</w:t>
            </w:r>
          </w:p>
        </w:tc>
        <w:tc>
          <w:tcPr>
            <w:tcW w:w="780" w:type="dxa"/>
            <w:tcBorders>
              <w:top w:val="nil"/>
              <w:left w:val="single" w:sz="8" w:space="0" w:color="auto"/>
              <w:bottom w:val="single" w:sz="8" w:space="0" w:color="auto"/>
              <w:right w:val="single" w:sz="8" w:space="0" w:color="auto"/>
            </w:tcBorders>
            <w:shd w:val="clear" w:color="000000" w:fill="FFFFFF"/>
            <w:vAlign w:val="center"/>
          </w:tcPr>
          <w:p w14:paraId="63CDDDB4" w14:textId="337146AE" w:rsidR="004A2C0D" w:rsidRPr="004D1211" w:rsidRDefault="00B93AE4" w:rsidP="004A2C0D">
            <w:pPr>
              <w:keepLines w:val="0"/>
              <w:widowControl/>
              <w:jc w:val="center"/>
              <w:rPr>
                <w:rFonts w:ascii="Cambria" w:hAnsi="Cambria" w:cs="Arial"/>
                <w:sz w:val="18"/>
                <w:szCs w:val="18"/>
                <w:lang w:val="es-ES"/>
              </w:rPr>
            </w:pPr>
            <w:r w:rsidRPr="004D1211">
              <w:rPr>
                <w:rFonts w:ascii="Cambria" w:hAnsi="Cambria" w:cs="Arial"/>
                <w:sz w:val="18"/>
                <w:szCs w:val="18"/>
                <w:lang w:val="es-ES"/>
              </w:rPr>
              <w:t>-</w:t>
            </w:r>
          </w:p>
        </w:tc>
        <w:tc>
          <w:tcPr>
            <w:tcW w:w="760" w:type="dxa"/>
            <w:tcBorders>
              <w:top w:val="nil"/>
              <w:left w:val="nil"/>
              <w:bottom w:val="nil"/>
              <w:right w:val="nil"/>
            </w:tcBorders>
            <w:shd w:val="clear" w:color="000000" w:fill="FFFFFF"/>
            <w:noWrap/>
            <w:vAlign w:val="center"/>
          </w:tcPr>
          <w:p w14:paraId="6BBF364D" w14:textId="4E62637D" w:rsidR="004A2C0D" w:rsidRPr="004D1211" w:rsidRDefault="00B93AE4" w:rsidP="000D558E">
            <w:pPr>
              <w:keepLines w:val="0"/>
              <w:widowControl/>
              <w:jc w:val="right"/>
              <w:rPr>
                <w:rFonts w:ascii="Cambria" w:hAnsi="Cambria" w:cs="Arial"/>
                <w:sz w:val="18"/>
                <w:szCs w:val="18"/>
                <w:lang w:val="es-ES"/>
              </w:rPr>
            </w:pPr>
            <w:r w:rsidRPr="004D1211">
              <w:rPr>
                <w:rFonts w:ascii="Cambria" w:hAnsi="Cambria" w:cs="Arial"/>
                <w:sz w:val="18"/>
                <w:szCs w:val="18"/>
                <w:lang w:val="es-ES"/>
              </w:rPr>
              <w:t>1.46</w:t>
            </w:r>
            <w:r w:rsidR="00EE0454">
              <w:rPr>
                <w:rFonts w:ascii="Cambria" w:hAnsi="Cambria" w:cs="Arial"/>
                <w:sz w:val="18"/>
                <w:szCs w:val="18"/>
                <w:lang w:val="es-ES"/>
              </w:rPr>
              <w:t>9</w:t>
            </w:r>
          </w:p>
        </w:tc>
        <w:tc>
          <w:tcPr>
            <w:tcW w:w="980" w:type="dxa"/>
            <w:tcBorders>
              <w:top w:val="nil"/>
              <w:left w:val="single" w:sz="8" w:space="0" w:color="auto"/>
              <w:bottom w:val="single" w:sz="8" w:space="0" w:color="auto"/>
              <w:right w:val="single" w:sz="8" w:space="0" w:color="auto"/>
            </w:tcBorders>
            <w:shd w:val="clear" w:color="000000" w:fill="FFFFFF"/>
            <w:vAlign w:val="center"/>
          </w:tcPr>
          <w:p w14:paraId="2193281A" w14:textId="132D592A" w:rsidR="004A2C0D" w:rsidRPr="004D1211" w:rsidRDefault="00B93AE4" w:rsidP="004A2C0D">
            <w:pPr>
              <w:keepLines w:val="0"/>
              <w:widowControl/>
              <w:jc w:val="right"/>
              <w:rPr>
                <w:rFonts w:ascii="Cambria" w:hAnsi="Cambria" w:cs="Arial"/>
                <w:sz w:val="18"/>
                <w:szCs w:val="18"/>
                <w:lang w:val="es-ES"/>
              </w:rPr>
            </w:pPr>
            <w:r w:rsidRPr="004D1211">
              <w:rPr>
                <w:rFonts w:ascii="Cambria" w:hAnsi="Cambria" w:cs="Arial"/>
                <w:sz w:val="18"/>
                <w:szCs w:val="18"/>
                <w:lang w:val="es-ES"/>
              </w:rPr>
              <w:t>61</w:t>
            </w:r>
          </w:p>
        </w:tc>
        <w:tc>
          <w:tcPr>
            <w:tcW w:w="740" w:type="dxa"/>
            <w:tcBorders>
              <w:top w:val="nil"/>
              <w:left w:val="nil"/>
              <w:bottom w:val="single" w:sz="8" w:space="0" w:color="auto"/>
              <w:right w:val="nil"/>
            </w:tcBorders>
            <w:shd w:val="clear" w:color="000000" w:fill="FFFFFF"/>
            <w:vAlign w:val="center"/>
          </w:tcPr>
          <w:p w14:paraId="2576384D" w14:textId="2940DDF2" w:rsidR="004A2C0D" w:rsidRPr="004D1211" w:rsidRDefault="004D1211" w:rsidP="004A2C0D">
            <w:pPr>
              <w:keepLines w:val="0"/>
              <w:widowControl/>
              <w:jc w:val="right"/>
              <w:rPr>
                <w:rFonts w:ascii="Cambria" w:hAnsi="Cambria" w:cs="Arial"/>
                <w:sz w:val="18"/>
                <w:szCs w:val="18"/>
                <w:lang w:val="es-ES"/>
              </w:rPr>
            </w:pPr>
            <w:r w:rsidRPr="004D1211">
              <w:rPr>
                <w:rFonts w:ascii="Cambria" w:hAnsi="Cambria" w:cs="Arial"/>
                <w:sz w:val="18"/>
                <w:szCs w:val="18"/>
                <w:lang w:val="es-ES"/>
              </w:rPr>
              <w:t>227</w:t>
            </w:r>
          </w:p>
        </w:tc>
        <w:tc>
          <w:tcPr>
            <w:tcW w:w="820" w:type="dxa"/>
            <w:tcBorders>
              <w:top w:val="nil"/>
              <w:left w:val="single" w:sz="8" w:space="0" w:color="auto"/>
              <w:bottom w:val="single" w:sz="8" w:space="0" w:color="auto"/>
              <w:right w:val="single" w:sz="8" w:space="0" w:color="auto"/>
            </w:tcBorders>
            <w:shd w:val="clear" w:color="000000" w:fill="FFFFFF"/>
            <w:vAlign w:val="center"/>
          </w:tcPr>
          <w:p w14:paraId="435AA70F" w14:textId="79108292" w:rsidR="004A2C0D" w:rsidRPr="004D1211" w:rsidRDefault="000063CB" w:rsidP="00E561F5">
            <w:pPr>
              <w:keepLines w:val="0"/>
              <w:widowControl/>
              <w:jc w:val="right"/>
              <w:rPr>
                <w:rFonts w:ascii="Cambria" w:hAnsi="Cambria" w:cs="Arial"/>
                <w:sz w:val="18"/>
                <w:szCs w:val="18"/>
                <w:lang w:val="es-ES"/>
              </w:rPr>
            </w:pPr>
            <w:r>
              <w:rPr>
                <w:rFonts w:ascii="Cambria" w:hAnsi="Cambria" w:cs="Arial"/>
                <w:sz w:val="18"/>
                <w:szCs w:val="18"/>
                <w:lang w:val="es-ES"/>
              </w:rPr>
              <w:t>2</w:t>
            </w:r>
          </w:p>
        </w:tc>
        <w:tc>
          <w:tcPr>
            <w:tcW w:w="740" w:type="dxa"/>
            <w:tcBorders>
              <w:top w:val="nil"/>
              <w:left w:val="nil"/>
              <w:bottom w:val="single" w:sz="8" w:space="0" w:color="auto"/>
              <w:right w:val="nil"/>
            </w:tcBorders>
            <w:shd w:val="clear" w:color="000000" w:fill="FFFFFF"/>
            <w:vAlign w:val="center"/>
          </w:tcPr>
          <w:p w14:paraId="07C7B010" w14:textId="582C357E" w:rsidR="004A2C0D" w:rsidRPr="004D1211" w:rsidRDefault="000063CB" w:rsidP="004A2C0D">
            <w:pPr>
              <w:keepLines w:val="0"/>
              <w:widowControl/>
              <w:jc w:val="right"/>
              <w:rPr>
                <w:rFonts w:ascii="Cambria" w:hAnsi="Cambria" w:cs="Arial"/>
                <w:sz w:val="18"/>
                <w:szCs w:val="18"/>
                <w:lang w:val="es-ES"/>
              </w:rPr>
            </w:pPr>
            <w:r>
              <w:rPr>
                <w:rFonts w:ascii="Cambria" w:hAnsi="Cambria" w:cs="Arial"/>
                <w:sz w:val="18"/>
                <w:szCs w:val="18"/>
                <w:lang w:val="es-ES"/>
              </w:rPr>
              <w:t>25</w:t>
            </w:r>
          </w:p>
        </w:tc>
        <w:tc>
          <w:tcPr>
            <w:tcW w:w="760" w:type="dxa"/>
            <w:tcBorders>
              <w:top w:val="nil"/>
              <w:left w:val="single" w:sz="8" w:space="0" w:color="auto"/>
              <w:bottom w:val="single" w:sz="8" w:space="0" w:color="auto"/>
              <w:right w:val="single" w:sz="8" w:space="0" w:color="auto"/>
            </w:tcBorders>
            <w:shd w:val="clear" w:color="000000" w:fill="FFFFFF"/>
            <w:noWrap/>
            <w:vAlign w:val="center"/>
          </w:tcPr>
          <w:p w14:paraId="12B9FF7A" w14:textId="3CCEA099" w:rsidR="004A2C0D" w:rsidRPr="004D1211" w:rsidRDefault="00EE0454" w:rsidP="00E561F5">
            <w:pPr>
              <w:keepLines w:val="0"/>
              <w:widowControl/>
              <w:jc w:val="right"/>
              <w:rPr>
                <w:rFonts w:ascii="Cambria" w:hAnsi="Cambria" w:cs="Arial"/>
                <w:sz w:val="18"/>
                <w:szCs w:val="18"/>
                <w:lang w:val="es-ES"/>
              </w:rPr>
            </w:pPr>
            <w:r>
              <w:rPr>
                <w:rFonts w:ascii="Cambria" w:hAnsi="Cambria" w:cs="Arial"/>
                <w:sz w:val="18"/>
                <w:szCs w:val="18"/>
                <w:lang w:val="es-ES"/>
              </w:rPr>
              <w:t>1.781</w:t>
            </w:r>
          </w:p>
        </w:tc>
      </w:tr>
      <w:tr w:rsidR="004A2C0D" w:rsidRPr="004D1211" w14:paraId="0C62BCF0" w14:textId="77777777" w:rsidTr="00903B1B">
        <w:trPr>
          <w:trHeight w:val="270"/>
        </w:trPr>
        <w:tc>
          <w:tcPr>
            <w:tcW w:w="1920" w:type="dxa"/>
            <w:tcBorders>
              <w:top w:val="nil"/>
              <w:left w:val="single" w:sz="8" w:space="0" w:color="auto"/>
              <w:bottom w:val="single" w:sz="8" w:space="0" w:color="auto"/>
              <w:right w:val="single" w:sz="8" w:space="0" w:color="auto"/>
            </w:tcBorders>
            <w:shd w:val="clear" w:color="000000" w:fill="FFFFFF"/>
            <w:noWrap/>
            <w:vAlign w:val="center"/>
            <w:hideMark/>
          </w:tcPr>
          <w:p w14:paraId="54EF4A4C" w14:textId="56557C24" w:rsidR="004A2C0D" w:rsidRPr="004D1211" w:rsidRDefault="00817521" w:rsidP="004A2C0D">
            <w:pPr>
              <w:keepLines w:val="0"/>
              <w:widowControl/>
              <w:jc w:val="left"/>
              <w:rPr>
                <w:rFonts w:ascii="Cambria" w:hAnsi="Cambria" w:cs="Arial"/>
                <w:b/>
                <w:bCs/>
                <w:sz w:val="18"/>
                <w:szCs w:val="18"/>
                <w:lang w:val="es-ES"/>
              </w:rPr>
            </w:pPr>
            <w:r w:rsidRPr="004D1211">
              <w:rPr>
                <w:rFonts w:ascii="Cambria" w:hAnsi="Cambria" w:cs="Arial"/>
                <w:b/>
                <w:bCs/>
                <w:sz w:val="18"/>
                <w:szCs w:val="18"/>
                <w:lang w:val="es-ES"/>
              </w:rPr>
              <w:t>Saldo al 31.12.</w:t>
            </w:r>
            <w:r w:rsidR="00903B1B" w:rsidRPr="004D1211">
              <w:rPr>
                <w:rFonts w:ascii="Cambria" w:hAnsi="Cambria" w:cs="Arial"/>
                <w:b/>
                <w:bCs/>
                <w:sz w:val="18"/>
                <w:szCs w:val="18"/>
                <w:lang w:val="es-ES"/>
              </w:rPr>
              <w:t>20</w:t>
            </w:r>
          </w:p>
        </w:tc>
        <w:tc>
          <w:tcPr>
            <w:tcW w:w="1244" w:type="dxa"/>
            <w:tcBorders>
              <w:top w:val="nil"/>
              <w:left w:val="nil"/>
              <w:bottom w:val="single" w:sz="8" w:space="0" w:color="auto"/>
              <w:right w:val="single" w:sz="8" w:space="0" w:color="auto"/>
            </w:tcBorders>
            <w:shd w:val="clear" w:color="000000" w:fill="FFFFFF"/>
            <w:noWrap/>
            <w:vAlign w:val="center"/>
          </w:tcPr>
          <w:p w14:paraId="7B022F7B" w14:textId="31489E73" w:rsidR="004A2C0D" w:rsidRPr="004D1211" w:rsidRDefault="004D1211" w:rsidP="004A2C0D">
            <w:pPr>
              <w:keepLines w:val="0"/>
              <w:widowControl/>
              <w:jc w:val="right"/>
              <w:rPr>
                <w:rFonts w:ascii="Cambria" w:hAnsi="Cambria" w:cs="Arial"/>
                <w:b/>
                <w:bCs/>
                <w:sz w:val="18"/>
                <w:szCs w:val="18"/>
                <w:lang w:val="es-ES"/>
              </w:rPr>
            </w:pPr>
            <w:r w:rsidRPr="004D1211">
              <w:rPr>
                <w:rFonts w:ascii="Cambria" w:hAnsi="Cambria" w:cs="Arial"/>
                <w:b/>
                <w:bCs/>
                <w:sz w:val="18"/>
                <w:szCs w:val="18"/>
                <w:lang w:val="es-ES"/>
              </w:rPr>
              <w:t>1.768</w:t>
            </w:r>
          </w:p>
        </w:tc>
        <w:tc>
          <w:tcPr>
            <w:tcW w:w="880" w:type="dxa"/>
            <w:tcBorders>
              <w:top w:val="nil"/>
              <w:left w:val="nil"/>
              <w:bottom w:val="single" w:sz="8" w:space="0" w:color="auto"/>
              <w:right w:val="single" w:sz="8" w:space="0" w:color="auto"/>
            </w:tcBorders>
            <w:shd w:val="clear" w:color="000000" w:fill="FFFFFF"/>
            <w:noWrap/>
            <w:vAlign w:val="center"/>
          </w:tcPr>
          <w:p w14:paraId="1DE474C7" w14:textId="4CE8DFAC" w:rsidR="004A2C0D" w:rsidRPr="004D1211" w:rsidRDefault="008126A8" w:rsidP="004A2C0D">
            <w:pPr>
              <w:keepLines w:val="0"/>
              <w:widowControl/>
              <w:jc w:val="right"/>
              <w:rPr>
                <w:rFonts w:ascii="Cambria" w:hAnsi="Cambria" w:cs="Arial"/>
                <w:b/>
                <w:bCs/>
                <w:sz w:val="18"/>
                <w:szCs w:val="18"/>
                <w:lang w:val="es-ES"/>
              </w:rPr>
            </w:pPr>
            <w:r>
              <w:rPr>
                <w:rFonts w:ascii="Cambria" w:hAnsi="Cambria" w:cs="Arial"/>
                <w:b/>
                <w:bCs/>
                <w:sz w:val="18"/>
                <w:szCs w:val="18"/>
                <w:lang w:val="es-ES"/>
              </w:rPr>
              <w:t>298</w:t>
            </w:r>
          </w:p>
        </w:tc>
        <w:tc>
          <w:tcPr>
            <w:tcW w:w="780" w:type="dxa"/>
            <w:tcBorders>
              <w:top w:val="nil"/>
              <w:left w:val="nil"/>
              <w:bottom w:val="single" w:sz="8" w:space="0" w:color="auto"/>
              <w:right w:val="single" w:sz="8" w:space="0" w:color="auto"/>
            </w:tcBorders>
            <w:shd w:val="clear" w:color="000000" w:fill="FFFFFF"/>
            <w:noWrap/>
            <w:vAlign w:val="center"/>
          </w:tcPr>
          <w:p w14:paraId="6060A9C4" w14:textId="6015FF32" w:rsidR="004A2C0D" w:rsidRPr="004D1211" w:rsidRDefault="008126A8" w:rsidP="004A2C0D">
            <w:pPr>
              <w:keepLines w:val="0"/>
              <w:widowControl/>
              <w:jc w:val="right"/>
              <w:rPr>
                <w:rFonts w:ascii="Cambria" w:hAnsi="Cambria" w:cs="Arial"/>
                <w:b/>
                <w:bCs/>
                <w:sz w:val="18"/>
                <w:szCs w:val="18"/>
                <w:lang w:val="es-ES"/>
              </w:rPr>
            </w:pPr>
            <w:r>
              <w:rPr>
                <w:rFonts w:ascii="Cambria" w:hAnsi="Cambria" w:cs="Arial"/>
                <w:b/>
                <w:bCs/>
                <w:sz w:val="18"/>
                <w:szCs w:val="18"/>
                <w:lang w:val="es-ES"/>
              </w:rPr>
              <w:t>203</w:t>
            </w:r>
          </w:p>
        </w:tc>
        <w:tc>
          <w:tcPr>
            <w:tcW w:w="760" w:type="dxa"/>
            <w:tcBorders>
              <w:top w:val="single" w:sz="8" w:space="0" w:color="auto"/>
              <w:left w:val="nil"/>
              <w:bottom w:val="single" w:sz="8" w:space="0" w:color="auto"/>
              <w:right w:val="single" w:sz="8" w:space="0" w:color="auto"/>
            </w:tcBorders>
            <w:shd w:val="clear" w:color="000000" w:fill="FFFFFF"/>
            <w:noWrap/>
            <w:vAlign w:val="center"/>
          </w:tcPr>
          <w:p w14:paraId="775DBC3C" w14:textId="1F131AC7" w:rsidR="004A2C0D" w:rsidRPr="004D1211" w:rsidRDefault="008126A8" w:rsidP="00817521">
            <w:pPr>
              <w:keepLines w:val="0"/>
              <w:widowControl/>
              <w:jc w:val="right"/>
              <w:rPr>
                <w:rFonts w:ascii="Cambria" w:hAnsi="Cambria" w:cs="Arial"/>
                <w:b/>
                <w:bCs/>
                <w:sz w:val="18"/>
                <w:szCs w:val="18"/>
                <w:lang w:val="es-ES"/>
              </w:rPr>
            </w:pPr>
            <w:r>
              <w:rPr>
                <w:rFonts w:ascii="Cambria" w:hAnsi="Cambria" w:cs="Arial"/>
                <w:b/>
                <w:bCs/>
                <w:sz w:val="18"/>
                <w:szCs w:val="18"/>
                <w:lang w:val="es-ES"/>
              </w:rPr>
              <w:t>1.470</w:t>
            </w:r>
          </w:p>
        </w:tc>
        <w:tc>
          <w:tcPr>
            <w:tcW w:w="980" w:type="dxa"/>
            <w:tcBorders>
              <w:top w:val="nil"/>
              <w:left w:val="nil"/>
              <w:bottom w:val="single" w:sz="8" w:space="0" w:color="auto"/>
              <w:right w:val="single" w:sz="8" w:space="0" w:color="auto"/>
            </w:tcBorders>
            <w:shd w:val="clear" w:color="000000" w:fill="FFFFFF"/>
            <w:noWrap/>
            <w:vAlign w:val="center"/>
          </w:tcPr>
          <w:p w14:paraId="620B498C" w14:textId="3A8BE05E" w:rsidR="004A2C0D" w:rsidRPr="004D1211" w:rsidRDefault="000063CB" w:rsidP="00817521">
            <w:pPr>
              <w:keepLines w:val="0"/>
              <w:widowControl/>
              <w:jc w:val="right"/>
              <w:rPr>
                <w:rFonts w:ascii="Cambria" w:hAnsi="Cambria" w:cs="Arial"/>
                <w:b/>
                <w:bCs/>
                <w:sz w:val="18"/>
                <w:szCs w:val="18"/>
                <w:lang w:val="es-ES"/>
              </w:rPr>
            </w:pPr>
            <w:r>
              <w:rPr>
                <w:rFonts w:ascii="Cambria" w:hAnsi="Cambria" w:cs="Arial"/>
                <w:b/>
                <w:bCs/>
                <w:sz w:val="18"/>
                <w:szCs w:val="18"/>
                <w:lang w:val="es-ES"/>
              </w:rPr>
              <w:t>61</w:t>
            </w:r>
          </w:p>
        </w:tc>
        <w:tc>
          <w:tcPr>
            <w:tcW w:w="740" w:type="dxa"/>
            <w:tcBorders>
              <w:top w:val="nil"/>
              <w:left w:val="nil"/>
              <w:bottom w:val="single" w:sz="8" w:space="0" w:color="auto"/>
              <w:right w:val="single" w:sz="8" w:space="0" w:color="auto"/>
            </w:tcBorders>
            <w:shd w:val="clear" w:color="000000" w:fill="FFFFFF"/>
            <w:noWrap/>
            <w:vAlign w:val="center"/>
          </w:tcPr>
          <w:p w14:paraId="66117485" w14:textId="413390E9" w:rsidR="004A2C0D" w:rsidRPr="004D1211" w:rsidRDefault="000063CB" w:rsidP="004A2C0D">
            <w:pPr>
              <w:keepLines w:val="0"/>
              <w:widowControl/>
              <w:jc w:val="right"/>
              <w:rPr>
                <w:rFonts w:ascii="Cambria" w:hAnsi="Cambria" w:cs="Arial"/>
                <w:b/>
                <w:bCs/>
                <w:sz w:val="18"/>
                <w:szCs w:val="18"/>
                <w:lang w:val="es-ES"/>
              </w:rPr>
            </w:pPr>
            <w:r>
              <w:rPr>
                <w:rFonts w:ascii="Cambria" w:hAnsi="Cambria" w:cs="Arial"/>
                <w:b/>
                <w:bCs/>
                <w:sz w:val="18"/>
                <w:szCs w:val="18"/>
                <w:lang w:val="es-ES"/>
              </w:rPr>
              <w:t>220</w:t>
            </w:r>
          </w:p>
        </w:tc>
        <w:tc>
          <w:tcPr>
            <w:tcW w:w="820" w:type="dxa"/>
            <w:tcBorders>
              <w:top w:val="nil"/>
              <w:left w:val="nil"/>
              <w:bottom w:val="single" w:sz="8" w:space="0" w:color="auto"/>
              <w:right w:val="single" w:sz="8" w:space="0" w:color="auto"/>
            </w:tcBorders>
            <w:shd w:val="clear" w:color="000000" w:fill="FFFFFF"/>
            <w:noWrap/>
            <w:vAlign w:val="center"/>
          </w:tcPr>
          <w:p w14:paraId="46B00B67" w14:textId="606867A6" w:rsidR="004A2C0D" w:rsidRPr="004D1211" w:rsidRDefault="000063CB" w:rsidP="00E561F5">
            <w:pPr>
              <w:keepLines w:val="0"/>
              <w:widowControl/>
              <w:jc w:val="right"/>
              <w:rPr>
                <w:rFonts w:ascii="Cambria" w:hAnsi="Cambria" w:cs="Arial"/>
                <w:b/>
                <w:bCs/>
                <w:sz w:val="18"/>
                <w:szCs w:val="18"/>
                <w:lang w:val="es-ES"/>
              </w:rPr>
            </w:pPr>
            <w:r>
              <w:rPr>
                <w:rFonts w:ascii="Cambria" w:hAnsi="Cambria" w:cs="Arial"/>
                <w:b/>
                <w:bCs/>
                <w:sz w:val="18"/>
                <w:szCs w:val="18"/>
                <w:lang w:val="es-ES"/>
              </w:rPr>
              <w:t>10</w:t>
            </w:r>
          </w:p>
        </w:tc>
        <w:tc>
          <w:tcPr>
            <w:tcW w:w="740" w:type="dxa"/>
            <w:tcBorders>
              <w:top w:val="nil"/>
              <w:left w:val="nil"/>
              <w:bottom w:val="single" w:sz="8" w:space="0" w:color="auto"/>
              <w:right w:val="single" w:sz="8" w:space="0" w:color="auto"/>
            </w:tcBorders>
            <w:shd w:val="clear" w:color="000000" w:fill="FFFFFF"/>
            <w:noWrap/>
            <w:vAlign w:val="center"/>
          </w:tcPr>
          <w:p w14:paraId="6AB23646" w14:textId="2AF1D9EA" w:rsidR="004A2C0D" w:rsidRPr="004D1211" w:rsidRDefault="000063CB" w:rsidP="004A2C0D">
            <w:pPr>
              <w:keepLines w:val="0"/>
              <w:widowControl/>
              <w:jc w:val="right"/>
              <w:rPr>
                <w:rFonts w:ascii="Cambria" w:hAnsi="Cambria" w:cs="Arial"/>
                <w:b/>
                <w:bCs/>
                <w:sz w:val="18"/>
                <w:szCs w:val="18"/>
                <w:lang w:val="es-ES"/>
              </w:rPr>
            </w:pPr>
            <w:r>
              <w:rPr>
                <w:rFonts w:ascii="Cambria" w:hAnsi="Cambria" w:cs="Arial"/>
                <w:b/>
                <w:bCs/>
                <w:sz w:val="18"/>
                <w:szCs w:val="18"/>
                <w:lang w:val="es-ES"/>
              </w:rPr>
              <w:t>552</w:t>
            </w:r>
          </w:p>
        </w:tc>
        <w:tc>
          <w:tcPr>
            <w:tcW w:w="760" w:type="dxa"/>
            <w:tcBorders>
              <w:top w:val="nil"/>
              <w:left w:val="nil"/>
              <w:bottom w:val="single" w:sz="8" w:space="0" w:color="auto"/>
              <w:right w:val="single" w:sz="8" w:space="0" w:color="auto"/>
            </w:tcBorders>
            <w:shd w:val="clear" w:color="000000" w:fill="FFFFFF"/>
            <w:noWrap/>
            <w:vAlign w:val="center"/>
          </w:tcPr>
          <w:p w14:paraId="51D8FCB0" w14:textId="6F8B1817" w:rsidR="004A2C0D" w:rsidRPr="004D1211" w:rsidRDefault="00EE0454" w:rsidP="004A2C0D">
            <w:pPr>
              <w:keepLines w:val="0"/>
              <w:widowControl/>
              <w:jc w:val="right"/>
              <w:rPr>
                <w:rFonts w:ascii="Cambria" w:hAnsi="Cambria" w:cs="Arial"/>
                <w:b/>
                <w:bCs/>
                <w:sz w:val="18"/>
                <w:szCs w:val="18"/>
                <w:lang w:val="es-ES"/>
              </w:rPr>
            </w:pPr>
            <w:r>
              <w:rPr>
                <w:rFonts w:ascii="Cambria" w:hAnsi="Cambria" w:cs="Arial"/>
                <w:b/>
                <w:bCs/>
                <w:sz w:val="18"/>
                <w:szCs w:val="18"/>
                <w:lang w:val="es-ES"/>
              </w:rPr>
              <w:t>4.582</w:t>
            </w:r>
          </w:p>
        </w:tc>
      </w:tr>
    </w:tbl>
    <w:p w14:paraId="42F7043A" w14:textId="77777777" w:rsidR="004A2C0D" w:rsidRDefault="004A2C0D" w:rsidP="000B1E3E">
      <w:pPr>
        <w:ind w:left="567"/>
        <w:rPr>
          <w:rFonts w:ascii="Cambria" w:hAnsi="Cambria"/>
          <w:b/>
          <w:sz w:val="24"/>
          <w:szCs w:val="24"/>
          <w:u w:val="single"/>
        </w:rPr>
      </w:pPr>
      <w:r w:rsidRPr="004D1211">
        <w:rPr>
          <w:rFonts w:ascii="Cambria" w:hAnsi="Cambria"/>
          <w:b/>
          <w:sz w:val="24"/>
          <w:szCs w:val="24"/>
          <w:u w:val="single"/>
        </w:rPr>
        <w:fldChar w:fldCharType="end"/>
      </w:r>
    </w:p>
    <w:p w14:paraId="1969F206" w14:textId="77777777" w:rsidR="004A2C0D" w:rsidRDefault="004A2C0D">
      <w:pPr>
        <w:keepLines w:val="0"/>
        <w:widowControl/>
        <w:jc w:val="left"/>
        <w:rPr>
          <w:rFonts w:ascii="Cambria" w:hAnsi="Cambria"/>
          <w:b/>
          <w:sz w:val="24"/>
          <w:szCs w:val="24"/>
          <w:u w:val="single"/>
        </w:rPr>
      </w:pPr>
      <w:r>
        <w:rPr>
          <w:rFonts w:ascii="Cambria" w:hAnsi="Cambria"/>
          <w:b/>
          <w:sz w:val="24"/>
          <w:szCs w:val="24"/>
          <w:u w:val="single"/>
        </w:rPr>
        <w:br w:type="page"/>
      </w:r>
    </w:p>
    <w:p w14:paraId="10769890" w14:textId="5E4468DD" w:rsidR="004A2C0D" w:rsidRDefault="004A2C0D" w:rsidP="000B1E3E">
      <w:pPr>
        <w:ind w:left="567"/>
        <w:rPr>
          <w:rFonts w:ascii="Cambria" w:hAnsi="Cambria"/>
          <w:b/>
          <w:sz w:val="24"/>
          <w:szCs w:val="24"/>
          <w:u w:val="single"/>
        </w:rPr>
      </w:pPr>
    </w:p>
    <w:p w14:paraId="7B6FDE1C" w14:textId="77777777" w:rsidR="00C641AC" w:rsidRDefault="00C641AC" w:rsidP="00C641AC">
      <w:pPr>
        <w:ind w:left="567"/>
        <w:rPr>
          <w:rFonts w:ascii="Cambria" w:hAnsi="Cambria"/>
          <w:b/>
          <w:sz w:val="24"/>
          <w:szCs w:val="24"/>
          <w:u w:val="single"/>
        </w:rPr>
      </w:pPr>
      <w:r w:rsidRPr="00F8465B">
        <w:rPr>
          <w:rFonts w:ascii="Cambria" w:hAnsi="Cambria"/>
          <w:b/>
          <w:sz w:val="24"/>
          <w:szCs w:val="24"/>
          <w:u w:val="single"/>
        </w:rPr>
        <w:t>Ejercicio 201</w:t>
      </w:r>
      <w:r>
        <w:rPr>
          <w:rFonts w:ascii="Cambria" w:hAnsi="Cambria"/>
          <w:b/>
          <w:sz w:val="24"/>
          <w:szCs w:val="24"/>
          <w:u w:val="single"/>
        </w:rPr>
        <w:t>9</w:t>
      </w:r>
    </w:p>
    <w:p w14:paraId="0DA8DB4D" w14:textId="77777777" w:rsidR="00C641AC" w:rsidRPr="00F8465B" w:rsidRDefault="00C641AC" w:rsidP="00C641AC">
      <w:pPr>
        <w:ind w:left="567"/>
        <w:rPr>
          <w:rFonts w:ascii="Cambria" w:hAnsi="Cambria"/>
          <w:b/>
          <w:sz w:val="24"/>
          <w:szCs w:val="24"/>
          <w:u w:val="single"/>
        </w:rPr>
      </w:pPr>
    </w:p>
    <w:tbl>
      <w:tblPr>
        <w:tblW w:w="9072" w:type="dxa"/>
        <w:jc w:val="center"/>
        <w:tblCellMar>
          <w:left w:w="70" w:type="dxa"/>
          <w:right w:w="70" w:type="dxa"/>
        </w:tblCellMar>
        <w:tblLook w:val="0000" w:firstRow="0" w:lastRow="0" w:firstColumn="0" w:lastColumn="0" w:noHBand="0" w:noVBand="0"/>
      </w:tblPr>
      <w:tblGrid>
        <w:gridCol w:w="2552"/>
        <w:gridCol w:w="831"/>
        <w:gridCol w:w="807"/>
        <w:gridCol w:w="1162"/>
        <w:gridCol w:w="1065"/>
        <w:gridCol w:w="830"/>
        <w:gridCol w:w="1059"/>
        <w:gridCol w:w="766"/>
      </w:tblGrid>
      <w:tr w:rsidR="00C641AC" w:rsidRPr="00F8465B" w14:paraId="68ABAF4F" w14:textId="77777777" w:rsidTr="00A50FEA">
        <w:trPr>
          <w:trHeight w:val="270"/>
          <w:jc w:val="center"/>
        </w:trPr>
        <w:tc>
          <w:tcPr>
            <w:tcW w:w="2552" w:type="dxa"/>
            <w:tcBorders>
              <w:bottom w:val="single" w:sz="8" w:space="0" w:color="auto"/>
            </w:tcBorders>
            <w:shd w:val="clear" w:color="auto" w:fill="FFFFFF"/>
            <w:noWrap/>
            <w:vAlign w:val="bottom"/>
          </w:tcPr>
          <w:p w14:paraId="21F1D30B" w14:textId="77777777" w:rsidR="00C641AC" w:rsidRPr="00F8465B" w:rsidRDefault="00C641AC" w:rsidP="00A50FEA">
            <w:pPr>
              <w:jc w:val="left"/>
              <w:rPr>
                <w:rFonts w:ascii="Cambria" w:hAnsi="Cambria"/>
                <w:b/>
                <w:bCs/>
                <w:sz w:val="18"/>
                <w:szCs w:val="18"/>
              </w:rPr>
            </w:pPr>
          </w:p>
        </w:tc>
        <w:tc>
          <w:tcPr>
            <w:tcW w:w="831" w:type="dxa"/>
            <w:tcBorders>
              <w:bottom w:val="single" w:sz="8" w:space="0" w:color="auto"/>
            </w:tcBorders>
            <w:shd w:val="clear" w:color="auto" w:fill="FFFFFF"/>
            <w:noWrap/>
            <w:vAlign w:val="bottom"/>
          </w:tcPr>
          <w:p w14:paraId="553A1E11" w14:textId="77777777" w:rsidR="00C641AC" w:rsidRPr="00F8465B" w:rsidRDefault="00C641AC" w:rsidP="00A50FEA">
            <w:pPr>
              <w:jc w:val="center"/>
              <w:rPr>
                <w:rFonts w:ascii="Cambria" w:hAnsi="Cambria"/>
                <w:b/>
                <w:bCs/>
                <w:sz w:val="18"/>
                <w:szCs w:val="18"/>
              </w:rPr>
            </w:pPr>
          </w:p>
        </w:tc>
        <w:tc>
          <w:tcPr>
            <w:tcW w:w="807" w:type="dxa"/>
            <w:tcBorders>
              <w:bottom w:val="single" w:sz="8" w:space="0" w:color="auto"/>
              <w:right w:val="single" w:sz="8" w:space="0" w:color="auto"/>
            </w:tcBorders>
            <w:shd w:val="clear" w:color="auto" w:fill="FFFFFF"/>
            <w:vAlign w:val="bottom"/>
          </w:tcPr>
          <w:p w14:paraId="31A0608C" w14:textId="77777777" w:rsidR="00C641AC" w:rsidRPr="00F8465B" w:rsidRDefault="00C641AC" w:rsidP="00A50FEA">
            <w:pPr>
              <w:jc w:val="center"/>
              <w:rPr>
                <w:rFonts w:ascii="Cambria" w:hAnsi="Cambria"/>
                <w:b/>
                <w:bCs/>
                <w:sz w:val="18"/>
                <w:szCs w:val="18"/>
              </w:rPr>
            </w:pPr>
          </w:p>
        </w:tc>
        <w:tc>
          <w:tcPr>
            <w:tcW w:w="4116" w:type="dxa"/>
            <w:gridSpan w:val="4"/>
            <w:tcBorders>
              <w:top w:val="single" w:sz="8" w:space="0" w:color="auto"/>
              <w:left w:val="single" w:sz="8" w:space="0" w:color="auto"/>
              <w:bottom w:val="single" w:sz="8" w:space="0" w:color="auto"/>
              <w:right w:val="single" w:sz="8" w:space="0" w:color="auto"/>
            </w:tcBorders>
            <w:shd w:val="clear" w:color="auto" w:fill="FFFFFF"/>
            <w:vAlign w:val="bottom"/>
          </w:tcPr>
          <w:p w14:paraId="70A4A3B0" w14:textId="77777777" w:rsidR="00C641AC" w:rsidRPr="00F8465B" w:rsidRDefault="00C641AC" w:rsidP="00A50FEA">
            <w:pPr>
              <w:jc w:val="center"/>
              <w:rPr>
                <w:rFonts w:ascii="Cambria" w:hAnsi="Cambria"/>
                <w:b/>
                <w:bCs/>
                <w:sz w:val="18"/>
                <w:szCs w:val="18"/>
              </w:rPr>
            </w:pPr>
            <w:r>
              <w:rPr>
                <w:rFonts w:ascii="Cambria" w:hAnsi="Cambria"/>
                <w:b/>
                <w:bCs/>
                <w:sz w:val="18"/>
                <w:szCs w:val="18"/>
              </w:rPr>
              <w:t>AEC</w:t>
            </w:r>
          </w:p>
        </w:tc>
        <w:tc>
          <w:tcPr>
            <w:tcW w:w="766" w:type="dxa"/>
            <w:tcBorders>
              <w:left w:val="single" w:sz="8" w:space="0" w:color="auto"/>
              <w:bottom w:val="single" w:sz="8" w:space="0" w:color="auto"/>
            </w:tcBorders>
            <w:shd w:val="clear" w:color="auto" w:fill="FFFFFF"/>
            <w:noWrap/>
            <w:vAlign w:val="bottom"/>
          </w:tcPr>
          <w:p w14:paraId="7728860E" w14:textId="77777777" w:rsidR="00C641AC" w:rsidRPr="00F8465B" w:rsidRDefault="00C641AC" w:rsidP="00A50FEA">
            <w:pPr>
              <w:jc w:val="center"/>
              <w:rPr>
                <w:rFonts w:ascii="Cambria" w:hAnsi="Cambria"/>
                <w:b/>
                <w:bCs/>
                <w:sz w:val="18"/>
                <w:szCs w:val="18"/>
              </w:rPr>
            </w:pPr>
          </w:p>
        </w:tc>
      </w:tr>
      <w:tr w:rsidR="00C641AC" w:rsidRPr="00F8465B" w14:paraId="0F9DE17A" w14:textId="77777777" w:rsidTr="00A50FEA">
        <w:trPr>
          <w:trHeight w:val="270"/>
          <w:jc w:val="center"/>
        </w:trPr>
        <w:tc>
          <w:tcPr>
            <w:tcW w:w="2552"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1D715D04" w14:textId="77777777" w:rsidR="00C641AC" w:rsidRPr="00F8465B" w:rsidRDefault="00C641AC" w:rsidP="00A50FEA">
            <w:pPr>
              <w:jc w:val="left"/>
              <w:rPr>
                <w:rFonts w:ascii="Cambria" w:hAnsi="Cambria"/>
                <w:b/>
                <w:bCs/>
                <w:sz w:val="18"/>
                <w:szCs w:val="18"/>
              </w:rPr>
            </w:pPr>
            <w:r w:rsidRPr="00F8465B">
              <w:rPr>
                <w:rFonts w:ascii="Cambria" w:hAnsi="Cambria"/>
                <w:b/>
                <w:bCs/>
                <w:sz w:val="18"/>
                <w:szCs w:val="18"/>
              </w:rPr>
              <w:t>Obligaciones personal a largo plazo</w:t>
            </w:r>
          </w:p>
        </w:tc>
        <w:tc>
          <w:tcPr>
            <w:tcW w:w="831"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210A2AD6" w14:textId="77777777" w:rsidR="00C641AC" w:rsidRPr="00F8465B" w:rsidRDefault="00C641AC" w:rsidP="00A50FEA">
            <w:pPr>
              <w:jc w:val="center"/>
              <w:rPr>
                <w:rFonts w:ascii="Cambria" w:hAnsi="Cambria"/>
                <w:b/>
                <w:bCs/>
                <w:sz w:val="18"/>
                <w:szCs w:val="18"/>
              </w:rPr>
            </w:pPr>
            <w:r w:rsidRPr="00F8465B">
              <w:rPr>
                <w:rFonts w:ascii="Cambria" w:hAnsi="Cambria"/>
                <w:b/>
                <w:bCs/>
                <w:sz w:val="18"/>
                <w:szCs w:val="18"/>
              </w:rPr>
              <w:t>ACENOR Salto a los 60</w:t>
            </w:r>
          </w:p>
        </w:tc>
        <w:tc>
          <w:tcPr>
            <w:tcW w:w="807" w:type="dxa"/>
            <w:tcBorders>
              <w:top w:val="single" w:sz="8" w:space="0" w:color="auto"/>
              <w:left w:val="single" w:sz="8" w:space="0" w:color="auto"/>
              <w:bottom w:val="single" w:sz="8" w:space="0" w:color="auto"/>
              <w:right w:val="single" w:sz="8" w:space="0" w:color="auto"/>
            </w:tcBorders>
            <w:shd w:val="clear" w:color="auto" w:fill="FFFFFF"/>
            <w:vAlign w:val="bottom"/>
          </w:tcPr>
          <w:p w14:paraId="1E1A190E" w14:textId="77777777" w:rsidR="00C641AC" w:rsidRPr="00F8465B" w:rsidRDefault="00C641AC" w:rsidP="00A50FEA">
            <w:pPr>
              <w:jc w:val="center"/>
              <w:rPr>
                <w:rFonts w:ascii="Cambria" w:hAnsi="Cambria"/>
                <w:b/>
                <w:bCs/>
                <w:sz w:val="18"/>
                <w:szCs w:val="18"/>
              </w:rPr>
            </w:pPr>
            <w:r w:rsidRPr="00F8465B">
              <w:rPr>
                <w:rFonts w:ascii="Cambria" w:hAnsi="Cambria"/>
                <w:b/>
                <w:bCs/>
                <w:sz w:val="18"/>
                <w:szCs w:val="18"/>
              </w:rPr>
              <w:t>PRESUR</w:t>
            </w:r>
          </w:p>
        </w:tc>
        <w:tc>
          <w:tcPr>
            <w:tcW w:w="1162" w:type="dxa"/>
            <w:tcBorders>
              <w:top w:val="single" w:sz="8" w:space="0" w:color="auto"/>
              <w:left w:val="single" w:sz="8" w:space="0" w:color="auto"/>
              <w:bottom w:val="single" w:sz="8" w:space="0" w:color="auto"/>
              <w:right w:val="single" w:sz="8" w:space="0" w:color="auto"/>
            </w:tcBorders>
            <w:shd w:val="clear" w:color="auto" w:fill="FFFFFF"/>
            <w:vAlign w:val="bottom"/>
          </w:tcPr>
          <w:p w14:paraId="6A3FE23C" w14:textId="77777777" w:rsidR="00C641AC" w:rsidRPr="00F8465B" w:rsidRDefault="00C641AC" w:rsidP="00A50FEA">
            <w:pPr>
              <w:jc w:val="center"/>
              <w:rPr>
                <w:rFonts w:ascii="Cambria" w:hAnsi="Cambria"/>
                <w:b/>
                <w:bCs/>
                <w:sz w:val="18"/>
                <w:szCs w:val="18"/>
              </w:rPr>
            </w:pPr>
            <w:r w:rsidRPr="00F8465B">
              <w:rPr>
                <w:rFonts w:ascii="Cambria" w:hAnsi="Cambria"/>
                <w:b/>
                <w:bCs/>
                <w:sz w:val="18"/>
                <w:szCs w:val="18"/>
              </w:rPr>
              <w:t>Ayudas Previas y cotizaciones</w:t>
            </w:r>
          </w:p>
        </w:tc>
        <w:tc>
          <w:tcPr>
            <w:tcW w:w="1065" w:type="dxa"/>
            <w:tcBorders>
              <w:top w:val="single" w:sz="8" w:space="0" w:color="auto"/>
              <w:left w:val="single" w:sz="8" w:space="0" w:color="auto"/>
              <w:bottom w:val="single" w:sz="8" w:space="0" w:color="auto"/>
              <w:right w:val="single" w:sz="8" w:space="0" w:color="auto"/>
            </w:tcBorders>
            <w:shd w:val="clear" w:color="auto" w:fill="FFFFFF"/>
            <w:vAlign w:val="bottom"/>
          </w:tcPr>
          <w:p w14:paraId="2FD701D2" w14:textId="77777777" w:rsidR="00C641AC" w:rsidRPr="00F8465B" w:rsidRDefault="00C641AC" w:rsidP="00A50FEA">
            <w:pPr>
              <w:jc w:val="center"/>
              <w:rPr>
                <w:rFonts w:ascii="Cambria" w:hAnsi="Cambria"/>
                <w:b/>
                <w:bCs/>
                <w:sz w:val="18"/>
                <w:szCs w:val="18"/>
              </w:rPr>
            </w:pPr>
            <w:r w:rsidRPr="00F8465B">
              <w:rPr>
                <w:rFonts w:ascii="Cambria" w:hAnsi="Cambria"/>
                <w:b/>
                <w:bCs/>
                <w:sz w:val="18"/>
                <w:szCs w:val="18"/>
              </w:rPr>
              <w:t>Costes de ampliación ERE</w:t>
            </w:r>
          </w:p>
        </w:tc>
        <w:tc>
          <w:tcPr>
            <w:tcW w:w="830" w:type="dxa"/>
            <w:tcBorders>
              <w:top w:val="single" w:sz="8" w:space="0" w:color="auto"/>
              <w:left w:val="single" w:sz="8" w:space="0" w:color="auto"/>
              <w:bottom w:val="single" w:sz="8" w:space="0" w:color="auto"/>
              <w:right w:val="single" w:sz="8" w:space="0" w:color="auto"/>
            </w:tcBorders>
            <w:shd w:val="clear" w:color="auto" w:fill="FFFFFF"/>
            <w:vAlign w:val="bottom"/>
          </w:tcPr>
          <w:p w14:paraId="666DAFF3" w14:textId="77777777" w:rsidR="00C641AC" w:rsidRPr="00F8465B" w:rsidRDefault="00C641AC" w:rsidP="00A50FEA">
            <w:pPr>
              <w:jc w:val="center"/>
              <w:rPr>
                <w:rFonts w:ascii="Cambria" w:hAnsi="Cambria"/>
                <w:b/>
                <w:bCs/>
                <w:sz w:val="18"/>
                <w:szCs w:val="18"/>
              </w:rPr>
            </w:pPr>
            <w:r w:rsidRPr="00F8465B">
              <w:rPr>
                <w:rFonts w:ascii="Cambria" w:hAnsi="Cambria"/>
                <w:b/>
                <w:bCs/>
                <w:sz w:val="18"/>
                <w:szCs w:val="18"/>
              </w:rPr>
              <w:t>Gastos médicos</w:t>
            </w:r>
          </w:p>
        </w:tc>
        <w:tc>
          <w:tcPr>
            <w:tcW w:w="1059" w:type="dxa"/>
            <w:tcBorders>
              <w:top w:val="single" w:sz="8" w:space="0" w:color="auto"/>
              <w:left w:val="single" w:sz="8" w:space="0" w:color="auto"/>
              <w:bottom w:val="single" w:sz="8" w:space="0" w:color="auto"/>
              <w:right w:val="single" w:sz="8" w:space="0" w:color="auto"/>
            </w:tcBorders>
            <w:shd w:val="clear" w:color="auto" w:fill="FFFFFF"/>
            <w:vAlign w:val="bottom"/>
          </w:tcPr>
          <w:p w14:paraId="1903F53E" w14:textId="77777777" w:rsidR="00C641AC" w:rsidRPr="00F8465B" w:rsidRDefault="00C641AC" w:rsidP="00A50FEA">
            <w:pPr>
              <w:jc w:val="center"/>
              <w:rPr>
                <w:rFonts w:ascii="Cambria" w:hAnsi="Cambria"/>
                <w:b/>
                <w:bCs/>
                <w:sz w:val="18"/>
                <w:szCs w:val="18"/>
              </w:rPr>
            </w:pPr>
            <w:r w:rsidRPr="00F8465B">
              <w:rPr>
                <w:rFonts w:ascii="Cambria" w:hAnsi="Cambria"/>
                <w:b/>
                <w:bCs/>
                <w:sz w:val="18"/>
                <w:szCs w:val="18"/>
              </w:rPr>
              <w:t>Gastos economato</w:t>
            </w:r>
          </w:p>
        </w:tc>
        <w:tc>
          <w:tcPr>
            <w:tcW w:w="766"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47E3F795" w14:textId="77777777" w:rsidR="00C641AC" w:rsidRPr="00F8465B" w:rsidRDefault="00C641AC" w:rsidP="00A50FEA">
            <w:pPr>
              <w:jc w:val="center"/>
              <w:rPr>
                <w:rFonts w:ascii="Cambria" w:hAnsi="Cambria"/>
                <w:b/>
                <w:bCs/>
                <w:sz w:val="18"/>
                <w:szCs w:val="18"/>
              </w:rPr>
            </w:pPr>
            <w:r w:rsidRPr="00F8465B">
              <w:rPr>
                <w:rFonts w:ascii="Cambria" w:hAnsi="Cambria"/>
                <w:b/>
                <w:bCs/>
                <w:sz w:val="18"/>
                <w:szCs w:val="18"/>
              </w:rPr>
              <w:t>Total</w:t>
            </w:r>
          </w:p>
        </w:tc>
      </w:tr>
      <w:tr w:rsidR="00C641AC" w:rsidRPr="00F8465B" w14:paraId="0358763C" w14:textId="77777777" w:rsidTr="00A50FEA">
        <w:trPr>
          <w:trHeight w:val="270"/>
          <w:jc w:val="center"/>
        </w:trPr>
        <w:tc>
          <w:tcPr>
            <w:tcW w:w="2552"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36DFD0B3" w14:textId="77777777" w:rsidR="00C641AC" w:rsidRPr="00F8465B" w:rsidRDefault="00C641AC" w:rsidP="00A50FEA">
            <w:pPr>
              <w:jc w:val="left"/>
              <w:rPr>
                <w:rFonts w:ascii="Cambria" w:hAnsi="Cambria"/>
                <w:b/>
                <w:bCs/>
                <w:sz w:val="18"/>
                <w:szCs w:val="18"/>
              </w:rPr>
            </w:pPr>
            <w:r>
              <w:rPr>
                <w:rFonts w:ascii="Cambria" w:hAnsi="Cambria"/>
                <w:b/>
                <w:bCs/>
                <w:sz w:val="18"/>
                <w:szCs w:val="18"/>
              </w:rPr>
              <w:t>Saldo al 31.12.18</w:t>
            </w:r>
          </w:p>
        </w:tc>
        <w:tc>
          <w:tcPr>
            <w:tcW w:w="831"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43563287" w14:textId="77777777" w:rsidR="00C641AC" w:rsidRDefault="00C641AC" w:rsidP="00A50FEA">
            <w:pPr>
              <w:keepLines w:val="0"/>
              <w:widowControl/>
              <w:jc w:val="right"/>
              <w:rPr>
                <w:rFonts w:ascii="Cambria" w:hAnsi="Cambria" w:cs="Arial"/>
                <w:b/>
                <w:bCs/>
                <w:sz w:val="18"/>
                <w:szCs w:val="18"/>
                <w:lang w:val="es-ES"/>
              </w:rPr>
            </w:pPr>
            <w:r>
              <w:rPr>
                <w:rFonts w:ascii="Cambria" w:hAnsi="Cambria" w:cs="Arial"/>
                <w:b/>
                <w:bCs/>
                <w:sz w:val="18"/>
                <w:szCs w:val="18"/>
              </w:rPr>
              <w:t xml:space="preserve">                               314   </w:t>
            </w:r>
          </w:p>
        </w:tc>
        <w:tc>
          <w:tcPr>
            <w:tcW w:w="807" w:type="dxa"/>
            <w:tcBorders>
              <w:top w:val="single" w:sz="8" w:space="0" w:color="auto"/>
              <w:left w:val="single" w:sz="8" w:space="0" w:color="auto"/>
              <w:bottom w:val="single" w:sz="8" w:space="0" w:color="auto"/>
              <w:right w:val="single" w:sz="8" w:space="0" w:color="auto"/>
            </w:tcBorders>
            <w:shd w:val="clear" w:color="auto" w:fill="FFFFFF"/>
            <w:vAlign w:val="bottom"/>
          </w:tcPr>
          <w:p w14:paraId="5CDD342A" w14:textId="77777777" w:rsidR="00C641AC" w:rsidRDefault="00C641AC" w:rsidP="00A50FEA">
            <w:pPr>
              <w:jc w:val="right"/>
              <w:rPr>
                <w:rFonts w:ascii="Cambria" w:hAnsi="Cambria" w:cs="Arial"/>
                <w:b/>
                <w:bCs/>
                <w:sz w:val="18"/>
                <w:szCs w:val="18"/>
              </w:rPr>
            </w:pPr>
            <w:r>
              <w:rPr>
                <w:rFonts w:ascii="Cambria" w:hAnsi="Cambria" w:cs="Arial"/>
                <w:b/>
                <w:bCs/>
                <w:sz w:val="18"/>
                <w:szCs w:val="18"/>
              </w:rPr>
              <w:t xml:space="preserve">                       6.200   </w:t>
            </w:r>
          </w:p>
        </w:tc>
        <w:tc>
          <w:tcPr>
            <w:tcW w:w="1162" w:type="dxa"/>
            <w:tcBorders>
              <w:top w:val="single" w:sz="8" w:space="0" w:color="auto"/>
              <w:left w:val="single" w:sz="8" w:space="0" w:color="auto"/>
              <w:bottom w:val="single" w:sz="8" w:space="0" w:color="auto"/>
              <w:right w:val="single" w:sz="8" w:space="0" w:color="auto"/>
            </w:tcBorders>
            <w:shd w:val="clear" w:color="auto" w:fill="FFFFFF"/>
            <w:vAlign w:val="bottom"/>
          </w:tcPr>
          <w:p w14:paraId="2D272845" w14:textId="77777777" w:rsidR="00C641AC" w:rsidRDefault="00C641AC" w:rsidP="00A50FEA">
            <w:pPr>
              <w:jc w:val="right"/>
              <w:rPr>
                <w:rFonts w:ascii="Cambria" w:hAnsi="Cambria" w:cs="Arial"/>
                <w:b/>
                <w:bCs/>
                <w:sz w:val="18"/>
                <w:szCs w:val="18"/>
              </w:rPr>
            </w:pPr>
            <w:r>
              <w:rPr>
                <w:rFonts w:ascii="Cambria" w:hAnsi="Cambria" w:cs="Arial"/>
                <w:b/>
                <w:bCs/>
                <w:sz w:val="18"/>
                <w:szCs w:val="18"/>
              </w:rPr>
              <w:t xml:space="preserve">               193   </w:t>
            </w:r>
          </w:p>
        </w:tc>
        <w:tc>
          <w:tcPr>
            <w:tcW w:w="1065" w:type="dxa"/>
            <w:tcBorders>
              <w:top w:val="single" w:sz="8" w:space="0" w:color="auto"/>
              <w:left w:val="single" w:sz="8" w:space="0" w:color="auto"/>
              <w:bottom w:val="single" w:sz="8" w:space="0" w:color="auto"/>
              <w:right w:val="single" w:sz="8" w:space="0" w:color="auto"/>
            </w:tcBorders>
            <w:shd w:val="clear" w:color="auto" w:fill="FFFFFF"/>
            <w:vAlign w:val="bottom"/>
          </w:tcPr>
          <w:p w14:paraId="52409FF4" w14:textId="77777777" w:rsidR="00C641AC" w:rsidRDefault="00C641AC" w:rsidP="00A50FEA">
            <w:pPr>
              <w:jc w:val="right"/>
              <w:rPr>
                <w:rFonts w:ascii="Cambria" w:hAnsi="Cambria" w:cs="Arial"/>
                <w:b/>
                <w:bCs/>
                <w:sz w:val="18"/>
                <w:szCs w:val="18"/>
              </w:rPr>
            </w:pPr>
            <w:r>
              <w:rPr>
                <w:rFonts w:ascii="Cambria" w:hAnsi="Cambria" w:cs="Arial"/>
                <w:b/>
                <w:bCs/>
                <w:sz w:val="18"/>
                <w:szCs w:val="18"/>
              </w:rPr>
              <w:t xml:space="preserve">           1.308   </w:t>
            </w:r>
          </w:p>
        </w:tc>
        <w:tc>
          <w:tcPr>
            <w:tcW w:w="830" w:type="dxa"/>
            <w:tcBorders>
              <w:top w:val="single" w:sz="8" w:space="0" w:color="auto"/>
              <w:left w:val="single" w:sz="8" w:space="0" w:color="auto"/>
              <w:bottom w:val="single" w:sz="8" w:space="0" w:color="auto"/>
              <w:right w:val="single" w:sz="8" w:space="0" w:color="auto"/>
            </w:tcBorders>
            <w:shd w:val="clear" w:color="auto" w:fill="FFFFFF"/>
            <w:vAlign w:val="bottom"/>
          </w:tcPr>
          <w:p w14:paraId="14453906" w14:textId="77777777" w:rsidR="00C641AC" w:rsidRDefault="00C641AC" w:rsidP="00A50FEA">
            <w:pPr>
              <w:jc w:val="right"/>
              <w:rPr>
                <w:rFonts w:ascii="Cambria" w:hAnsi="Cambria" w:cs="Arial"/>
                <w:b/>
                <w:bCs/>
                <w:sz w:val="18"/>
                <w:szCs w:val="18"/>
              </w:rPr>
            </w:pPr>
            <w:r>
              <w:rPr>
                <w:rFonts w:ascii="Cambria" w:hAnsi="Cambria" w:cs="Arial"/>
                <w:b/>
                <w:bCs/>
                <w:sz w:val="18"/>
                <w:szCs w:val="18"/>
              </w:rPr>
              <w:t xml:space="preserve">                 86   </w:t>
            </w:r>
          </w:p>
        </w:tc>
        <w:tc>
          <w:tcPr>
            <w:tcW w:w="1059" w:type="dxa"/>
            <w:tcBorders>
              <w:top w:val="single" w:sz="8" w:space="0" w:color="auto"/>
              <w:left w:val="single" w:sz="8" w:space="0" w:color="auto"/>
              <w:bottom w:val="single" w:sz="8" w:space="0" w:color="auto"/>
              <w:right w:val="single" w:sz="8" w:space="0" w:color="auto"/>
            </w:tcBorders>
            <w:shd w:val="clear" w:color="auto" w:fill="FFFFFF"/>
            <w:vAlign w:val="bottom"/>
          </w:tcPr>
          <w:p w14:paraId="3EA94571" w14:textId="77777777" w:rsidR="00C641AC" w:rsidRDefault="00C641AC" w:rsidP="00A50FEA">
            <w:pPr>
              <w:jc w:val="right"/>
              <w:rPr>
                <w:rFonts w:ascii="Cambria" w:hAnsi="Cambria" w:cs="Arial"/>
                <w:b/>
                <w:bCs/>
                <w:sz w:val="18"/>
                <w:szCs w:val="18"/>
              </w:rPr>
            </w:pPr>
            <w:r>
              <w:rPr>
                <w:rFonts w:ascii="Cambria" w:hAnsi="Cambria" w:cs="Arial"/>
                <w:b/>
                <w:bCs/>
                <w:sz w:val="18"/>
                <w:szCs w:val="18"/>
              </w:rPr>
              <w:t xml:space="preserve">           1.598   </w:t>
            </w:r>
          </w:p>
        </w:tc>
        <w:tc>
          <w:tcPr>
            <w:tcW w:w="766"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7ED9C49B" w14:textId="77777777" w:rsidR="00C641AC" w:rsidRDefault="00C641AC" w:rsidP="00A50FEA">
            <w:pPr>
              <w:jc w:val="right"/>
              <w:rPr>
                <w:rFonts w:ascii="Cambria" w:hAnsi="Cambria" w:cs="Arial"/>
                <w:b/>
                <w:bCs/>
                <w:sz w:val="18"/>
                <w:szCs w:val="18"/>
              </w:rPr>
            </w:pPr>
            <w:r>
              <w:rPr>
                <w:rFonts w:ascii="Cambria" w:hAnsi="Cambria" w:cs="Arial"/>
                <w:b/>
                <w:bCs/>
                <w:sz w:val="18"/>
                <w:szCs w:val="18"/>
              </w:rPr>
              <w:t xml:space="preserve">           9.699   </w:t>
            </w:r>
          </w:p>
        </w:tc>
      </w:tr>
      <w:tr w:rsidR="00C641AC" w:rsidRPr="00F8465B" w14:paraId="3669F3B7" w14:textId="77777777" w:rsidTr="00A50FEA">
        <w:trPr>
          <w:trHeight w:val="255"/>
          <w:jc w:val="center"/>
        </w:trPr>
        <w:tc>
          <w:tcPr>
            <w:tcW w:w="2552" w:type="dxa"/>
            <w:tcBorders>
              <w:top w:val="nil"/>
              <w:left w:val="single" w:sz="8" w:space="0" w:color="auto"/>
              <w:bottom w:val="nil"/>
              <w:right w:val="single" w:sz="8" w:space="0" w:color="auto"/>
            </w:tcBorders>
            <w:shd w:val="clear" w:color="auto" w:fill="FFFFFF"/>
            <w:noWrap/>
            <w:vAlign w:val="bottom"/>
          </w:tcPr>
          <w:p w14:paraId="73BC7C17" w14:textId="77777777" w:rsidR="00C641AC" w:rsidRPr="00F8465B" w:rsidRDefault="00C641AC" w:rsidP="00A50FEA">
            <w:pPr>
              <w:rPr>
                <w:rFonts w:ascii="Cambria" w:hAnsi="Cambria"/>
                <w:sz w:val="18"/>
                <w:szCs w:val="18"/>
              </w:rPr>
            </w:pPr>
            <w:r w:rsidRPr="00F8465B">
              <w:rPr>
                <w:rFonts w:ascii="Cambria" w:hAnsi="Cambria"/>
                <w:sz w:val="18"/>
                <w:szCs w:val="18"/>
              </w:rPr>
              <w:t>Fondos Propios</w:t>
            </w:r>
          </w:p>
        </w:tc>
        <w:tc>
          <w:tcPr>
            <w:tcW w:w="831" w:type="dxa"/>
            <w:tcBorders>
              <w:top w:val="nil"/>
              <w:left w:val="nil"/>
              <w:bottom w:val="nil"/>
              <w:right w:val="single" w:sz="8" w:space="0" w:color="auto"/>
            </w:tcBorders>
            <w:shd w:val="clear" w:color="auto" w:fill="FFFFFF" w:themeFill="background1"/>
            <w:vAlign w:val="center"/>
          </w:tcPr>
          <w:p w14:paraId="20F16336" w14:textId="77777777" w:rsidR="00C641AC" w:rsidRDefault="00C641AC" w:rsidP="00A50FEA">
            <w:pPr>
              <w:jc w:val="center"/>
              <w:rPr>
                <w:rFonts w:ascii="Cambria" w:hAnsi="Cambria" w:cs="Arial"/>
                <w:sz w:val="18"/>
                <w:szCs w:val="18"/>
              </w:rPr>
            </w:pPr>
            <w:r>
              <w:rPr>
                <w:rFonts w:ascii="Cambria" w:hAnsi="Cambria" w:cs="Arial"/>
                <w:sz w:val="18"/>
                <w:szCs w:val="18"/>
              </w:rPr>
              <w:t>-</w:t>
            </w:r>
          </w:p>
        </w:tc>
        <w:tc>
          <w:tcPr>
            <w:tcW w:w="807" w:type="dxa"/>
            <w:tcBorders>
              <w:top w:val="nil"/>
              <w:left w:val="single" w:sz="8" w:space="0" w:color="auto"/>
              <w:bottom w:val="nil"/>
              <w:right w:val="single" w:sz="8" w:space="0" w:color="auto"/>
            </w:tcBorders>
            <w:shd w:val="clear" w:color="auto" w:fill="FFFFFF" w:themeFill="background1"/>
            <w:vAlign w:val="center"/>
          </w:tcPr>
          <w:p w14:paraId="6777D4F9" w14:textId="77777777" w:rsidR="00C641AC" w:rsidRDefault="00C641AC" w:rsidP="00A50FEA">
            <w:pPr>
              <w:jc w:val="right"/>
              <w:rPr>
                <w:rFonts w:ascii="Cambria" w:hAnsi="Cambria" w:cs="Arial"/>
                <w:sz w:val="18"/>
                <w:szCs w:val="18"/>
              </w:rPr>
            </w:pPr>
            <w:r>
              <w:rPr>
                <w:rFonts w:ascii="Cambria" w:hAnsi="Cambria" w:cs="Arial"/>
                <w:sz w:val="18"/>
                <w:szCs w:val="18"/>
              </w:rPr>
              <w:t>(56)</w:t>
            </w:r>
          </w:p>
        </w:tc>
        <w:tc>
          <w:tcPr>
            <w:tcW w:w="1162" w:type="dxa"/>
            <w:tcBorders>
              <w:top w:val="nil"/>
              <w:left w:val="single" w:sz="8" w:space="0" w:color="auto"/>
              <w:bottom w:val="nil"/>
              <w:right w:val="single" w:sz="8" w:space="0" w:color="auto"/>
            </w:tcBorders>
            <w:shd w:val="clear" w:color="auto" w:fill="FFFFFF" w:themeFill="background1"/>
            <w:vAlign w:val="center"/>
          </w:tcPr>
          <w:p w14:paraId="7B3243CC" w14:textId="77777777" w:rsidR="00C641AC" w:rsidRDefault="00C641AC" w:rsidP="00A50FEA">
            <w:pPr>
              <w:jc w:val="right"/>
              <w:rPr>
                <w:rFonts w:ascii="Cambria" w:hAnsi="Cambria" w:cs="Arial"/>
                <w:sz w:val="18"/>
                <w:szCs w:val="18"/>
              </w:rPr>
            </w:pPr>
            <w:r>
              <w:rPr>
                <w:rFonts w:ascii="Cambria" w:hAnsi="Cambria" w:cs="Arial"/>
                <w:sz w:val="18"/>
                <w:szCs w:val="18"/>
              </w:rPr>
              <w:t>1</w:t>
            </w:r>
          </w:p>
        </w:tc>
        <w:tc>
          <w:tcPr>
            <w:tcW w:w="1065" w:type="dxa"/>
            <w:tcBorders>
              <w:top w:val="nil"/>
              <w:left w:val="single" w:sz="8" w:space="0" w:color="auto"/>
              <w:bottom w:val="nil"/>
              <w:right w:val="single" w:sz="8" w:space="0" w:color="auto"/>
            </w:tcBorders>
            <w:shd w:val="clear" w:color="auto" w:fill="FFFFFF" w:themeFill="background1"/>
            <w:vAlign w:val="bottom"/>
          </w:tcPr>
          <w:p w14:paraId="525FE62A" w14:textId="77777777" w:rsidR="00C641AC" w:rsidRDefault="00C641AC" w:rsidP="00A50FEA">
            <w:pPr>
              <w:jc w:val="right"/>
              <w:rPr>
                <w:rFonts w:ascii="Cambria" w:hAnsi="Cambria" w:cs="Arial"/>
                <w:sz w:val="18"/>
                <w:szCs w:val="18"/>
              </w:rPr>
            </w:pPr>
            <w:r>
              <w:rPr>
                <w:rFonts w:ascii="Cambria" w:hAnsi="Cambria" w:cs="Arial"/>
                <w:sz w:val="18"/>
                <w:szCs w:val="18"/>
              </w:rPr>
              <w:t>24</w:t>
            </w:r>
          </w:p>
        </w:tc>
        <w:tc>
          <w:tcPr>
            <w:tcW w:w="830" w:type="dxa"/>
            <w:tcBorders>
              <w:top w:val="nil"/>
              <w:left w:val="single" w:sz="8" w:space="0" w:color="auto"/>
              <w:bottom w:val="nil"/>
              <w:right w:val="single" w:sz="8" w:space="0" w:color="auto"/>
            </w:tcBorders>
            <w:shd w:val="clear" w:color="auto" w:fill="FFFFFF" w:themeFill="background1"/>
            <w:vAlign w:val="center"/>
          </w:tcPr>
          <w:p w14:paraId="440DB93E" w14:textId="77777777" w:rsidR="00C641AC" w:rsidRDefault="00C641AC" w:rsidP="00A50FEA">
            <w:pPr>
              <w:jc w:val="center"/>
              <w:rPr>
                <w:rFonts w:ascii="Cambria" w:hAnsi="Cambria" w:cs="Arial"/>
                <w:sz w:val="18"/>
                <w:szCs w:val="18"/>
              </w:rPr>
            </w:pPr>
            <w:r>
              <w:rPr>
                <w:rFonts w:ascii="Cambria" w:hAnsi="Cambria" w:cs="Arial"/>
                <w:sz w:val="18"/>
                <w:szCs w:val="18"/>
              </w:rPr>
              <w:t>-</w:t>
            </w:r>
          </w:p>
        </w:tc>
        <w:tc>
          <w:tcPr>
            <w:tcW w:w="1059" w:type="dxa"/>
            <w:tcBorders>
              <w:top w:val="nil"/>
              <w:left w:val="single" w:sz="8" w:space="0" w:color="auto"/>
              <w:bottom w:val="nil"/>
              <w:right w:val="single" w:sz="8" w:space="0" w:color="auto"/>
            </w:tcBorders>
            <w:shd w:val="clear" w:color="auto" w:fill="FFFFFF" w:themeFill="background1"/>
            <w:vAlign w:val="center"/>
          </w:tcPr>
          <w:p w14:paraId="5D884D26" w14:textId="77777777" w:rsidR="00C641AC" w:rsidRDefault="00C641AC" w:rsidP="00A50FEA">
            <w:pPr>
              <w:jc w:val="right"/>
              <w:rPr>
                <w:rFonts w:ascii="Cambria" w:hAnsi="Cambria" w:cs="Arial"/>
                <w:sz w:val="18"/>
                <w:szCs w:val="18"/>
              </w:rPr>
            </w:pPr>
            <w:r>
              <w:rPr>
                <w:rFonts w:ascii="Cambria" w:hAnsi="Cambria" w:cs="Arial"/>
                <w:sz w:val="18"/>
                <w:szCs w:val="18"/>
              </w:rPr>
              <w:t>24</w:t>
            </w:r>
          </w:p>
        </w:tc>
        <w:tc>
          <w:tcPr>
            <w:tcW w:w="766" w:type="dxa"/>
            <w:tcBorders>
              <w:top w:val="nil"/>
              <w:left w:val="single" w:sz="8" w:space="0" w:color="auto"/>
              <w:bottom w:val="nil"/>
              <w:right w:val="single" w:sz="8" w:space="0" w:color="auto"/>
            </w:tcBorders>
            <w:shd w:val="clear" w:color="auto" w:fill="FFFFFF" w:themeFill="background1"/>
            <w:vAlign w:val="center"/>
          </w:tcPr>
          <w:p w14:paraId="51048B89" w14:textId="77777777" w:rsidR="00C641AC" w:rsidRDefault="00C641AC" w:rsidP="00A50FEA">
            <w:pPr>
              <w:jc w:val="right"/>
              <w:rPr>
                <w:rFonts w:ascii="Cambria" w:hAnsi="Cambria" w:cs="Arial"/>
                <w:sz w:val="18"/>
                <w:szCs w:val="18"/>
              </w:rPr>
            </w:pPr>
            <w:r>
              <w:rPr>
                <w:rFonts w:ascii="Cambria" w:hAnsi="Cambria" w:cs="Arial"/>
                <w:sz w:val="18"/>
                <w:szCs w:val="18"/>
              </w:rPr>
              <w:t>(7)</w:t>
            </w:r>
          </w:p>
        </w:tc>
      </w:tr>
      <w:tr w:rsidR="00C641AC" w:rsidRPr="00F8465B" w14:paraId="2CD24E14" w14:textId="77777777" w:rsidTr="00A50FEA">
        <w:trPr>
          <w:trHeight w:val="255"/>
          <w:jc w:val="center"/>
        </w:trPr>
        <w:tc>
          <w:tcPr>
            <w:tcW w:w="2552" w:type="dxa"/>
            <w:tcBorders>
              <w:top w:val="nil"/>
              <w:left w:val="single" w:sz="8" w:space="0" w:color="auto"/>
              <w:bottom w:val="nil"/>
              <w:right w:val="single" w:sz="8" w:space="0" w:color="auto"/>
            </w:tcBorders>
            <w:shd w:val="clear" w:color="auto" w:fill="FFFFFF"/>
            <w:noWrap/>
            <w:vAlign w:val="bottom"/>
          </w:tcPr>
          <w:p w14:paraId="19B7915E" w14:textId="77777777" w:rsidR="00C641AC" w:rsidRPr="00F8465B" w:rsidRDefault="00C641AC" w:rsidP="00A50FEA">
            <w:pPr>
              <w:rPr>
                <w:rFonts w:ascii="Cambria" w:hAnsi="Cambria"/>
                <w:sz w:val="18"/>
                <w:szCs w:val="18"/>
              </w:rPr>
            </w:pPr>
            <w:r>
              <w:rPr>
                <w:rFonts w:ascii="Cambria" w:hAnsi="Cambria"/>
                <w:sz w:val="18"/>
                <w:szCs w:val="18"/>
              </w:rPr>
              <w:t>Dotación</w:t>
            </w:r>
            <w:r w:rsidRPr="00F8465B">
              <w:rPr>
                <w:rFonts w:ascii="Cambria" w:hAnsi="Cambria"/>
                <w:sz w:val="18"/>
                <w:szCs w:val="18"/>
              </w:rPr>
              <w:t xml:space="preserve"> provisión</w:t>
            </w:r>
            <w:r>
              <w:rPr>
                <w:rFonts w:ascii="Cambria" w:hAnsi="Cambria"/>
                <w:sz w:val="18"/>
                <w:szCs w:val="18"/>
              </w:rPr>
              <w:t xml:space="preserve"> (Nota 13.3)</w:t>
            </w:r>
          </w:p>
        </w:tc>
        <w:tc>
          <w:tcPr>
            <w:tcW w:w="831" w:type="dxa"/>
            <w:tcBorders>
              <w:top w:val="nil"/>
              <w:left w:val="nil"/>
              <w:bottom w:val="nil"/>
              <w:right w:val="single" w:sz="8" w:space="0" w:color="auto"/>
            </w:tcBorders>
            <w:shd w:val="clear" w:color="auto" w:fill="FFFFFF" w:themeFill="background1"/>
            <w:vAlign w:val="bottom"/>
          </w:tcPr>
          <w:p w14:paraId="32508D7A" w14:textId="77777777" w:rsidR="00C641AC" w:rsidRDefault="00C641AC" w:rsidP="00A50FEA">
            <w:pPr>
              <w:jc w:val="right"/>
              <w:rPr>
                <w:rFonts w:ascii="Cambria" w:hAnsi="Cambria" w:cs="Arial"/>
                <w:sz w:val="18"/>
                <w:szCs w:val="18"/>
              </w:rPr>
            </w:pPr>
            <w:r>
              <w:rPr>
                <w:rFonts w:ascii="Cambria" w:hAnsi="Cambria" w:cs="Arial"/>
                <w:sz w:val="18"/>
                <w:szCs w:val="18"/>
              </w:rPr>
              <w:t>211</w:t>
            </w:r>
          </w:p>
        </w:tc>
        <w:tc>
          <w:tcPr>
            <w:tcW w:w="807" w:type="dxa"/>
            <w:tcBorders>
              <w:top w:val="nil"/>
              <w:left w:val="single" w:sz="8" w:space="0" w:color="auto"/>
              <w:bottom w:val="nil"/>
              <w:right w:val="single" w:sz="8" w:space="0" w:color="auto"/>
            </w:tcBorders>
            <w:shd w:val="clear" w:color="auto" w:fill="FFFFFF" w:themeFill="background1"/>
            <w:vAlign w:val="center"/>
          </w:tcPr>
          <w:p w14:paraId="5750625A" w14:textId="77777777" w:rsidR="00C641AC" w:rsidRDefault="00C641AC" w:rsidP="00A50FEA">
            <w:pPr>
              <w:jc w:val="center"/>
              <w:rPr>
                <w:rFonts w:ascii="Cambria" w:hAnsi="Cambria" w:cs="Arial"/>
                <w:sz w:val="18"/>
                <w:szCs w:val="18"/>
              </w:rPr>
            </w:pPr>
            <w:r>
              <w:rPr>
                <w:rFonts w:ascii="Cambria" w:hAnsi="Cambria" w:cs="Arial"/>
                <w:sz w:val="18"/>
                <w:szCs w:val="18"/>
              </w:rPr>
              <w:t>-</w:t>
            </w:r>
          </w:p>
        </w:tc>
        <w:tc>
          <w:tcPr>
            <w:tcW w:w="1162" w:type="dxa"/>
            <w:tcBorders>
              <w:top w:val="nil"/>
              <w:left w:val="single" w:sz="8" w:space="0" w:color="auto"/>
              <w:bottom w:val="nil"/>
              <w:right w:val="single" w:sz="8" w:space="0" w:color="auto"/>
            </w:tcBorders>
            <w:shd w:val="clear" w:color="auto" w:fill="FFFFFF" w:themeFill="background1"/>
            <w:vAlign w:val="center"/>
          </w:tcPr>
          <w:p w14:paraId="41D9F927" w14:textId="77777777" w:rsidR="00C641AC" w:rsidRDefault="00C641AC" w:rsidP="00A50FEA">
            <w:pPr>
              <w:jc w:val="center"/>
              <w:rPr>
                <w:rFonts w:ascii="Cambria" w:hAnsi="Cambria" w:cs="Arial"/>
                <w:sz w:val="18"/>
                <w:szCs w:val="18"/>
              </w:rPr>
            </w:pPr>
            <w:r>
              <w:rPr>
                <w:rFonts w:ascii="Cambria" w:hAnsi="Cambria" w:cs="Arial"/>
                <w:sz w:val="18"/>
                <w:szCs w:val="18"/>
              </w:rPr>
              <w:t>-</w:t>
            </w:r>
          </w:p>
        </w:tc>
        <w:tc>
          <w:tcPr>
            <w:tcW w:w="1065" w:type="dxa"/>
            <w:tcBorders>
              <w:top w:val="nil"/>
              <w:left w:val="single" w:sz="8" w:space="0" w:color="auto"/>
              <w:bottom w:val="nil"/>
              <w:right w:val="single" w:sz="8" w:space="0" w:color="auto"/>
            </w:tcBorders>
            <w:shd w:val="clear" w:color="auto" w:fill="FFFFFF" w:themeFill="background1"/>
            <w:vAlign w:val="center"/>
          </w:tcPr>
          <w:p w14:paraId="62381A91" w14:textId="77777777" w:rsidR="00C641AC" w:rsidRDefault="00C641AC" w:rsidP="00A50FEA">
            <w:pPr>
              <w:jc w:val="center"/>
              <w:rPr>
                <w:rFonts w:ascii="Cambria" w:hAnsi="Cambria" w:cs="Arial"/>
                <w:sz w:val="18"/>
                <w:szCs w:val="18"/>
              </w:rPr>
            </w:pPr>
            <w:r>
              <w:rPr>
                <w:rFonts w:ascii="Cambria" w:hAnsi="Cambria" w:cs="Arial"/>
                <w:sz w:val="18"/>
                <w:szCs w:val="18"/>
              </w:rPr>
              <w:t>-</w:t>
            </w:r>
          </w:p>
        </w:tc>
        <w:tc>
          <w:tcPr>
            <w:tcW w:w="830" w:type="dxa"/>
            <w:tcBorders>
              <w:top w:val="nil"/>
              <w:left w:val="single" w:sz="8" w:space="0" w:color="auto"/>
              <w:bottom w:val="nil"/>
              <w:right w:val="single" w:sz="8" w:space="0" w:color="auto"/>
            </w:tcBorders>
            <w:shd w:val="clear" w:color="auto" w:fill="FFFFFF" w:themeFill="background1"/>
            <w:vAlign w:val="center"/>
          </w:tcPr>
          <w:p w14:paraId="1D601EDE" w14:textId="77777777" w:rsidR="00C641AC" w:rsidRDefault="00C641AC" w:rsidP="00A50FEA">
            <w:pPr>
              <w:jc w:val="center"/>
              <w:rPr>
                <w:rFonts w:ascii="Cambria" w:hAnsi="Cambria" w:cs="Arial"/>
                <w:sz w:val="18"/>
                <w:szCs w:val="18"/>
              </w:rPr>
            </w:pPr>
            <w:r>
              <w:rPr>
                <w:rFonts w:ascii="Cambria" w:hAnsi="Cambria" w:cs="Arial"/>
                <w:sz w:val="18"/>
                <w:szCs w:val="18"/>
              </w:rPr>
              <w:t>-</w:t>
            </w:r>
          </w:p>
        </w:tc>
        <w:tc>
          <w:tcPr>
            <w:tcW w:w="1059" w:type="dxa"/>
            <w:tcBorders>
              <w:top w:val="nil"/>
              <w:left w:val="single" w:sz="8" w:space="0" w:color="auto"/>
              <w:bottom w:val="nil"/>
              <w:right w:val="single" w:sz="8" w:space="0" w:color="auto"/>
            </w:tcBorders>
            <w:shd w:val="clear" w:color="auto" w:fill="FFFFFF" w:themeFill="background1"/>
            <w:vAlign w:val="center"/>
          </w:tcPr>
          <w:p w14:paraId="0B8CFD99" w14:textId="77777777" w:rsidR="00C641AC" w:rsidRDefault="00C641AC" w:rsidP="00A50FEA">
            <w:pPr>
              <w:jc w:val="center"/>
              <w:rPr>
                <w:rFonts w:ascii="Cambria" w:hAnsi="Cambria" w:cs="Arial"/>
                <w:sz w:val="18"/>
                <w:szCs w:val="18"/>
              </w:rPr>
            </w:pPr>
            <w:r>
              <w:rPr>
                <w:rFonts w:ascii="Cambria" w:hAnsi="Cambria" w:cs="Arial"/>
                <w:sz w:val="18"/>
                <w:szCs w:val="18"/>
              </w:rPr>
              <w:t>-</w:t>
            </w:r>
          </w:p>
        </w:tc>
        <w:tc>
          <w:tcPr>
            <w:tcW w:w="766" w:type="dxa"/>
            <w:tcBorders>
              <w:top w:val="nil"/>
              <w:left w:val="single" w:sz="8" w:space="0" w:color="auto"/>
              <w:bottom w:val="nil"/>
              <w:right w:val="single" w:sz="8" w:space="0" w:color="auto"/>
            </w:tcBorders>
            <w:shd w:val="clear" w:color="auto" w:fill="FFFFFF" w:themeFill="background1"/>
            <w:vAlign w:val="bottom"/>
          </w:tcPr>
          <w:p w14:paraId="3AE98CFB" w14:textId="77777777" w:rsidR="00C641AC" w:rsidRDefault="00C641AC" w:rsidP="00A50FEA">
            <w:pPr>
              <w:jc w:val="right"/>
              <w:rPr>
                <w:rFonts w:ascii="Cambria" w:hAnsi="Cambria" w:cs="Arial"/>
                <w:sz w:val="18"/>
                <w:szCs w:val="18"/>
              </w:rPr>
            </w:pPr>
            <w:r>
              <w:rPr>
                <w:rFonts w:ascii="Cambria" w:hAnsi="Cambria" w:cs="Arial"/>
                <w:sz w:val="18"/>
                <w:szCs w:val="18"/>
              </w:rPr>
              <w:t>211</w:t>
            </w:r>
          </w:p>
        </w:tc>
      </w:tr>
      <w:tr w:rsidR="00C641AC" w:rsidRPr="00F8465B" w14:paraId="70003D0A" w14:textId="77777777" w:rsidTr="00A50FEA">
        <w:trPr>
          <w:trHeight w:val="270"/>
          <w:jc w:val="center"/>
        </w:trPr>
        <w:tc>
          <w:tcPr>
            <w:tcW w:w="2552" w:type="dxa"/>
            <w:tcBorders>
              <w:top w:val="nil"/>
              <w:left w:val="single" w:sz="8" w:space="0" w:color="auto"/>
              <w:bottom w:val="single" w:sz="8" w:space="0" w:color="auto"/>
              <w:right w:val="single" w:sz="8" w:space="0" w:color="auto"/>
            </w:tcBorders>
            <w:shd w:val="clear" w:color="auto" w:fill="FFFFFF"/>
            <w:noWrap/>
            <w:vAlign w:val="bottom"/>
          </w:tcPr>
          <w:p w14:paraId="1B0A2764" w14:textId="77777777" w:rsidR="00C641AC" w:rsidRPr="00F8465B" w:rsidRDefault="00C641AC" w:rsidP="00A50FEA">
            <w:pPr>
              <w:rPr>
                <w:rFonts w:ascii="Cambria" w:hAnsi="Cambria"/>
                <w:sz w:val="18"/>
                <w:szCs w:val="18"/>
              </w:rPr>
            </w:pPr>
            <w:r w:rsidRPr="00F8465B">
              <w:rPr>
                <w:rFonts w:ascii="Cambria" w:hAnsi="Cambria"/>
                <w:sz w:val="18"/>
                <w:szCs w:val="18"/>
              </w:rPr>
              <w:t>Traspasos</w:t>
            </w:r>
          </w:p>
        </w:tc>
        <w:tc>
          <w:tcPr>
            <w:tcW w:w="831" w:type="dxa"/>
            <w:tcBorders>
              <w:top w:val="nil"/>
              <w:left w:val="nil"/>
              <w:bottom w:val="single" w:sz="8" w:space="0" w:color="auto"/>
              <w:right w:val="nil"/>
            </w:tcBorders>
            <w:shd w:val="clear" w:color="auto" w:fill="FFFFFF" w:themeFill="background1"/>
            <w:noWrap/>
            <w:vAlign w:val="center"/>
          </w:tcPr>
          <w:p w14:paraId="6F95DDCC" w14:textId="77777777" w:rsidR="00C641AC" w:rsidRDefault="00C641AC" w:rsidP="00A50FEA">
            <w:pPr>
              <w:jc w:val="right"/>
              <w:rPr>
                <w:rFonts w:ascii="Cambria" w:hAnsi="Cambria" w:cs="Arial"/>
                <w:sz w:val="18"/>
                <w:szCs w:val="18"/>
              </w:rPr>
            </w:pPr>
            <w:r>
              <w:rPr>
                <w:rFonts w:ascii="Cambria" w:hAnsi="Cambria" w:cs="Arial"/>
                <w:sz w:val="18"/>
                <w:szCs w:val="18"/>
              </w:rPr>
              <w:t>(3)</w:t>
            </w:r>
          </w:p>
        </w:tc>
        <w:tc>
          <w:tcPr>
            <w:tcW w:w="807" w:type="dxa"/>
            <w:tcBorders>
              <w:top w:val="nil"/>
              <w:left w:val="single" w:sz="8" w:space="0" w:color="auto"/>
              <w:bottom w:val="single" w:sz="8" w:space="0" w:color="auto"/>
              <w:right w:val="single" w:sz="8" w:space="0" w:color="auto"/>
            </w:tcBorders>
            <w:shd w:val="clear" w:color="auto" w:fill="FFFFFF" w:themeFill="background1"/>
            <w:vAlign w:val="bottom"/>
          </w:tcPr>
          <w:p w14:paraId="636ADD55" w14:textId="77777777" w:rsidR="00C641AC" w:rsidRDefault="00C641AC" w:rsidP="00A50FEA">
            <w:pPr>
              <w:jc w:val="right"/>
              <w:rPr>
                <w:rFonts w:ascii="Cambria" w:hAnsi="Cambria" w:cs="Arial"/>
                <w:sz w:val="18"/>
                <w:szCs w:val="18"/>
              </w:rPr>
            </w:pPr>
            <w:r>
              <w:rPr>
                <w:rFonts w:ascii="Cambria" w:hAnsi="Cambria" w:cs="Arial"/>
                <w:sz w:val="18"/>
                <w:szCs w:val="18"/>
              </w:rPr>
              <w:t>(1.866)</w:t>
            </w:r>
          </w:p>
        </w:tc>
        <w:tc>
          <w:tcPr>
            <w:tcW w:w="1162" w:type="dxa"/>
            <w:tcBorders>
              <w:top w:val="nil"/>
              <w:left w:val="single" w:sz="8" w:space="0" w:color="auto"/>
              <w:bottom w:val="single" w:sz="8" w:space="0" w:color="auto"/>
              <w:right w:val="single" w:sz="8" w:space="0" w:color="auto"/>
            </w:tcBorders>
            <w:shd w:val="clear" w:color="auto" w:fill="FFFFFF" w:themeFill="background1"/>
            <w:vAlign w:val="center"/>
          </w:tcPr>
          <w:p w14:paraId="15B9FA65" w14:textId="77777777" w:rsidR="00C641AC" w:rsidRDefault="00C641AC" w:rsidP="00A50FEA">
            <w:pPr>
              <w:jc w:val="right"/>
              <w:rPr>
                <w:rFonts w:ascii="Cambria" w:hAnsi="Cambria" w:cs="Arial"/>
                <w:sz w:val="18"/>
                <w:szCs w:val="18"/>
              </w:rPr>
            </w:pPr>
            <w:r>
              <w:rPr>
                <w:rFonts w:ascii="Cambria" w:hAnsi="Cambria" w:cs="Arial"/>
                <w:sz w:val="18"/>
                <w:szCs w:val="18"/>
              </w:rPr>
              <w:t>(72)</w:t>
            </w:r>
          </w:p>
        </w:tc>
        <w:tc>
          <w:tcPr>
            <w:tcW w:w="1065" w:type="dxa"/>
            <w:tcBorders>
              <w:top w:val="nil"/>
              <w:left w:val="single" w:sz="8" w:space="0" w:color="auto"/>
              <w:bottom w:val="single" w:sz="8" w:space="0" w:color="auto"/>
              <w:right w:val="single" w:sz="8" w:space="0" w:color="auto"/>
            </w:tcBorders>
            <w:shd w:val="clear" w:color="auto" w:fill="FFFFFF" w:themeFill="background1"/>
            <w:vAlign w:val="bottom"/>
          </w:tcPr>
          <w:p w14:paraId="1AC7B97A" w14:textId="77777777" w:rsidR="00C641AC" w:rsidRDefault="00C641AC" w:rsidP="00A50FEA">
            <w:pPr>
              <w:jc w:val="right"/>
              <w:rPr>
                <w:rFonts w:ascii="Cambria" w:hAnsi="Cambria" w:cs="Arial"/>
                <w:sz w:val="18"/>
                <w:szCs w:val="18"/>
              </w:rPr>
            </w:pPr>
            <w:r>
              <w:rPr>
                <w:rFonts w:ascii="Cambria" w:hAnsi="Cambria" w:cs="Arial"/>
                <w:sz w:val="18"/>
                <w:szCs w:val="18"/>
              </w:rPr>
              <w:t>(242)</w:t>
            </w:r>
          </w:p>
        </w:tc>
        <w:tc>
          <w:tcPr>
            <w:tcW w:w="830" w:type="dxa"/>
            <w:tcBorders>
              <w:top w:val="nil"/>
              <w:left w:val="single" w:sz="8" w:space="0" w:color="auto"/>
              <w:bottom w:val="single" w:sz="8" w:space="0" w:color="auto"/>
              <w:right w:val="single" w:sz="8" w:space="0" w:color="auto"/>
            </w:tcBorders>
            <w:shd w:val="clear" w:color="auto" w:fill="FFFFFF" w:themeFill="background1"/>
            <w:vAlign w:val="bottom"/>
          </w:tcPr>
          <w:p w14:paraId="7B234D6A" w14:textId="77777777" w:rsidR="00C641AC" w:rsidRDefault="00C641AC" w:rsidP="00A50FEA">
            <w:pPr>
              <w:jc w:val="right"/>
              <w:rPr>
                <w:rFonts w:ascii="Cambria" w:hAnsi="Cambria" w:cs="Arial"/>
                <w:sz w:val="18"/>
                <w:szCs w:val="18"/>
              </w:rPr>
            </w:pPr>
            <w:r>
              <w:rPr>
                <w:rFonts w:ascii="Cambria" w:hAnsi="Cambria" w:cs="Arial"/>
                <w:sz w:val="18"/>
                <w:szCs w:val="18"/>
              </w:rPr>
              <w:t>(7)</w:t>
            </w:r>
          </w:p>
        </w:tc>
        <w:tc>
          <w:tcPr>
            <w:tcW w:w="1059" w:type="dxa"/>
            <w:tcBorders>
              <w:top w:val="nil"/>
              <w:left w:val="single" w:sz="8" w:space="0" w:color="auto"/>
              <w:bottom w:val="single" w:sz="8" w:space="0" w:color="auto"/>
              <w:right w:val="single" w:sz="8" w:space="0" w:color="auto"/>
            </w:tcBorders>
            <w:shd w:val="clear" w:color="auto" w:fill="FFFFFF" w:themeFill="background1"/>
            <w:vAlign w:val="bottom"/>
          </w:tcPr>
          <w:p w14:paraId="145DE262" w14:textId="77777777" w:rsidR="00C641AC" w:rsidRDefault="00C641AC" w:rsidP="00A50FEA">
            <w:pPr>
              <w:jc w:val="right"/>
              <w:rPr>
                <w:rFonts w:ascii="Cambria" w:hAnsi="Cambria" w:cs="Arial"/>
                <w:sz w:val="18"/>
                <w:szCs w:val="18"/>
              </w:rPr>
            </w:pPr>
            <w:r>
              <w:rPr>
                <w:rFonts w:ascii="Cambria" w:hAnsi="Cambria" w:cs="Arial"/>
                <w:sz w:val="18"/>
                <w:szCs w:val="18"/>
              </w:rPr>
              <w:t>(111)</w:t>
            </w:r>
          </w:p>
        </w:tc>
        <w:tc>
          <w:tcPr>
            <w:tcW w:w="766" w:type="dxa"/>
            <w:tcBorders>
              <w:top w:val="nil"/>
              <w:left w:val="single" w:sz="8" w:space="0" w:color="auto"/>
              <w:bottom w:val="single" w:sz="8" w:space="0" w:color="auto"/>
              <w:right w:val="single" w:sz="8" w:space="0" w:color="auto"/>
            </w:tcBorders>
            <w:shd w:val="clear" w:color="auto" w:fill="FFFFFF" w:themeFill="background1"/>
            <w:noWrap/>
            <w:vAlign w:val="bottom"/>
          </w:tcPr>
          <w:p w14:paraId="70C27B47" w14:textId="77777777" w:rsidR="00C641AC" w:rsidRDefault="00C641AC" w:rsidP="00A50FEA">
            <w:pPr>
              <w:jc w:val="right"/>
              <w:rPr>
                <w:rFonts w:ascii="Cambria" w:hAnsi="Cambria" w:cs="Arial"/>
                <w:sz w:val="18"/>
                <w:szCs w:val="18"/>
              </w:rPr>
            </w:pPr>
            <w:r>
              <w:rPr>
                <w:rFonts w:ascii="Cambria" w:hAnsi="Cambria" w:cs="Arial"/>
                <w:sz w:val="18"/>
                <w:szCs w:val="18"/>
              </w:rPr>
              <w:t>(2.301)</w:t>
            </w:r>
          </w:p>
        </w:tc>
      </w:tr>
      <w:tr w:rsidR="00C641AC" w:rsidRPr="00F8465B" w14:paraId="17FBB46A" w14:textId="77777777" w:rsidTr="00A50FEA">
        <w:trPr>
          <w:trHeight w:val="270"/>
          <w:jc w:val="center"/>
        </w:trPr>
        <w:tc>
          <w:tcPr>
            <w:tcW w:w="2552" w:type="dxa"/>
            <w:tcBorders>
              <w:top w:val="nil"/>
              <w:left w:val="single" w:sz="8" w:space="0" w:color="auto"/>
              <w:bottom w:val="single" w:sz="8" w:space="0" w:color="auto"/>
              <w:right w:val="single" w:sz="8" w:space="0" w:color="auto"/>
            </w:tcBorders>
            <w:shd w:val="clear" w:color="auto" w:fill="FFFFFF"/>
            <w:noWrap/>
            <w:vAlign w:val="bottom"/>
          </w:tcPr>
          <w:p w14:paraId="5432985A" w14:textId="77777777" w:rsidR="00C641AC" w:rsidRPr="00F8465B" w:rsidRDefault="00C641AC" w:rsidP="00A50FEA">
            <w:pPr>
              <w:jc w:val="left"/>
              <w:rPr>
                <w:rFonts w:ascii="Cambria" w:hAnsi="Cambria"/>
                <w:b/>
                <w:bCs/>
                <w:sz w:val="18"/>
                <w:szCs w:val="18"/>
              </w:rPr>
            </w:pPr>
            <w:r>
              <w:rPr>
                <w:rFonts w:ascii="Cambria" w:hAnsi="Cambria"/>
                <w:b/>
                <w:bCs/>
                <w:sz w:val="18"/>
                <w:szCs w:val="18"/>
              </w:rPr>
              <w:t>Saldo al 31.12.19</w:t>
            </w:r>
          </w:p>
        </w:tc>
        <w:tc>
          <w:tcPr>
            <w:tcW w:w="831" w:type="dxa"/>
            <w:tcBorders>
              <w:top w:val="single" w:sz="8" w:space="0" w:color="auto"/>
              <w:left w:val="single" w:sz="8" w:space="0" w:color="auto"/>
              <w:bottom w:val="single" w:sz="8" w:space="0" w:color="auto"/>
              <w:right w:val="nil"/>
            </w:tcBorders>
            <w:shd w:val="clear" w:color="auto" w:fill="FFFFFF" w:themeFill="background1"/>
            <w:noWrap/>
            <w:vAlign w:val="bottom"/>
          </w:tcPr>
          <w:p w14:paraId="340B87F1" w14:textId="77777777" w:rsidR="00C641AC" w:rsidRDefault="00C641AC" w:rsidP="00A50FEA">
            <w:pPr>
              <w:jc w:val="right"/>
              <w:rPr>
                <w:rFonts w:ascii="Cambria" w:hAnsi="Cambria" w:cs="Arial"/>
                <w:b/>
                <w:bCs/>
                <w:sz w:val="18"/>
                <w:szCs w:val="18"/>
              </w:rPr>
            </w:pPr>
            <w:r>
              <w:rPr>
                <w:rFonts w:ascii="Cambria" w:hAnsi="Cambria" w:cs="Arial"/>
                <w:b/>
                <w:bCs/>
                <w:sz w:val="18"/>
                <w:szCs w:val="18"/>
              </w:rPr>
              <w:t>522</w:t>
            </w:r>
          </w:p>
        </w:tc>
        <w:tc>
          <w:tcPr>
            <w:tcW w:w="807" w:type="dxa"/>
            <w:tcBorders>
              <w:top w:val="nil"/>
              <w:left w:val="single" w:sz="8" w:space="0" w:color="auto"/>
              <w:bottom w:val="single" w:sz="8" w:space="0" w:color="auto"/>
              <w:right w:val="single" w:sz="8" w:space="0" w:color="auto"/>
            </w:tcBorders>
            <w:shd w:val="clear" w:color="auto" w:fill="FFFFFF" w:themeFill="background1"/>
            <w:vAlign w:val="bottom"/>
          </w:tcPr>
          <w:p w14:paraId="396AFAD3" w14:textId="77777777" w:rsidR="00C641AC" w:rsidRDefault="00C641AC" w:rsidP="00A50FEA">
            <w:pPr>
              <w:jc w:val="right"/>
              <w:rPr>
                <w:rFonts w:ascii="Cambria" w:hAnsi="Cambria" w:cs="Arial"/>
                <w:b/>
                <w:bCs/>
                <w:sz w:val="18"/>
                <w:szCs w:val="18"/>
              </w:rPr>
            </w:pPr>
            <w:r>
              <w:rPr>
                <w:rFonts w:ascii="Cambria" w:hAnsi="Cambria" w:cs="Arial"/>
                <w:b/>
                <w:bCs/>
                <w:sz w:val="18"/>
                <w:szCs w:val="18"/>
              </w:rPr>
              <w:t>4.278</w:t>
            </w:r>
          </w:p>
        </w:tc>
        <w:tc>
          <w:tcPr>
            <w:tcW w:w="1162" w:type="dxa"/>
            <w:tcBorders>
              <w:top w:val="nil"/>
              <w:left w:val="single" w:sz="8" w:space="0" w:color="auto"/>
              <w:bottom w:val="single" w:sz="8" w:space="0" w:color="auto"/>
              <w:right w:val="single" w:sz="8" w:space="0" w:color="auto"/>
            </w:tcBorders>
            <w:shd w:val="clear" w:color="auto" w:fill="FFFFFF" w:themeFill="background1"/>
            <w:vAlign w:val="bottom"/>
          </w:tcPr>
          <w:p w14:paraId="58253510" w14:textId="77777777" w:rsidR="00C641AC" w:rsidRDefault="00C641AC" w:rsidP="00A50FEA">
            <w:pPr>
              <w:jc w:val="right"/>
              <w:rPr>
                <w:rFonts w:ascii="Cambria" w:hAnsi="Cambria" w:cs="Arial"/>
                <w:b/>
                <w:bCs/>
                <w:sz w:val="18"/>
                <w:szCs w:val="18"/>
              </w:rPr>
            </w:pPr>
            <w:r>
              <w:rPr>
                <w:rFonts w:ascii="Cambria" w:hAnsi="Cambria" w:cs="Arial"/>
                <w:b/>
                <w:bCs/>
                <w:sz w:val="18"/>
                <w:szCs w:val="18"/>
              </w:rPr>
              <w:t>122</w:t>
            </w:r>
          </w:p>
        </w:tc>
        <w:tc>
          <w:tcPr>
            <w:tcW w:w="1065" w:type="dxa"/>
            <w:tcBorders>
              <w:top w:val="nil"/>
              <w:left w:val="single" w:sz="8" w:space="0" w:color="auto"/>
              <w:bottom w:val="single" w:sz="8" w:space="0" w:color="auto"/>
              <w:right w:val="single" w:sz="8" w:space="0" w:color="auto"/>
            </w:tcBorders>
            <w:shd w:val="clear" w:color="auto" w:fill="FFFFFF" w:themeFill="background1"/>
            <w:vAlign w:val="bottom"/>
          </w:tcPr>
          <w:p w14:paraId="26717A6F" w14:textId="77777777" w:rsidR="00C641AC" w:rsidRDefault="00C641AC" w:rsidP="00A50FEA">
            <w:pPr>
              <w:jc w:val="right"/>
              <w:rPr>
                <w:rFonts w:ascii="Cambria" w:hAnsi="Cambria" w:cs="Arial"/>
                <w:b/>
                <w:bCs/>
                <w:sz w:val="18"/>
                <w:szCs w:val="18"/>
              </w:rPr>
            </w:pPr>
            <w:r>
              <w:rPr>
                <w:rFonts w:ascii="Cambria" w:hAnsi="Cambria" w:cs="Arial"/>
                <w:b/>
                <w:bCs/>
                <w:sz w:val="18"/>
                <w:szCs w:val="18"/>
              </w:rPr>
              <w:t>1.090</w:t>
            </w:r>
          </w:p>
        </w:tc>
        <w:tc>
          <w:tcPr>
            <w:tcW w:w="830" w:type="dxa"/>
            <w:tcBorders>
              <w:top w:val="nil"/>
              <w:left w:val="single" w:sz="8" w:space="0" w:color="auto"/>
              <w:bottom w:val="single" w:sz="8" w:space="0" w:color="auto"/>
              <w:right w:val="single" w:sz="8" w:space="0" w:color="auto"/>
            </w:tcBorders>
            <w:shd w:val="clear" w:color="auto" w:fill="FFFFFF" w:themeFill="background1"/>
            <w:vAlign w:val="bottom"/>
          </w:tcPr>
          <w:p w14:paraId="6A72C312" w14:textId="77777777" w:rsidR="00C641AC" w:rsidRDefault="00C641AC" w:rsidP="00A50FEA">
            <w:pPr>
              <w:jc w:val="right"/>
              <w:rPr>
                <w:rFonts w:ascii="Cambria" w:hAnsi="Cambria" w:cs="Arial"/>
                <w:b/>
                <w:bCs/>
                <w:sz w:val="18"/>
                <w:szCs w:val="18"/>
              </w:rPr>
            </w:pPr>
            <w:r>
              <w:rPr>
                <w:rFonts w:ascii="Cambria" w:hAnsi="Cambria" w:cs="Arial"/>
                <w:b/>
                <w:bCs/>
                <w:sz w:val="18"/>
                <w:szCs w:val="18"/>
              </w:rPr>
              <w:t>79</w:t>
            </w:r>
          </w:p>
        </w:tc>
        <w:tc>
          <w:tcPr>
            <w:tcW w:w="1059" w:type="dxa"/>
            <w:tcBorders>
              <w:top w:val="nil"/>
              <w:left w:val="single" w:sz="8" w:space="0" w:color="auto"/>
              <w:bottom w:val="single" w:sz="8" w:space="0" w:color="auto"/>
              <w:right w:val="single" w:sz="8" w:space="0" w:color="auto"/>
            </w:tcBorders>
            <w:shd w:val="clear" w:color="auto" w:fill="FFFFFF" w:themeFill="background1"/>
            <w:vAlign w:val="bottom"/>
          </w:tcPr>
          <w:p w14:paraId="4FB28612" w14:textId="77777777" w:rsidR="00C641AC" w:rsidRDefault="00C641AC" w:rsidP="00A50FEA">
            <w:pPr>
              <w:jc w:val="right"/>
              <w:rPr>
                <w:rFonts w:ascii="Cambria" w:hAnsi="Cambria" w:cs="Arial"/>
                <w:b/>
                <w:bCs/>
                <w:sz w:val="18"/>
                <w:szCs w:val="18"/>
              </w:rPr>
            </w:pPr>
            <w:r>
              <w:rPr>
                <w:rFonts w:ascii="Cambria" w:hAnsi="Cambria" w:cs="Arial"/>
                <w:b/>
                <w:bCs/>
                <w:sz w:val="18"/>
                <w:szCs w:val="18"/>
              </w:rPr>
              <w:t>1.511</w:t>
            </w:r>
          </w:p>
        </w:tc>
        <w:tc>
          <w:tcPr>
            <w:tcW w:w="766" w:type="dxa"/>
            <w:tcBorders>
              <w:top w:val="nil"/>
              <w:left w:val="single" w:sz="8" w:space="0" w:color="auto"/>
              <w:bottom w:val="single" w:sz="8" w:space="0" w:color="auto"/>
              <w:right w:val="single" w:sz="8" w:space="0" w:color="auto"/>
            </w:tcBorders>
            <w:shd w:val="clear" w:color="auto" w:fill="FFFFFF" w:themeFill="background1"/>
            <w:noWrap/>
            <w:vAlign w:val="bottom"/>
          </w:tcPr>
          <w:p w14:paraId="0ECE3609" w14:textId="77777777" w:rsidR="00C641AC" w:rsidRDefault="00C641AC" w:rsidP="00A50FEA">
            <w:pPr>
              <w:jc w:val="right"/>
              <w:rPr>
                <w:rFonts w:ascii="Cambria" w:hAnsi="Cambria" w:cs="Arial"/>
                <w:b/>
                <w:bCs/>
                <w:sz w:val="18"/>
                <w:szCs w:val="18"/>
              </w:rPr>
            </w:pPr>
            <w:r>
              <w:rPr>
                <w:rFonts w:ascii="Cambria" w:hAnsi="Cambria" w:cs="Arial"/>
                <w:b/>
                <w:bCs/>
                <w:sz w:val="18"/>
                <w:szCs w:val="18"/>
              </w:rPr>
              <w:t>7.602</w:t>
            </w:r>
          </w:p>
        </w:tc>
      </w:tr>
    </w:tbl>
    <w:p w14:paraId="2E450260" w14:textId="77777777" w:rsidR="00C641AC" w:rsidRDefault="00C641AC" w:rsidP="00C641AC">
      <w:pPr>
        <w:ind w:left="567"/>
        <w:rPr>
          <w:rFonts w:ascii="Cambria" w:hAnsi="Cambria"/>
          <w:b/>
          <w:sz w:val="24"/>
          <w:szCs w:val="24"/>
          <w:u w:val="single"/>
        </w:rPr>
      </w:pPr>
    </w:p>
    <w:p w14:paraId="2878FBBC" w14:textId="77777777" w:rsidR="00C641AC" w:rsidRDefault="00C641AC" w:rsidP="00C641AC">
      <w:pPr>
        <w:ind w:left="567"/>
        <w:rPr>
          <w:rFonts w:ascii="Times New Roman" w:hAnsi="Times New Roman"/>
          <w:sz w:val="20"/>
          <w:lang w:val="es-ES"/>
        </w:rPr>
      </w:pPr>
      <w:r>
        <w:fldChar w:fldCharType="begin"/>
      </w:r>
      <w:r>
        <w:instrText xml:space="preserve"> LINK Excel.Sheet.12 "\\\\192.168.1.200\\comun\\Archivo\\Control y auditoría\\Auditoría\\Auditoría externa\\2018\\CCAA\\Cuadros memoria Cofivacasa 2018.xlsx" "PROVISIONES PERSONAL PASIVO!F12C1:F19C10" \a \f 4 \h  \* MERGEFORMAT </w:instrText>
      </w:r>
      <w:r>
        <w:fldChar w:fldCharType="separate"/>
      </w:r>
    </w:p>
    <w:tbl>
      <w:tblPr>
        <w:tblW w:w="9440" w:type="dxa"/>
        <w:tblCellMar>
          <w:left w:w="70" w:type="dxa"/>
          <w:right w:w="70" w:type="dxa"/>
        </w:tblCellMar>
        <w:tblLook w:val="04A0" w:firstRow="1" w:lastRow="0" w:firstColumn="1" w:lastColumn="0" w:noHBand="0" w:noVBand="1"/>
      </w:tblPr>
      <w:tblGrid>
        <w:gridCol w:w="1920"/>
        <w:gridCol w:w="1244"/>
        <w:gridCol w:w="880"/>
        <w:gridCol w:w="780"/>
        <w:gridCol w:w="760"/>
        <w:gridCol w:w="980"/>
        <w:gridCol w:w="740"/>
        <w:gridCol w:w="820"/>
        <w:gridCol w:w="740"/>
        <w:gridCol w:w="760"/>
      </w:tblGrid>
      <w:tr w:rsidR="00C641AC" w:rsidRPr="004A2C0D" w14:paraId="412EBF3B" w14:textId="77777777" w:rsidTr="00A50FEA">
        <w:trPr>
          <w:trHeight w:val="139"/>
        </w:trPr>
        <w:tc>
          <w:tcPr>
            <w:tcW w:w="1920" w:type="dxa"/>
            <w:tcBorders>
              <w:top w:val="nil"/>
              <w:left w:val="nil"/>
              <w:bottom w:val="single" w:sz="8" w:space="0" w:color="auto"/>
              <w:right w:val="single" w:sz="4" w:space="0" w:color="auto"/>
            </w:tcBorders>
            <w:shd w:val="clear" w:color="auto" w:fill="auto"/>
            <w:vAlign w:val="center"/>
            <w:hideMark/>
          </w:tcPr>
          <w:p w14:paraId="445E337D" w14:textId="77777777" w:rsidR="00C641AC" w:rsidRPr="004A2C0D" w:rsidRDefault="00C641AC" w:rsidP="00A50FEA">
            <w:pPr>
              <w:keepLines w:val="0"/>
              <w:widowControl/>
              <w:jc w:val="center"/>
              <w:rPr>
                <w:rFonts w:ascii="Cambria" w:hAnsi="Cambria" w:cs="Arial"/>
                <w:sz w:val="18"/>
                <w:szCs w:val="18"/>
                <w:lang w:val="es-ES"/>
              </w:rPr>
            </w:pPr>
            <w:r w:rsidRPr="004A2C0D">
              <w:rPr>
                <w:rFonts w:ascii="Cambria" w:hAnsi="Cambria" w:cs="Arial"/>
                <w:sz w:val="18"/>
                <w:szCs w:val="18"/>
                <w:lang w:val="es-ES"/>
              </w:rPr>
              <w:t> </w:t>
            </w:r>
          </w:p>
        </w:tc>
        <w:tc>
          <w:tcPr>
            <w:tcW w:w="1940" w:type="dxa"/>
            <w:gridSpan w:val="2"/>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CEA143B" w14:textId="77777777" w:rsidR="00C641AC" w:rsidRPr="000B4321" w:rsidRDefault="00C641AC" w:rsidP="00A50FEA">
            <w:pPr>
              <w:jc w:val="center"/>
              <w:rPr>
                <w:rFonts w:ascii="Cambria" w:hAnsi="Cambria"/>
                <w:b/>
                <w:bCs/>
                <w:sz w:val="18"/>
                <w:szCs w:val="18"/>
              </w:rPr>
            </w:pPr>
            <w:r w:rsidRPr="000B4321">
              <w:rPr>
                <w:rFonts w:ascii="Cambria" w:hAnsi="Cambria"/>
                <w:b/>
                <w:bCs/>
                <w:sz w:val="18"/>
                <w:szCs w:val="18"/>
              </w:rPr>
              <w:t> </w:t>
            </w:r>
          </w:p>
          <w:p w14:paraId="6B1702C2" w14:textId="77777777" w:rsidR="00C641AC" w:rsidRPr="000B4321" w:rsidRDefault="00C641AC" w:rsidP="00A50FEA">
            <w:pPr>
              <w:jc w:val="center"/>
              <w:rPr>
                <w:rFonts w:ascii="Cambria" w:hAnsi="Cambria"/>
                <w:b/>
                <w:bCs/>
                <w:sz w:val="18"/>
                <w:szCs w:val="18"/>
              </w:rPr>
            </w:pPr>
            <w:r w:rsidRPr="000B4321">
              <w:rPr>
                <w:rFonts w:ascii="Cambria" w:hAnsi="Cambria"/>
                <w:b/>
                <w:bCs/>
                <w:sz w:val="18"/>
                <w:szCs w:val="18"/>
              </w:rPr>
              <w:t>ACENOR</w:t>
            </w:r>
          </w:p>
        </w:tc>
        <w:tc>
          <w:tcPr>
            <w:tcW w:w="1540" w:type="dxa"/>
            <w:gridSpan w:val="2"/>
            <w:tcBorders>
              <w:top w:val="nil"/>
              <w:left w:val="single" w:sz="4" w:space="0" w:color="auto"/>
              <w:bottom w:val="single" w:sz="8" w:space="0" w:color="auto"/>
              <w:right w:val="nil"/>
            </w:tcBorders>
            <w:shd w:val="clear" w:color="000000" w:fill="FFFFFF"/>
            <w:vAlign w:val="center"/>
            <w:hideMark/>
          </w:tcPr>
          <w:p w14:paraId="6CD1B8E5" w14:textId="77777777" w:rsidR="00C641AC" w:rsidRPr="004A2C0D" w:rsidRDefault="00C641AC" w:rsidP="00A50FEA">
            <w:pPr>
              <w:keepLines w:val="0"/>
              <w:widowControl/>
              <w:jc w:val="center"/>
              <w:rPr>
                <w:rFonts w:ascii="Cambria" w:hAnsi="Cambria" w:cs="Arial"/>
                <w:b/>
                <w:bCs/>
                <w:sz w:val="18"/>
                <w:szCs w:val="18"/>
                <w:lang w:val="es-ES"/>
              </w:rPr>
            </w:pPr>
            <w:r w:rsidRPr="004A2C0D">
              <w:rPr>
                <w:rFonts w:ascii="Cambria" w:hAnsi="Cambria" w:cs="Arial"/>
                <w:b/>
                <w:bCs/>
                <w:sz w:val="18"/>
                <w:szCs w:val="18"/>
                <w:lang w:val="es-ES"/>
              </w:rPr>
              <w:t> </w:t>
            </w:r>
          </w:p>
        </w:tc>
        <w:tc>
          <w:tcPr>
            <w:tcW w:w="328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44AF231A" w14:textId="77777777" w:rsidR="00C641AC" w:rsidRPr="004A2C0D" w:rsidRDefault="00C641AC" w:rsidP="00A50FEA">
            <w:pPr>
              <w:keepLines w:val="0"/>
              <w:widowControl/>
              <w:jc w:val="center"/>
              <w:rPr>
                <w:rFonts w:ascii="Cambria" w:hAnsi="Cambria" w:cs="Arial"/>
                <w:b/>
                <w:bCs/>
                <w:sz w:val="18"/>
                <w:szCs w:val="18"/>
                <w:lang w:val="es-ES"/>
              </w:rPr>
            </w:pPr>
            <w:r w:rsidRPr="004A2C0D">
              <w:rPr>
                <w:rFonts w:ascii="Cambria" w:hAnsi="Cambria" w:cs="Arial"/>
                <w:b/>
                <w:bCs/>
                <w:sz w:val="18"/>
                <w:szCs w:val="18"/>
                <w:lang w:val="es-ES"/>
              </w:rPr>
              <w:t>AEC</w:t>
            </w:r>
          </w:p>
        </w:tc>
        <w:tc>
          <w:tcPr>
            <w:tcW w:w="760" w:type="dxa"/>
            <w:tcBorders>
              <w:top w:val="nil"/>
              <w:left w:val="nil"/>
              <w:bottom w:val="single" w:sz="8" w:space="0" w:color="auto"/>
              <w:right w:val="nil"/>
            </w:tcBorders>
            <w:shd w:val="clear" w:color="000000" w:fill="FFFFFF"/>
            <w:vAlign w:val="center"/>
            <w:hideMark/>
          </w:tcPr>
          <w:p w14:paraId="0DE2644E" w14:textId="77777777" w:rsidR="00C641AC" w:rsidRPr="004A2C0D" w:rsidRDefault="00C641AC" w:rsidP="00A50FEA">
            <w:pPr>
              <w:keepLines w:val="0"/>
              <w:widowControl/>
              <w:jc w:val="center"/>
              <w:rPr>
                <w:rFonts w:ascii="Cambria" w:hAnsi="Cambria" w:cs="Arial"/>
                <w:b/>
                <w:bCs/>
                <w:sz w:val="18"/>
                <w:szCs w:val="18"/>
                <w:lang w:val="es-ES"/>
              </w:rPr>
            </w:pPr>
            <w:r w:rsidRPr="004A2C0D">
              <w:rPr>
                <w:rFonts w:ascii="Cambria" w:hAnsi="Cambria" w:cs="Arial"/>
                <w:b/>
                <w:bCs/>
                <w:sz w:val="18"/>
                <w:szCs w:val="18"/>
                <w:lang w:val="es-ES"/>
              </w:rPr>
              <w:t> </w:t>
            </w:r>
          </w:p>
        </w:tc>
      </w:tr>
      <w:tr w:rsidR="00C641AC" w:rsidRPr="004A2C0D" w14:paraId="4D241A46" w14:textId="77777777" w:rsidTr="00A50FEA">
        <w:trPr>
          <w:trHeight w:val="1035"/>
        </w:trPr>
        <w:tc>
          <w:tcPr>
            <w:tcW w:w="1920" w:type="dxa"/>
            <w:tcBorders>
              <w:top w:val="nil"/>
              <w:left w:val="single" w:sz="8" w:space="0" w:color="auto"/>
              <w:bottom w:val="single" w:sz="8" w:space="0" w:color="auto"/>
              <w:right w:val="nil"/>
            </w:tcBorders>
            <w:shd w:val="clear" w:color="auto" w:fill="auto"/>
            <w:vAlign w:val="center"/>
            <w:hideMark/>
          </w:tcPr>
          <w:p w14:paraId="396B0B6F" w14:textId="77777777" w:rsidR="00C641AC" w:rsidRPr="00E561F5" w:rsidRDefault="00C641AC" w:rsidP="00A50FEA">
            <w:pPr>
              <w:keepLines w:val="0"/>
              <w:widowControl/>
              <w:jc w:val="left"/>
              <w:rPr>
                <w:rFonts w:ascii="Cambria" w:hAnsi="Cambria" w:cs="Arial"/>
                <w:b/>
                <w:bCs/>
                <w:sz w:val="18"/>
                <w:szCs w:val="18"/>
                <w:lang w:val="es-ES"/>
              </w:rPr>
            </w:pPr>
            <w:r w:rsidRPr="00E561F5">
              <w:rPr>
                <w:rFonts w:ascii="Cambria" w:hAnsi="Cambria" w:cs="Arial"/>
                <w:b/>
                <w:bCs/>
                <w:sz w:val="18"/>
                <w:szCs w:val="18"/>
                <w:lang w:val="es-ES"/>
              </w:rPr>
              <w:t>Obligaciones personal a corto plazo</w:t>
            </w: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5AA2625C" w14:textId="77777777" w:rsidR="00C641AC" w:rsidRDefault="00C641AC" w:rsidP="00A50FEA">
            <w:pPr>
              <w:keepLines w:val="0"/>
              <w:widowControl/>
              <w:jc w:val="center"/>
              <w:rPr>
                <w:rFonts w:ascii="Cambria" w:hAnsi="Cambria" w:cs="Arial"/>
                <w:b/>
                <w:bCs/>
                <w:sz w:val="16"/>
                <w:szCs w:val="18"/>
                <w:lang w:val="es-ES"/>
              </w:rPr>
            </w:pPr>
            <w:r>
              <w:rPr>
                <w:rFonts w:ascii="Cambria" w:hAnsi="Cambria" w:cs="Arial"/>
                <w:b/>
                <w:bCs/>
                <w:sz w:val="16"/>
                <w:szCs w:val="18"/>
                <w:lang w:val="es-ES"/>
              </w:rPr>
              <w:t>Regularización pólizas</w:t>
            </w:r>
          </w:p>
          <w:p w14:paraId="22A456BD" w14:textId="77777777" w:rsidR="00C641AC" w:rsidRDefault="00C641AC" w:rsidP="00A50FEA">
            <w:pPr>
              <w:keepLines w:val="0"/>
              <w:widowControl/>
              <w:jc w:val="center"/>
              <w:rPr>
                <w:rFonts w:ascii="Cambria" w:hAnsi="Cambria" w:cs="Arial"/>
                <w:b/>
                <w:bCs/>
                <w:sz w:val="16"/>
                <w:szCs w:val="18"/>
                <w:lang w:val="es-ES"/>
              </w:rPr>
            </w:pPr>
            <w:r>
              <w:rPr>
                <w:rFonts w:ascii="Cambria" w:hAnsi="Cambria" w:cs="Arial"/>
                <w:b/>
                <w:bCs/>
                <w:sz w:val="16"/>
                <w:szCs w:val="18"/>
                <w:lang w:val="es-ES"/>
              </w:rPr>
              <w:t xml:space="preserve"> 111 y 112</w:t>
            </w:r>
          </w:p>
          <w:p w14:paraId="15A0590B" w14:textId="77777777" w:rsidR="00C641AC" w:rsidRPr="00E561F5" w:rsidRDefault="00C641AC" w:rsidP="00A50FEA">
            <w:pPr>
              <w:keepLines w:val="0"/>
              <w:widowControl/>
              <w:jc w:val="center"/>
              <w:rPr>
                <w:rFonts w:ascii="Cambria" w:hAnsi="Cambria" w:cs="Arial"/>
                <w:b/>
                <w:bCs/>
                <w:sz w:val="16"/>
                <w:szCs w:val="16"/>
                <w:lang w:val="es-ES"/>
              </w:rPr>
            </w:pPr>
            <w:r>
              <w:rPr>
                <w:rFonts w:ascii="Cambria" w:hAnsi="Cambria" w:cs="Arial"/>
                <w:sz w:val="18"/>
                <w:szCs w:val="18"/>
                <w:lang w:val="es-ES"/>
              </w:rPr>
              <w:t>(Nota 13.3)</w:t>
            </w:r>
          </w:p>
        </w:tc>
        <w:tc>
          <w:tcPr>
            <w:tcW w:w="880" w:type="dxa"/>
            <w:tcBorders>
              <w:top w:val="nil"/>
              <w:left w:val="nil"/>
              <w:bottom w:val="single" w:sz="8" w:space="0" w:color="auto"/>
              <w:right w:val="single" w:sz="8" w:space="0" w:color="auto"/>
            </w:tcBorders>
            <w:shd w:val="clear" w:color="auto" w:fill="auto"/>
            <w:vAlign w:val="center"/>
            <w:hideMark/>
          </w:tcPr>
          <w:p w14:paraId="4384C04E" w14:textId="77777777" w:rsidR="00C641AC" w:rsidRPr="00E561F5" w:rsidRDefault="00C641AC" w:rsidP="00A50FEA">
            <w:pPr>
              <w:keepLines w:val="0"/>
              <w:widowControl/>
              <w:jc w:val="center"/>
              <w:rPr>
                <w:rFonts w:ascii="Cambria" w:hAnsi="Cambria" w:cs="Arial"/>
                <w:b/>
                <w:bCs/>
                <w:sz w:val="16"/>
                <w:szCs w:val="16"/>
                <w:lang w:val="es-ES"/>
              </w:rPr>
            </w:pPr>
            <w:r w:rsidRPr="00E561F5">
              <w:rPr>
                <w:rFonts w:ascii="Cambria" w:hAnsi="Cambria" w:cs="Arial"/>
                <w:b/>
                <w:bCs/>
                <w:sz w:val="16"/>
                <w:szCs w:val="18"/>
                <w:lang w:val="es-ES"/>
              </w:rPr>
              <w:t>Salto a los 60</w:t>
            </w:r>
          </w:p>
        </w:tc>
        <w:tc>
          <w:tcPr>
            <w:tcW w:w="780" w:type="dxa"/>
            <w:tcBorders>
              <w:top w:val="nil"/>
              <w:left w:val="nil"/>
              <w:bottom w:val="single" w:sz="8" w:space="0" w:color="auto"/>
              <w:right w:val="single" w:sz="8" w:space="0" w:color="auto"/>
            </w:tcBorders>
            <w:shd w:val="clear" w:color="auto" w:fill="auto"/>
            <w:vAlign w:val="center"/>
            <w:hideMark/>
          </w:tcPr>
          <w:p w14:paraId="56D24AD9" w14:textId="77777777" w:rsidR="00C641AC" w:rsidRPr="00E561F5" w:rsidRDefault="00C641AC" w:rsidP="00A50FEA">
            <w:pPr>
              <w:keepLines w:val="0"/>
              <w:widowControl/>
              <w:jc w:val="center"/>
              <w:rPr>
                <w:rFonts w:ascii="Cambria" w:hAnsi="Cambria" w:cs="Arial"/>
                <w:b/>
                <w:bCs/>
                <w:sz w:val="16"/>
                <w:szCs w:val="16"/>
                <w:lang w:val="es-ES"/>
              </w:rPr>
            </w:pPr>
            <w:r w:rsidRPr="00E561F5">
              <w:rPr>
                <w:rFonts w:ascii="Cambria" w:hAnsi="Cambria" w:cs="Arial"/>
                <w:b/>
                <w:bCs/>
                <w:sz w:val="16"/>
                <w:szCs w:val="18"/>
                <w:lang w:val="es-ES"/>
              </w:rPr>
              <w:t>BWE</w:t>
            </w:r>
          </w:p>
        </w:tc>
        <w:tc>
          <w:tcPr>
            <w:tcW w:w="760" w:type="dxa"/>
            <w:tcBorders>
              <w:top w:val="nil"/>
              <w:left w:val="nil"/>
              <w:bottom w:val="nil"/>
              <w:right w:val="single" w:sz="8" w:space="0" w:color="auto"/>
            </w:tcBorders>
            <w:shd w:val="clear" w:color="auto" w:fill="auto"/>
            <w:vAlign w:val="center"/>
            <w:hideMark/>
          </w:tcPr>
          <w:p w14:paraId="5C8E50DB" w14:textId="77777777" w:rsidR="00C641AC" w:rsidRPr="00E561F5" w:rsidRDefault="00C641AC" w:rsidP="00A50FEA">
            <w:pPr>
              <w:keepLines w:val="0"/>
              <w:widowControl/>
              <w:jc w:val="center"/>
              <w:rPr>
                <w:rFonts w:ascii="Cambria" w:hAnsi="Cambria" w:cs="Arial"/>
                <w:b/>
                <w:bCs/>
                <w:sz w:val="16"/>
                <w:szCs w:val="16"/>
                <w:lang w:val="es-ES"/>
              </w:rPr>
            </w:pPr>
            <w:r w:rsidRPr="00E561F5">
              <w:rPr>
                <w:rFonts w:ascii="Cambria" w:hAnsi="Cambria" w:cs="Arial"/>
                <w:b/>
                <w:bCs/>
                <w:sz w:val="16"/>
                <w:szCs w:val="18"/>
                <w:lang w:val="es-ES"/>
              </w:rPr>
              <w:t>PRESUR</w:t>
            </w:r>
          </w:p>
        </w:tc>
        <w:tc>
          <w:tcPr>
            <w:tcW w:w="980" w:type="dxa"/>
            <w:tcBorders>
              <w:top w:val="nil"/>
              <w:left w:val="nil"/>
              <w:bottom w:val="single" w:sz="8" w:space="0" w:color="auto"/>
              <w:right w:val="single" w:sz="8" w:space="0" w:color="auto"/>
            </w:tcBorders>
            <w:shd w:val="clear" w:color="auto" w:fill="auto"/>
            <w:vAlign w:val="center"/>
            <w:hideMark/>
          </w:tcPr>
          <w:p w14:paraId="5AC0BC38" w14:textId="77777777" w:rsidR="00C641AC" w:rsidRPr="00E561F5" w:rsidRDefault="00C641AC" w:rsidP="00A50FEA">
            <w:pPr>
              <w:keepLines w:val="0"/>
              <w:widowControl/>
              <w:jc w:val="center"/>
              <w:rPr>
                <w:rFonts w:ascii="Cambria" w:hAnsi="Cambria" w:cs="Arial"/>
                <w:b/>
                <w:bCs/>
                <w:sz w:val="16"/>
                <w:szCs w:val="16"/>
                <w:lang w:val="es-ES"/>
              </w:rPr>
            </w:pPr>
            <w:r w:rsidRPr="00E561F5">
              <w:rPr>
                <w:rFonts w:ascii="Cambria" w:hAnsi="Cambria" w:cs="Arial"/>
                <w:b/>
                <w:bCs/>
                <w:sz w:val="16"/>
                <w:szCs w:val="18"/>
                <w:lang w:val="es-ES"/>
              </w:rPr>
              <w:t>Ayudas Previas y cotiza-ciones</w:t>
            </w:r>
          </w:p>
        </w:tc>
        <w:tc>
          <w:tcPr>
            <w:tcW w:w="740" w:type="dxa"/>
            <w:tcBorders>
              <w:top w:val="nil"/>
              <w:left w:val="nil"/>
              <w:bottom w:val="single" w:sz="8" w:space="0" w:color="auto"/>
              <w:right w:val="single" w:sz="8" w:space="0" w:color="auto"/>
            </w:tcBorders>
            <w:shd w:val="clear" w:color="auto" w:fill="auto"/>
            <w:vAlign w:val="center"/>
            <w:hideMark/>
          </w:tcPr>
          <w:p w14:paraId="2F01A84E" w14:textId="77777777" w:rsidR="00C641AC" w:rsidRPr="00E561F5" w:rsidRDefault="00C641AC" w:rsidP="00A50FEA">
            <w:pPr>
              <w:keepLines w:val="0"/>
              <w:widowControl/>
              <w:jc w:val="center"/>
              <w:rPr>
                <w:rFonts w:ascii="Cambria" w:hAnsi="Cambria" w:cs="Arial"/>
                <w:b/>
                <w:bCs/>
                <w:sz w:val="16"/>
                <w:szCs w:val="16"/>
                <w:lang w:val="es-ES"/>
              </w:rPr>
            </w:pPr>
            <w:r w:rsidRPr="00E561F5">
              <w:rPr>
                <w:rFonts w:ascii="Cambria" w:hAnsi="Cambria" w:cs="Arial"/>
                <w:b/>
                <w:bCs/>
                <w:sz w:val="16"/>
                <w:szCs w:val="18"/>
              </w:rPr>
              <w:t>Costes de amplia-ción ERE</w:t>
            </w:r>
          </w:p>
        </w:tc>
        <w:tc>
          <w:tcPr>
            <w:tcW w:w="820" w:type="dxa"/>
            <w:tcBorders>
              <w:top w:val="nil"/>
              <w:left w:val="nil"/>
              <w:bottom w:val="single" w:sz="8" w:space="0" w:color="auto"/>
              <w:right w:val="single" w:sz="8" w:space="0" w:color="auto"/>
            </w:tcBorders>
            <w:shd w:val="clear" w:color="auto" w:fill="auto"/>
            <w:vAlign w:val="center"/>
            <w:hideMark/>
          </w:tcPr>
          <w:p w14:paraId="6DA28AC1" w14:textId="77777777" w:rsidR="00C641AC" w:rsidRPr="00E561F5" w:rsidRDefault="00C641AC" w:rsidP="00A50FEA">
            <w:pPr>
              <w:keepLines w:val="0"/>
              <w:widowControl/>
              <w:jc w:val="center"/>
              <w:rPr>
                <w:rFonts w:ascii="Cambria" w:hAnsi="Cambria" w:cs="Arial"/>
                <w:b/>
                <w:bCs/>
                <w:sz w:val="16"/>
                <w:szCs w:val="16"/>
                <w:lang w:val="es-ES"/>
              </w:rPr>
            </w:pPr>
            <w:r w:rsidRPr="00E561F5">
              <w:rPr>
                <w:rFonts w:ascii="Cambria" w:hAnsi="Cambria" w:cs="Arial"/>
                <w:b/>
                <w:bCs/>
                <w:sz w:val="16"/>
                <w:szCs w:val="18"/>
              </w:rPr>
              <w:t>Gastos médicos</w:t>
            </w:r>
          </w:p>
        </w:tc>
        <w:tc>
          <w:tcPr>
            <w:tcW w:w="740" w:type="dxa"/>
            <w:tcBorders>
              <w:top w:val="nil"/>
              <w:left w:val="nil"/>
              <w:bottom w:val="single" w:sz="8" w:space="0" w:color="auto"/>
              <w:right w:val="single" w:sz="8" w:space="0" w:color="auto"/>
            </w:tcBorders>
            <w:shd w:val="clear" w:color="auto" w:fill="auto"/>
            <w:vAlign w:val="center"/>
            <w:hideMark/>
          </w:tcPr>
          <w:p w14:paraId="0FB206D3" w14:textId="77777777" w:rsidR="00C641AC" w:rsidRPr="004A2C0D" w:rsidRDefault="00C641AC" w:rsidP="00A50FEA">
            <w:pPr>
              <w:keepLines w:val="0"/>
              <w:widowControl/>
              <w:jc w:val="center"/>
              <w:rPr>
                <w:rFonts w:ascii="Cambria" w:hAnsi="Cambria" w:cs="Arial"/>
                <w:b/>
                <w:bCs/>
                <w:sz w:val="16"/>
                <w:szCs w:val="16"/>
                <w:lang w:val="es-ES"/>
              </w:rPr>
            </w:pPr>
            <w:r w:rsidRPr="004A2C0D">
              <w:rPr>
                <w:rFonts w:ascii="Cambria" w:hAnsi="Cambria" w:cs="Arial"/>
                <w:b/>
                <w:bCs/>
                <w:sz w:val="16"/>
                <w:szCs w:val="18"/>
              </w:rPr>
              <w:t>Gastos econo-mato</w:t>
            </w:r>
          </w:p>
        </w:tc>
        <w:tc>
          <w:tcPr>
            <w:tcW w:w="760" w:type="dxa"/>
            <w:tcBorders>
              <w:top w:val="nil"/>
              <w:left w:val="nil"/>
              <w:bottom w:val="single" w:sz="8" w:space="0" w:color="auto"/>
              <w:right w:val="single" w:sz="8" w:space="0" w:color="auto"/>
            </w:tcBorders>
            <w:shd w:val="clear" w:color="auto" w:fill="auto"/>
            <w:noWrap/>
            <w:vAlign w:val="center"/>
            <w:hideMark/>
          </w:tcPr>
          <w:p w14:paraId="3BBC981B" w14:textId="77777777" w:rsidR="00C641AC" w:rsidRPr="004A2C0D" w:rsidRDefault="00C641AC" w:rsidP="00A50FEA">
            <w:pPr>
              <w:keepLines w:val="0"/>
              <w:widowControl/>
              <w:jc w:val="center"/>
              <w:rPr>
                <w:rFonts w:ascii="Cambria" w:hAnsi="Cambria" w:cs="Arial"/>
                <w:b/>
                <w:bCs/>
                <w:sz w:val="16"/>
                <w:szCs w:val="16"/>
                <w:lang w:val="es-ES"/>
              </w:rPr>
            </w:pPr>
            <w:r w:rsidRPr="004A2C0D">
              <w:rPr>
                <w:rFonts w:ascii="Cambria" w:hAnsi="Cambria" w:cs="Arial"/>
                <w:b/>
                <w:bCs/>
                <w:sz w:val="16"/>
                <w:szCs w:val="18"/>
                <w:lang w:val="es-ES"/>
              </w:rPr>
              <w:t>Total</w:t>
            </w:r>
          </w:p>
        </w:tc>
      </w:tr>
      <w:tr w:rsidR="00C641AC" w:rsidRPr="004A2C0D" w14:paraId="00858312" w14:textId="77777777" w:rsidTr="00A50FEA">
        <w:trPr>
          <w:trHeight w:val="270"/>
        </w:trPr>
        <w:tc>
          <w:tcPr>
            <w:tcW w:w="1920" w:type="dxa"/>
            <w:tcBorders>
              <w:top w:val="nil"/>
              <w:left w:val="single" w:sz="8" w:space="0" w:color="auto"/>
              <w:bottom w:val="single" w:sz="8" w:space="0" w:color="auto"/>
              <w:right w:val="single" w:sz="8" w:space="0" w:color="auto"/>
            </w:tcBorders>
            <w:shd w:val="clear" w:color="000000" w:fill="FFFFFF"/>
            <w:noWrap/>
            <w:vAlign w:val="center"/>
            <w:hideMark/>
          </w:tcPr>
          <w:p w14:paraId="7D10E0CB" w14:textId="77777777" w:rsidR="00C641AC" w:rsidRPr="004A2C0D" w:rsidRDefault="00C641AC" w:rsidP="00A50FEA">
            <w:pPr>
              <w:keepLines w:val="0"/>
              <w:widowControl/>
              <w:jc w:val="left"/>
              <w:rPr>
                <w:rFonts w:ascii="Cambria" w:hAnsi="Cambria" w:cs="Arial"/>
                <w:b/>
                <w:bCs/>
                <w:sz w:val="18"/>
                <w:szCs w:val="18"/>
                <w:lang w:val="es-ES"/>
              </w:rPr>
            </w:pPr>
            <w:r>
              <w:rPr>
                <w:rFonts w:ascii="Cambria" w:hAnsi="Cambria" w:cs="Arial"/>
                <w:b/>
                <w:bCs/>
                <w:sz w:val="18"/>
                <w:szCs w:val="18"/>
                <w:lang w:val="es-ES"/>
              </w:rPr>
              <w:t>Saldo al 31.12.18</w:t>
            </w:r>
          </w:p>
        </w:tc>
        <w:tc>
          <w:tcPr>
            <w:tcW w:w="1060" w:type="dxa"/>
            <w:tcBorders>
              <w:top w:val="nil"/>
              <w:left w:val="nil"/>
              <w:bottom w:val="single" w:sz="8" w:space="0" w:color="auto"/>
              <w:right w:val="single" w:sz="8" w:space="0" w:color="auto"/>
            </w:tcBorders>
            <w:shd w:val="clear" w:color="000000" w:fill="FFFFFF"/>
            <w:noWrap/>
            <w:vAlign w:val="center"/>
            <w:hideMark/>
          </w:tcPr>
          <w:p w14:paraId="0B8CC522" w14:textId="77777777" w:rsidR="00C641AC" w:rsidRPr="004A2C0D" w:rsidRDefault="00C641AC" w:rsidP="00A50FEA">
            <w:pPr>
              <w:keepLines w:val="0"/>
              <w:widowControl/>
              <w:jc w:val="center"/>
              <w:rPr>
                <w:rFonts w:ascii="Cambria" w:hAnsi="Cambria" w:cs="Arial"/>
                <w:b/>
                <w:bCs/>
                <w:sz w:val="18"/>
                <w:szCs w:val="18"/>
                <w:lang w:val="es-ES"/>
              </w:rPr>
            </w:pPr>
            <w:r>
              <w:rPr>
                <w:rFonts w:ascii="Cambria" w:hAnsi="Cambria" w:cs="Arial"/>
                <w:b/>
                <w:bCs/>
                <w:sz w:val="18"/>
                <w:szCs w:val="18"/>
                <w:lang w:val="es-ES"/>
              </w:rPr>
              <w:t>-</w:t>
            </w:r>
          </w:p>
        </w:tc>
        <w:tc>
          <w:tcPr>
            <w:tcW w:w="880" w:type="dxa"/>
            <w:tcBorders>
              <w:top w:val="nil"/>
              <w:left w:val="nil"/>
              <w:bottom w:val="single" w:sz="8" w:space="0" w:color="auto"/>
              <w:right w:val="single" w:sz="8" w:space="0" w:color="auto"/>
            </w:tcBorders>
            <w:shd w:val="clear" w:color="000000" w:fill="FFFFFF"/>
            <w:noWrap/>
            <w:vAlign w:val="center"/>
            <w:hideMark/>
          </w:tcPr>
          <w:p w14:paraId="327366B8" w14:textId="77777777" w:rsidR="00C641AC" w:rsidRPr="004A2C0D" w:rsidRDefault="00C641AC" w:rsidP="00A50FEA">
            <w:pPr>
              <w:keepLines w:val="0"/>
              <w:widowControl/>
              <w:jc w:val="right"/>
              <w:rPr>
                <w:rFonts w:ascii="Cambria" w:hAnsi="Cambria" w:cs="Arial"/>
                <w:b/>
                <w:bCs/>
                <w:sz w:val="18"/>
                <w:szCs w:val="18"/>
                <w:lang w:val="es-ES"/>
              </w:rPr>
            </w:pPr>
            <w:r w:rsidRPr="004A2C0D">
              <w:rPr>
                <w:rFonts w:ascii="Cambria" w:hAnsi="Cambria" w:cs="Arial"/>
                <w:b/>
                <w:bCs/>
                <w:sz w:val="18"/>
                <w:szCs w:val="18"/>
              </w:rPr>
              <w:t>29</w:t>
            </w:r>
            <w:r>
              <w:rPr>
                <w:rFonts w:ascii="Cambria" w:hAnsi="Cambria" w:cs="Arial"/>
                <w:b/>
                <w:bCs/>
                <w:sz w:val="18"/>
                <w:szCs w:val="18"/>
              </w:rPr>
              <w:t>8</w:t>
            </w:r>
          </w:p>
        </w:tc>
        <w:tc>
          <w:tcPr>
            <w:tcW w:w="780" w:type="dxa"/>
            <w:tcBorders>
              <w:top w:val="nil"/>
              <w:left w:val="nil"/>
              <w:bottom w:val="single" w:sz="8" w:space="0" w:color="auto"/>
              <w:right w:val="single" w:sz="8" w:space="0" w:color="auto"/>
            </w:tcBorders>
            <w:shd w:val="clear" w:color="000000" w:fill="FFFFFF"/>
            <w:vAlign w:val="center"/>
            <w:hideMark/>
          </w:tcPr>
          <w:p w14:paraId="1038719F" w14:textId="77777777" w:rsidR="00C641AC" w:rsidRPr="004A2C0D" w:rsidRDefault="00C641AC" w:rsidP="00A50FEA">
            <w:pPr>
              <w:keepLines w:val="0"/>
              <w:widowControl/>
              <w:jc w:val="right"/>
              <w:rPr>
                <w:rFonts w:ascii="Cambria" w:hAnsi="Cambria" w:cs="Arial"/>
                <w:b/>
                <w:bCs/>
                <w:sz w:val="18"/>
                <w:szCs w:val="18"/>
                <w:lang w:val="es-ES"/>
              </w:rPr>
            </w:pPr>
            <w:r w:rsidRPr="004A2C0D">
              <w:rPr>
                <w:rFonts w:ascii="Cambria" w:hAnsi="Cambria" w:cs="Arial"/>
                <w:b/>
                <w:bCs/>
                <w:sz w:val="18"/>
                <w:szCs w:val="18"/>
              </w:rPr>
              <w:t>20</w:t>
            </w:r>
            <w:r>
              <w:rPr>
                <w:rFonts w:ascii="Cambria" w:hAnsi="Cambria" w:cs="Arial"/>
                <w:b/>
                <w:bCs/>
                <w:sz w:val="18"/>
                <w:szCs w:val="18"/>
              </w:rPr>
              <w:t>3</w:t>
            </w:r>
          </w:p>
        </w:tc>
        <w:tc>
          <w:tcPr>
            <w:tcW w:w="760" w:type="dxa"/>
            <w:tcBorders>
              <w:top w:val="single" w:sz="8" w:space="0" w:color="auto"/>
              <w:left w:val="nil"/>
              <w:bottom w:val="single" w:sz="8" w:space="0" w:color="auto"/>
              <w:right w:val="single" w:sz="8" w:space="0" w:color="auto"/>
            </w:tcBorders>
            <w:shd w:val="clear" w:color="000000" w:fill="FFFFFF"/>
            <w:noWrap/>
            <w:vAlign w:val="center"/>
            <w:hideMark/>
          </w:tcPr>
          <w:p w14:paraId="606B8CE5" w14:textId="77777777" w:rsidR="00C641AC" w:rsidRPr="004A2C0D" w:rsidRDefault="00C641AC" w:rsidP="00A50FEA">
            <w:pPr>
              <w:keepLines w:val="0"/>
              <w:widowControl/>
              <w:jc w:val="right"/>
              <w:rPr>
                <w:rFonts w:ascii="Cambria" w:hAnsi="Cambria" w:cs="Arial"/>
                <w:b/>
                <w:bCs/>
                <w:sz w:val="18"/>
                <w:szCs w:val="18"/>
                <w:lang w:val="es-ES"/>
              </w:rPr>
            </w:pPr>
            <w:r>
              <w:rPr>
                <w:rFonts w:ascii="Cambria" w:hAnsi="Cambria" w:cs="Arial"/>
                <w:b/>
                <w:bCs/>
                <w:sz w:val="18"/>
                <w:szCs w:val="18"/>
              </w:rPr>
              <w:t>1.957</w:t>
            </w:r>
          </w:p>
        </w:tc>
        <w:tc>
          <w:tcPr>
            <w:tcW w:w="980" w:type="dxa"/>
            <w:tcBorders>
              <w:top w:val="nil"/>
              <w:left w:val="nil"/>
              <w:bottom w:val="single" w:sz="8" w:space="0" w:color="auto"/>
              <w:right w:val="single" w:sz="8" w:space="0" w:color="auto"/>
            </w:tcBorders>
            <w:shd w:val="clear" w:color="000000" w:fill="FFFFFF"/>
            <w:vAlign w:val="center"/>
            <w:hideMark/>
          </w:tcPr>
          <w:p w14:paraId="19090682" w14:textId="77777777" w:rsidR="00C641AC" w:rsidRPr="004A2C0D" w:rsidRDefault="00C641AC" w:rsidP="00A50FEA">
            <w:pPr>
              <w:keepLines w:val="0"/>
              <w:widowControl/>
              <w:jc w:val="right"/>
              <w:rPr>
                <w:rFonts w:ascii="Cambria" w:hAnsi="Cambria" w:cs="Arial"/>
                <w:b/>
                <w:bCs/>
                <w:sz w:val="18"/>
                <w:szCs w:val="18"/>
                <w:lang w:val="es-ES"/>
              </w:rPr>
            </w:pPr>
            <w:r>
              <w:rPr>
                <w:rFonts w:ascii="Cambria" w:hAnsi="Cambria" w:cs="Arial"/>
                <w:b/>
                <w:bCs/>
                <w:sz w:val="18"/>
                <w:szCs w:val="18"/>
              </w:rPr>
              <w:t>71</w:t>
            </w:r>
          </w:p>
        </w:tc>
        <w:tc>
          <w:tcPr>
            <w:tcW w:w="740" w:type="dxa"/>
            <w:tcBorders>
              <w:top w:val="nil"/>
              <w:left w:val="nil"/>
              <w:bottom w:val="single" w:sz="8" w:space="0" w:color="auto"/>
              <w:right w:val="single" w:sz="8" w:space="0" w:color="auto"/>
            </w:tcBorders>
            <w:shd w:val="clear" w:color="000000" w:fill="FFFFFF"/>
            <w:vAlign w:val="center"/>
            <w:hideMark/>
          </w:tcPr>
          <w:p w14:paraId="0A4B707D" w14:textId="77777777" w:rsidR="00C641AC" w:rsidRPr="004A2C0D" w:rsidRDefault="00C641AC" w:rsidP="00A50FEA">
            <w:pPr>
              <w:keepLines w:val="0"/>
              <w:widowControl/>
              <w:jc w:val="right"/>
              <w:rPr>
                <w:rFonts w:ascii="Cambria" w:hAnsi="Cambria" w:cs="Arial"/>
                <w:b/>
                <w:bCs/>
                <w:sz w:val="18"/>
                <w:szCs w:val="18"/>
                <w:lang w:val="es-ES"/>
              </w:rPr>
            </w:pPr>
            <w:r>
              <w:rPr>
                <w:rFonts w:ascii="Cambria" w:hAnsi="Cambria" w:cs="Arial"/>
                <w:b/>
                <w:bCs/>
                <w:sz w:val="18"/>
                <w:szCs w:val="18"/>
              </w:rPr>
              <w:t>377</w:t>
            </w:r>
          </w:p>
        </w:tc>
        <w:tc>
          <w:tcPr>
            <w:tcW w:w="820" w:type="dxa"/>
            <w:tcBorders>
              <w:top w:val="nil"/>
              <w:left w:val="nil"/>
              <w:bottom w:val="single" w:sz="8" w:space="0" w:color="auto"/>
              <w:right w:val="single" w:sz="8" w:space="0" w:color="auto"/>
            </w:tcBorders>
            <w:shd w:val="clear" w:color="000000" w:fill="FFFFFF"/>
            <w:vAlign w:val="center"/>
            <w:hideMark/>
          </w:tcPr>
          <w:p w14:paraId="0B2714ED" w14:textId="77777777" w:rsidR="00C641AC" w:rsidRPr="004A2C0D" w:rsidRDefault="00C641AC" w:rsidP="00A50FEA">
            <w:pPr>
              <w:keepLines w:val="0"/>
              <w:widowControl/>
              <w:jc w:val="right"/>
              <w:rPr>
                <w:rFonts w:ascii="Cambria" w:hAnsi="Cambria" w:cs="Arial"/>
                <w:b/>
                <w:bCs/>
                <w:sz w:val="18"/>
                <w:szCs w:val="18"/>
                <w:lang w:val="es-ES"/>
              </w:rPr>
            </w:pPr>
            <w:r w:rsidRPr="004A2C0D">
              <w:rPr>
                <w:rFonts w:ascii="Cambria" w:hAnsi="Cambria" w:cs="Arial"/>
                <w:b/>
                <w:bCs/>
                <w:sz w:val="18"/>
                <w:szCs w:val="18"/>
              </w:rPr>
              <w:t>1</w:t>
            </w:r>
            <w:r>
              <w:rPr>
                <w:rFonts w:ascii="Cambria" w:hAnsi="Cambria" w:cs="Arial"/>
                <w:b/>
                <w:bCs/>
                <w:sz w:val="18"/>
                <w:szCs w:val="18"/>
              </w:rPr>
              <w:t>1</w:t>
            </w:r>
          </w:p>
        </w:tc>
        <w:tc>
          <w:tcPr>
            <w:tcW w:w="740" w:type="dxa"/>
            <w:tcBorders>
              <w:top w:val="nil"/>
              <w:left w:val="nil"/>
              <w:bottom w:val="single" w:sz="8" w:space="0" w:color="auto"/>
              <w:right w:val="single" w:sz="8" w:space="0" w:color="auto"/>
            </w:tcBorders>
            <w:shd w:val="clear" w:color="000000" w:fill="FFFFFF"/>
            <w:vAlign w:val="center"/>
            <w:hideMark/>
          </w:tcPr>
          <w:p w14:paraId="755A6D56" w14:textId="77777777" w:rsidR="00C641AC" w:rsidRPr="004A2C0D" w:rsidRDefault="00C641AC" w:rsidP="00A50FEA">
            <w:pPr>
              <w:keepLines w:val="0"/>
              <w:widowControl/>
              <w:jc w:val="right"/>
              <w:rPr>
                <w:rFonts w:ascii="Cambria" w:hAnsi="Cambria" w:cs="Arial"/>
                <w:b/>
                <w:bCs/>
                <w:sz w:val="18"/>
                <w:szCs w:val="18"/>
                <w:lang w:val="es-ES"/>
              </w:rPr>
            </w:pPr>
            <w:r>
              <w:rPr>
                <w:rFonts w:ascii="Cambria" w:hAnsi="Cambria" w:cs="Arial"/>
                <w:b/>
                <w:bCs/>
                <w:sz w:val="18"/>
                <w:szCs w:val="18"/>
              </w:rPr>
              <w:t>416</w:t>
            </w:r>
          </w:p>
        </w:tc>
        <w:tc>
          <w:tcPr>
            <w:tcW w:w="760" w:type="dxa"/>
            <w:tcBorders>
              <w:top w:val="nil"/>
              <w:left w:val="nil"/>
              <w:bottom w:val="nil"/>
              <w:right w:val="single" w:sz="8" w:space="0" w:color="auto"/>
            </w:tcBorders>
            <w:shd w:val="clear" w:color="000000" w:fill="FFFFFF"/>
            <w:noWrap/>
            <w:vAlign w:val="center"/>
            <w:hideMark/>
          </w:tcPr>
          <w:p w14:paraId="292160A6" w14:textId="77777777" w:rsidR="00C641AC" w:rsidRPr="004A2C0D" w:rsidRDefault="00C641AC" w:rsidP="00A50FEA">
            <w:pPr>
              <w:keepLines w:val="0"/>
              <w:widowControl/>
              <w:jc w:val="right"/>
              <w:rPr>
                <w:rFonts w:ascii="Cambria" w:hAnsi="Cambria" w:cs="Arial"/>
                <w:b/>
                <w:bCs/>
                <w:sz w:val="18"/>
                <w:szCs w:val="18"/>
                <w:lang w:val="es-ES"/>
              </w:rPr>
            </w:pPr>
            <w:r>
              <w:rPr>
                <w:rFonts w:ascii="Cambria" w:hAnsi="Cambria" w:cs="Arial"/>
                <w:b/>
                <w:bCs/>
                <w:sz w:val="18"/>
                <w:szCs w:val="18"/>
              </w:rPr>
              <w:t>3.333</w:t>
            </w:r>
          </w:p>
        </w:tc>
      </w:tr>
      <w:tr w:rsidR="00C641AC" w:rsidRPr="004A2C0D" w14:paraId="55FB5468" w14:textId="77777777" w:rsidTr="00A50FEA">
        <w:trPr>
          <w:trHeight w:val="255"/>
        </w:trPr>
        <w:tc>
          <w:tcPr>
            <w:tcW w:w="1920" w:type="dxa"/>
            <w:tcBorders>
              <w:top w:val="nil"/>
              <w:left w:val="single" w:sz="8" w:space="0" w:color="auto"/>
              <w:bottom w:val="nil"/>
              <w:right w:val="nil"/>
            </w:tcBorders>
            <w:shd w:val="clear" w:color="000000" w:fill="FFFFFF"/>
            <w:noWrap/>
            <w:vAlign w:val="center"/>
            <w:hideMark/>
          </w:tcPr>
          <w:p w14:paraId="1D01F6F3" w14:textId="77777777" w:rsidR="00C641AC" w:rsidRPr="004A2C0D" w:rsidRDefault="00C641AC" w:rsidP="00A50FEA">
            <w:pPr>
              <w:keepLines w:val="0"/>
              <w:widowControl/>
              <w:jc w:val="left"/>
              <w:rPr>
                <w:rFonts w:ascii="Cambria" w:hAnsi="Cambria" w:cs="Arial"/>
                <w:sz w:val="18"/>
                <w:szCs w:val="18"/>
                <w:lang w:val="es-ES"/>
              </w:rPr>
            </w:pPr>
            <w:r w:rsidRPr="004A2C0D">
              <w:rPr>
                <w:rFonts w:ascii="Cambria" w:hAnsi="Cambria" w:cs="Arial"/>
                <w:sz w:val="18"/>
                <w:szCs w:val="18"/>
                <w:lang w:val="es-ES"/>
              </w:rPr>
              <w:t>Dotación</w:t>
            </w:r>
            <w:r>
              <w:rPr>
                <w:rFonts w:ascii="Cambria" w:hAnsi="Cambria" w:cs="Arial"/>
                <w:sz w:val="18"/>
                <w:szCs w:val="18"/>
                <w:lang w:val="es-ES"/>
              </w:rPr>
              <w:t xml:space="preserve"> </w:t>
            </w:r>
          </w:p>
        </w:tc>
        <w:tc>
          <w:tcPr>
            <w:tcW w:w="1060" w:type="dxa"/>
            <w:tcBorders>
              <w:top w:val="nil"/>
              <w:left w:val="single" w:sz="8" w:space="0" w:color="auto"/>
              <w:bottom w:val="nil"/>
              <w:right w:val="single" w:sz="8" w:space="0" w:color="auto"/>
            </w:tcBorders>
            <w:shd w:val="clear" w:color="000000" w:fill="FFFFFF"/>
            <w:noWrap/>
            <w:vAlign w:val="center"/>
            <w:hideMark/>
          </w:tcPr>
          <w:p w14:paraId="6F6B7E99" w14:textId="77777777" w:rsidR="00C641AC" w:rsidRPr="004A2C0D" w:rsidRDefault="00C641AC" w:rsidP="00A50FEA">
            <w:pPr>
              <w:keepLines w:val="0"/>
              <w:widowControl/>
              <w:jc w:val="right"/>
              <w:rPr>
                <w:rFonts w:ascii="Cambria" w:hAnsi="Cambria" w:cs="Arial"/>
                <w:sz w:val="18"/>
                <w:szCs w:val="18"/>
                <w:lang w:val="es-ES"/>
              </w:rPr>
            </w:pPr>
            <w:r>
              <w:rPr>
                <w:rFonts w:ascii="Cambria" w:hAnsi="Cambria" w:cs="Arial"/>
                <w:sz w:val="18"/>
                <w:szCs w:val="18"/>
                <w:lang w:val="es-ES"/>
              </w:rPr>
              <w:t>1.614</w:t>
            </w:r>
          </w:p>
        </w:tc>
        <w:tc>
          <w:tcPr>
            <w:tcW w:w="880" w:type="dxa"/>
            <w:tcBorders>
              <w:top w:val="nil"/>
              <w:left w:val="nil"/>
              <w:bottom w:val="nil"/>
              <w:right w:val="nil"/>
            </w:tcBorders>
            <w:shd w:val="clear" w:color="000000" w:fill="FFFFFF"/>
            <w:noWrap/>
            <w:vAlign w:val="center"/>
            <w:hideMark/>
          </w:tcPr>
          <w:p w14:paraId="09E4B360" w14:textId="77777777" w:rsidR="00C641AC" w:rsidRPr="004A2C0D" w:rsidRDefault="00C641AC" w:rsidP="00A50FEA">
            <w:pPr>
              <w:keepLines w:val="0"/>
              <w:widowControl/>
              <w:jc w:val="center"/>
              <w:rPr>
                <w:rFonts w:ascii="Cambria" w:hAnsi="Cambria" w:cs="Arial"/>
                <w:sz w:val="18"/>
                <w:szCs w:val="18"/>
                <w:lang w:val="es-ES"/>
              </w:rPr>
            </w:pPr>
            <w:r w:rsidRPr="004A2C0D">
              <w:rPr>
                <w:rFonts w:ascii="Cambria" w:hAnsi="Cambria" w:cs="Arial"/>
                <w:sz w:val="18"/>
                <w:szCs w:val="18"/>
              </w:rPr>
              <w:t>-</w:t>
            </w:r>
          </w:p>
        </w:tc>
        <w:tc>
          <w:tcPr>
            <w:tcW w:w="780" w:type="dxa"/>
            <w:tcBorders>
              <w:top w:val="nil"/>
              <w:left w:val="single" w:sz="8" w:space="0" w:color="auto"/>
              <w:bottom w:val="nil"/>
              <w:right w:val="single" w:sz="8" w:space="0" w:color="auto"/>
            </w:tcBorders>
            <w:shd w:val="clear" w:color="000000" w:fill="FFFFFF"/>
            <w:noWrap/>
            <w:vAlign w:val="center"/>
            <w:hideMark/>
          </w:tcPr>
          <w:p w14:paraId="25C22871" w14:textId="77777777" w:rsidR="00C641AC" w:rsidRPr="004A2C0D" w:rsidRDefault="00C641AC" w:rsidP="00A50FEA">
            <w:pPr>
              <w:keepLines w:val="0"/>
              <w:widowControl/>
              <w:jc w:val="center"/>
              <w:rPr>
                <w:rFonts w:ascii="Cambria" w:hAnsi="Cambria" w:cs="Arial"/>
                <w:sz w:val="18"/>
                <w:szCs w:val="18"/>
                <w:lang w:val="es-ES"/>
              </w:rPr>
            </w:pPr>
            <w:r w:rsidRPr="004A2C0D">
              <w:rPr>
                <w:rFonts w:ascii="Cambria" w:hAnsi="Cambria" w:cs="Arial"/>
                <w:sz w:val="18"/>
                <w:szCs w:val="18"/>
              </w:rPr>
              <w:t>-</w:t>
            </w:r>
          </w:p>
        </w:tc>
        <w:tc>
          <w:tcPr>
            <w:tcW w:w="760" w:type="dxa"/>
            <w:tcBorders>
              <w:top w:val="nil"/>
              <w:left w:val="nil"/>
              <w:bottom w:val="nil"/>
              <w:right w:val="nil"/>
            </w:tcBorders>
            <w:shd w:val="clear" w:color="000000" w:fill="FFFFFF"/>
            <w:noWrap/>
            <w:vAlign w:val="center"/>
            <w:hideMark/>
          </w:tcPr>
          <w:p w14:paraId="2496443B" w14:textId="77777777" w:rsidR="00C641AC" w:rsidRPr="004A2C0D" w:rsidRDefault="00C641AC" w:rsidP="00A50FEA">
            <w:pPr>
              <w:keepLines w:val="0"/>
              <w:widowControl/>
              <w:jc w:val="right"/>
              <w:rPr>
                <w:rFonts w:ascii="Cambria" w:hAnsi="Cambria" w:cs="Arial"/>
                <w:sz w:val="18"/>
                <w:szCs w:val="18"/>
                <w:lang w:val="es-ES"/>
              </w:rPr>
            </w:pPr>
            <w:r>
              <w:rPr>
                <w:rFonts w:ascii="Cambria" w:hAnsi="Cambria" w:cs="Arial"/>
                <w:sz w:val="18"/>
                <w:szCs w:val="18"/>
              </w:rPr>
              <w:t>5</w:t>
            </w:r>
          </w:p>
        </w:tc>
        <w:tc>
          <w:tcPr>
            <w:tcW w:w="980" w:type="dxa"/>
            <w:tcBorders>
              <w:top w:val="nil"/>
              <w:left w:val="single" w:sz="8" w:space="0" w:color="auto"/>
              <w:bottom w:val="nil"/>
              <w:right w:val="single" w:sz="8" w:space="0" w:color="auto"/>
            </w:tcBorders>
            <w:shd w:val="clear" w:color="000000" w:fill="FFFFFF"/>
            <w:noWrap/>
            <w:vAlign w:val="center"/>
            <w:hideMark/>
          </w:tcPr>
          <w:p w14:paraId="33C4425B" w14:textId="77777777" w:rsidR="00C641AC" w:rsidRPr="004A2C0D" w:rsidRDefault="00C641AC" w:rsidP="00A50FEA">
            <w:pPr>
              <w:keepLines w:val="0"/>
              <w:widowControl/>
              <w:jc w:val="center"/>
              <w:rPr>
                <w:rFonts w:ascii="Cambria" w:hAnsi="Cambria" w:cs="Arial"/>
                <w:sz w:val="18"/>
                <w:szCs w:val="18"/>
                <w:lang w:val="es-ES"/>
              </w:rPr>
            </w:pPr>
            <w:r w:rsidRPr="004A2C0D">
              <w:rPr>
                <w:rFonts w:ascii="Cambria" w:hAnsi="Cambria" w:cs="Arial"/>
                <w:sz w:val="18"/>
                <w:szCs w:val="18"/>
              </w:rPr>
              <w:t>-</w:t>
            </w:r>
          </w:p>
        </w:tc>
        <w:tc>
          <w:tcPr>
            <w:tcW w:w="740" w:type="dxa"/>
            <w:tcBorders>
              <w:top w:val="nil"/>
              <w:left w:val="nil"/>
              <w:bottom w:val="nil"/>
              <w:right w:val="nil"/>
            </w:tcBorders>
            <w:shd w:val="clear" w:color="000000" w:fill="FFFFFF"/>
            <w:noWrap/>
            <w:vAlign w:val="center"/>
            <w:hideMark/>
          </w:tcPr>
          <w:p w14:paraId="0B327C5F" w14:textId="77777777" w:rsidR="00C641AC" w:rsidRPr="004A2C0D" w:rsidRDefault="00C641AC" w:rsidP="00A50FEA">
            <w:pPr>
              <w:keepLines w:val="0"/>
              <w:widowControl/>
              <w:jc w:val="right"/>
              <w:rPr>
                <w:rFonts w:ascii="Cambria" w:hAnsi="Cambria" w:cs="Arial"/>
                <w:sz w:val="18"/>
                <w:szCs w:val="18"/>
                <w:lang w:val="es-ES"/>
              </w:rPr>
            </w:pPr>
            <w:r>
              <w:rPr>
                <w:rFonts w:ascii="Cambria" w:hAnsi="Cambria" w:cs="Arial"/>
                <w:sz w:val="18"/>
                <w:szCs w:val="18"/>
              </w:rPr>
              <w:t>5</w:t>
            </w:r>
          </w:p>
        </w:tc>
        <w:tc>
          <w:tcPr>
            <w:tcW w:w="820" w:type="dxa"/>
            <w:tcBorders>
              <w:top w:val="nil"/>
              <w:left w:val="single" w:sz="8" w:space="0" w:color="auto"/>
              <w:bottom w:val="nil"/>
              <w:right w:val="single" w:sz="8" w:space="0" w:color="auto"/>
            </w:tcBorders>
            <w:shd w:val="clear" w:color="000000" w:fill="FFFFFF"/>
            <w:noWrap/>
            <w:vAlign w:val="center"/>
            <w:hideMark/>
          </w:tcPr>
          <w:p w14:paraId="2AD9FDCA" w14:textId="77777777" w:rsidR="00C641AC" w:rsidRPr="004A2C0D" w:rsidRDefault="00C641AC" w:rsidP="00A50FEA">
            <w:pPr>
              <w:keepLines w:val="0"/>
              <w:widowControl/>
              <w:jc w:val="center"/>
              <w:rPr>
                <w:rFonts w:ascii="Cambria" w:hAnsi="Cambria" w:cs="Arial"/>
                <w:sz w:val="18"/>
                <w:szCs w:val="18"/>
                <w:lang w:val="es-ES"/>
              </w:rPr>
            </w:pPr>
            <w:r w:rsidRPr="004A2C0D">
              <w:rPr>
                <w:rFonts w:ascii="Cambria" w:hAnsi="Cambria" w:cs="Arial"/>
                <w:sz w:val="18"/>
                <w:szCs w:val="18"/>
              </w:rPr>
              <w:t>-</w:t>
            </w:r>
          </w:p>
        </w:tc>
        <w:tc>
          <w:tcPr>
            <w:tcW w:w="740" w:type="dxa"/>
            <w:tcBorders>
              <w:top w:val="nil"/>
              <w:left w:val="nil"/>
              <w:bottom w:val="nil"/>
              <w:right w:val="nil"/>
            </w:tcBorders>
            <w:shd w:val="clear" w:color="000000" w:fill="FFFFFF"/>
            <w:noWrap/>
            <w:vAlign w:val="center"/>
            <w:hideMark/>
          </w:tcPr>
          <w:p w14:paraId="07E9E77B" w14:textId="77777777" w:rsidR="00C641AC" w:rsidRPr="004A2C0D" w:rsidRDefault="00C641AC" w:rsidP="00A50FEA">
            <w:pPr>
              <w:keepLines w:val="0"/>
              <w:widowControl/>
              <w:jc w:val="center"/>
              <w:rPr>
                <w:rFonts w:ascii="Cambria" w:hAnsi="Cambria" w:cs="Arial"/>
                <w:sz w:val="18"/>
                <w:szCs w:val="18"/>
                <w:lang w:val="es-ES"/>
              </w:rPr>
            </w:pPr>
            <w:r>
              <w:rPr>
                <w:rFonts w:ascii="Cambria" w:hAnsi="Cambria" w:cs="Arial"/>
                <w:sz w:val="18"/>
                <w:szCs w:val="18"/>
              </w:rPr>
              <w:t>-</w:t>
            </w:r>
          </w:p>
        </w:tc>
        <w:tc>
          <w:tcPr>
            <w:tcW w:w="760" w:type="dxa"/>
            <w:tcBorders>
              <w:top w:val="single" w:sz="8" w:space="0" w:color="auto"/>
              <w:left w:val="single" w:sz="8" w:space="0" w:color="auto"/>
              <w:bottom w:val="nil"/>
              <w:right w:val="single" w:sz="8" w:space="0" w:color="auto"/>
            </w:tcBorders>
            <w:shd w:val="clear" w:color="000000" w:fill="FFFFFF"/>
            <w:noWrap/>
            <w:vAlign w:val="center"/>
            <w:hideMark/>
          </w:tcPr>
          <w:p w14:paraId="33621CE5" w14:textId="77777777" w:rsidR="00C641AC" w:rsidRPr="004A2C0D" w:rsidRDefault="00C641AC" w:rsidP="00A50FEA">
            <w:pPr>
              <w:keepLines w:val="0"/>
              <w:widowControl/>
              <w:jc w:val="right"/>
              <w:rPr>
                <w:rFonts w:ascii="Cambria" w:hAnsi="Cambria" w:cs="Arial"/>
                <w:sz w:val="18"/>
                <w:szCs w:val="18"/>
                <w:lang w:val="es-ES"/>
              </w:rPr>
            </w:pPr>
            <w:r>
              <w:rPr>
                <w:rFonts w:ascii="Cambria" w:hAnsi="Cambria" w:cs="Arial"/>
                <w:sz w:val="18"/>
                <w:szCs w:val="18"/>
              </w:rPr>
              <w:t>1.624</w:t>
            </w:r>
          </w:p>
        </w:tc>
      </w:tr>
      <w:tr w:rsidR="00C641AC" w:rsidRPr="004A2C0D" w14:paraId="31C6AE79" w14:textId="77777777" w:rsidTr="00A50FEA">
        <w:trPr>
          <w:trHeight w:val="255"/>
        </w:trPr>
        <w:tc>
          <w:tcPr>
            <w:tcW w:w="1920" w:type="dxa"/>
            <w:tcBorders>
              <w:top w:val="nil"/>
              <w:left w:val="single" w:sz="8" w:space="0" w:color="auto"/>
              <w:bottom w:val="nil"/>
              <w:right w:val="nil"/>
            </w:tcBorders>
            <w:shd w:val="clear" w:color="000000" w:fill="FFFFFF"/>
            <w:noWrap/>
            <w:vAlign w:val="center"/>
            <w:hideMark/>
          </w:tcPr>
          <w:p w14:paraId="25E2041B" w14:textId="77777777" w:rsidR="00C641AC" w:rsidRPr="004A2C0D" w:rsidRDefault="00C641AC" w:rsidP="00A50FEA">
            <w:pPr>
              <w:keepLines w:val="0"/>
              <w:widowControl/>
              <w:jc w:val="left"/>
              <w:rPr>
                <w:rFonts w:ascii="Cambria" w:hAnsi="Cambria" w:cs="Arial"/>
                <w:sz w:val="18"/>
                <w:szCs w:val="18"/>
                <w:lang w:val="es-ES"/>
              </w:rPr>
            </w:pPr>
            <w:r w:rsidRPr="004A2C0D">
              <w:rPr>
                <w:rFonts w:ascii="Cambria" w:hAnsi="Cambria" w:cs="Arial"/>
                <w:sz w:val="18"/>
                <w:szCs w:val="18"/>
                <w:lang w:val="es-ES"/>
              </w:rPr>
              <w:t>Aplicaciones</w:t>
            </w:r>
          </w:p>
        </w:tc>
        <w:tc>
          <w:tcPr>
            <w:tcW w:w="1060" w:type="dxa"/>
            <w:tcBorders>
              <w:top w:val="nil"/>
              <w:left w:val="single" w:sz="8" w:space="0" w:color="auto"/>
              <w:bottom w:val="nil"/>
              <w:right w:val="single" w:sz="8" w:space="0" w:color="auto"/>
            </w:tcBorders>
            <w:shd w:val="clear" w:color="000000" w:fill="FFFFFF"/>
            <w:noWrap/>
            <w:vAlign w:val="bottom"/>
            <w:hideMark/>
          </w:tcPr>
          <w:p w14:paraId="6AC44FFB" w14:textId="77777777" w:rsidR="00C641AC" w:rsidRPr="004A2C0D" w:rsidRDefault="00C641AC" w:rsidP="00A50FEA">
            <w:pPr>
              <w:keepLines w:val="0"/>
              <w:widowControl/>
              <w:jc w:val="center"/>
              <w:rPr>
                <w:rFonts w:ascii="Cambria" w:hAnsi="Cambria" w:cs="Arial"/>
                <w:sz w:val="18"/>
                <w:szCs w:val="18"/>
                <w:lang w:val="es-ES"/>
              </w:rPr>
            </w:pPr>
            <w:r>
              <w:rPr>
                <w:rFonts w:ascii="Cambria" w:hAnsi="Cambria" w:cs="Arial"/>
                <w:sz w:val="18"/>
                <w:szCs w:val="18"/>
              </w:rPr>
              <w:t>-</w:t>
            </w:r>
          </w:p>
        </w:tc>
        <w:tc>
          <w:tcPr>
            <w:tcW w:w="880" w:type="dxa"/>
            <w:tcBorders>
              <w:top w:val="nil"/>
              <w:left w:val="nil"/>
              <w:bottom w:val="nil"/>
              <w:right w:val="nil"/>
            </w:tcBorders>
            <w:shd w:val="clear" w:color="000000" w:fill="FFFFFF"/>
            <w:noWrap/>
            <w:vAlign w:val="center"/>
            <w:hideMark/>
          </w:tcPr>
          <w:p w14:paraId="083D37AA" w14:textId="77777777" w:rsidR="00C641AC" w:rsidRPr="004A2C0D" w:rsidRDefault="00C641AC" w:rsidP="00A50FEA">
            <w:pPr>
              <w:keepLines w:val="0"/>
              <w:widowControl/>
              <w:jc w:val="center"/>
              <w:rPr>
                <w:rFonts w:ascii="Cambria" w:hAnsi="Cambria" w:cs="Arial"/>
                <w:sz w:val="18"/>
                <w:szCs w:val="18"/>
                <w:lang w:val="es-ES"/>
              </w:rPr>
            </w:pPr>
            <w:r w:rsidRPr="004A2C0D">
              <w:rPr>
                <w:rFonts w:ascii="Cambria" w:hAnsi="Cambria" w:cs="Arial"/>
                <w:sz w:val="18"/>
                <w:szCs w:val="18"/>
              </w:rPr>
              <w:t>-</w:t>
            </w:r>
          </w:p>
        </w:tc>
        <w:tc>
          <w:tcPr>
            <w:tcW w:w="780" w:type="dxa"/>
            <w:tcBorders>
              <w:top w:val="nil"/>
              <w:left w:val="single" w:sz="8" w:space="0" w:color="auto"/>
              <w:bottom w:val="nil"/>
              <w:right w:val="single" w:sz="8" w:space="0" w:color="auto"/>
            </w:tcBorders>
            <w:shd w:val="clear" w:color="000000" w:fill="FFFFFF"/>
            <w:noWrap/>
            <w:vAlign w:val="bottom"/>
            <w:hideMark/>
          </w:tcPr>
          <w:p w14:paraId="2F8D2264" w14:textId="77777777" w:rsidR="00C641AC" w:rsidRPr="004A2C0D" w:rsidRDefault="00C641AC" w:rsidP="00A50FEA">
            <w:pPr>
              <w:keepLines w:val="0"/>
              <w:widowControl/>
              <w:jc w:val="center"/>
              <w:rPr>
                <w:rFonts w:ascii="Cambria" w:hAnsi="Cambria" w:cs="Arial"/>
                <w:sz w:val="18"/>
                <w:szCs w:val="18"/>
                <w:lang w:val="es-ES"/>
              </w:rPr>
            </w:pPr>
            <w:r>
              <w:rPr>
                <w:rFonts w:ascii="Cambria" w:hAnsi="Cambria" w:cs="Arial"/>
                <w:sz w:val="18"/>
                <w:szCs w:val="18"/>
              </w:rPr>
              <w:t>-</w:t>
            </w:r>
          </w:p>
        </w:tc>
        <w:tc>
          <w:tcPr>
            <w:tcW w:w="760" w:type="dxa"/>
            <w:tcBorders>
              <w:top w:val="nil"/>
              <w:left w:val="nil"/>
              <w:bottom w:val="nil"/>
              <w:right w:val="nil"/>
            </w:tcBorders>
            <w:shd w:val="clear" w:color="000000" w:fill="FFFFFF"/>
            <w:noWrap/>
            <w:vAlign w:val="bottom"/>
            <w:hideMark/>
          </w:tcPr>
          <w:p w14:paraId="546D218E" w14:textId="77777777" w:rsidR="00C641AC" w:rsidRPr="004A2C0D" w:rsidRDefault="00C641AC" w:rsidP="00A50FEA">
            <w:pPr>
              <w:keepLines w:val="0"/>
              <w:widowControl/>
              <w:jc w:val="right"/>
              <w:rPr>
                <w:rFonts w:ascii="Cambria" w:hAnsi="Cambria" w:cs="Arial"/>
                <w:sz w:val="18"/>
                <w:szCs w:val="18"/>
                <w:lang w:val="es-ES"/>
              </w:rPr>
            </w:pPr>
            <w:r w:rsidRPr="004A2C0D">
              <w:rPr>
                <w:rFonts w:ascii="Cambria" w:hAnsi="Cambria" w:cs="Arial"/>
                <w:sz w:val="18"/>
                <w:szCs w:val="18"/>
              </w:rPr>
              <w:t>(1.</w:t>
            </w:r>
            <w:r>
              <w:rPr>
                <w:rFonts w:ascii="Cambria" w:hAnsi="Cambria" w:cs="Arial"/>
                <w:sz w:val="18"/>
                <w:szCs w:val="18"/>
              </w:rPr>
              <w:t>956</w:t>
            </w:r>
            <w:r w:rsidRPr="004A2C0D">
              <w:rPr>
                <w:rFonts w:ascii="Cambria" w:hAnsi="Cambria" w:cs="Arial"/>
                <w:sz w:val="18"/>
                <w:szCs w:val="18"/>
              </w:rPr>
              <w:t>)</w:t>
            </w:r>
          </w:p>
        </w:tc>
        <w:tc>
          <w:tcPr>
            <w:tcW w:w="980" w:type="dxa"/>
            <w:tcBorders>
              <w:top w:val="nil"/>
              <w:left w:val="single" w:sz="8" w:space="0" w:color="auto"/>
              <w:bottom w:val="nil"/>
              <w:right w:val="single" w:sz="8" w:space="0" w:color="auto"/>
            </w:tcBorders>
            <w:shd w:val="clear" w:color="000000" w:fill="FFFFFF"/>
            <w:noWrap/>
            <w:vAlign w:val="bottom"/>
            <w:hideMark/>
          </w:tcPr>
          <w:p w14:paraId="79AD2C82" w14:textId="77777777" w:rsidR="00C641AC" w:rsidRPr="004A2C0D" w:rsidRDefault="00C641AC" w:rsidP="00A50FEA">
            <w:pPr>
              <w:keepLines w:val="0"/>
              <w:widowControl/>
              <w:jc w:val="right"/>
              <w:rPr>
                <w:rFonts w:ascii="Cambria" w:hAnsi="Cambria" w:cs="Arial"/>
                <w:sz w:val="18"/>
                <w:szCs w:val="18"/>
                <w:lang w:val="es-ES"/>
              </w:rPr>
            </w:pPr>
            <w:r w:rsidRPr="004A2C0D">
              <w:rPr>
                <w:rFonts w:ascii="Cambria" w:hAnsi="Cambria" w:cs="Arial"/>
                <w:sz w:val="18"/>
                <w:szCs w:val="18"/>
              </w:rPr>
              <w:t>(</w:t>
            </w:r>
            <w:r>
              <w:rPr>
                <w:rFonts w:ascii="Cambria" w:hAnsi="Cambria" w:cs="Arial"/>
                <w:sz w:val="18"/>
                <w:szCs w:val="18"/>
              </w:rPr>
              <w:t>73</w:t>
            </w:r>
            <w:r w:rsidRPr="004A2C0D">
              <w:rPr>
                <w:rFonts w:ascii="Cambria" w:hAnsi="Cambria" w:cs="Arial"/>
                <w:sz w:val="18"/>
                <w:szCs w:val="18"/>
              </w:rPr>
              <w:t>)</w:t>
            </w:r>
          </w:p>
        </w:tc>
        <w:tc>
          <w:tcPr>
            <w:tcW w:w="740" w:type="dxa"/>
            <w:tcBorders>
              <w:top w:val="nil"/>
              <w:left w:val="nil"/>
              <w:bottom w:val="nil"/>
              <w:right w:val="nil"/>
            </w:tcBorders>
            <w:shd w:val="clear" w:color="000000" w:fill="FFFFFF"/>
            <w:noWrap/>
            <w:vAlign w:val="bottom"/>
            <w:hideMark/>
          </w:tcPr>
          <w:p w14:paraId="039174F6" w14:textId="77777777" w:rsidR="00C641AC" w:rsidRPr="004A2C0D" w:rsidRDefault="00C641AC" w:rsidP="00A50FEA">
            <w:pPr>
              <w:keepLines w:val="0"/>
              <w:widowControl/>
              <w:jc w:val="right"/>
              <w:rPr>
                <w:rFonts w:ascii="Cambria" w:hAnsi="Cambria" w:cs="Arial"/>
                <w:sz w:val="18"/>
                <w:szCs w:val="18"/>
                <w:lang w:val="es-ES"/>
              </w:rPr>
            </w:pPr>
            <w:r w:rsidRPr="004A2C0D">
              <w:rPr>
                <w:rFonts w:ascii="Cambria" w:hAnsi="Cambria" w:cs="Arial"/>
                <w:sz w:val="18"/>
                <w:szCs w:val="18"/>
              </w:rPr>
              <w:t>(</w:t>
            </w:r>
            <w:r>
              <w:rPr>
                <w:rFonts w:ascii="Cambria" w:hAnsi="Cambria" w:cs="Arial"/>
                <w:sz w:val="18"/>
                <w:szCs w:val="18"/>
              </w:rPr>
              <w:t>390</w:t>
            </w:r>
            <w:r w:rsidRPr="004A2C0D">
              <w:rPr>
                <w:rFonts w:ascii="Cambria" w:hAnsi="Cambria" w:cs="Arial"/>
                <w:sz w:val="18"/>
                <w:szCs w:val="18"/>
              </w:rPr>
              <w:t>)</w:t>
            </w:r>
          </w:p>
        </w:tc>
        <w:tc>
          <w:tcPr>
            <w:tcW w:w="820" w:type="dxa"/>
            <w:tcBorders>
              <w:top w:val="nil"/>
              <w:left w:val="single" w:sz="8" w:space="0" w:color="auto"/>
              <w:bottom w:val="nil"/>
              <w:right w:val="single" w:sz="8" w:space="0" w:color="auto"/>
            </w:tcBorders>
            <w:shd w:val="clear" w:color="000000" w:fill="FFFFFF"/>
            <w:noWrap/>
            <w:vAlign w:val="bottom"/>
            <w:hideMark/>
          </w:tcPr>
          <w:p w14:paraId="7E40AD0C" w14:textId="77777777" w:rsidR="00C641AC" w:rsidRPr="004A2C0D" w:rsidRDefault="00C641AC" w:rsidP="00A50FEA">
            <w:pPr>
              <w:keepLines w:val="0"/>
              <w:widowControl/>
              <w:jc w:val="right"/>
              <w:rPr>
                <w:rFonts w:ascii="Cambria" w:hAnsi="Cambria" w:cs="Arial"/>
                <w:sz w:val="18"/>
                <w:szCs w:val="18"/>
                <w:lang w:val="es-ES"/>
              </w:rPr>
            </w:pPr>
            <w:r w:rsidRPr="004A2C0D">
              <w:rPr>
                <w:rFonts w:ascii="Cambria" w:hAnsi="Cambria" w:cs="Arial"/>
                <w:sz w:val="18"/>
                <w:szCs w:val="18"/>
              </w:rPr>
              <w:t>(8)</w:t>
            </w:r>
          </w:p>
        </w:tc>
        <w:tc>
          <w:tcPr>
            <w:tcW w:w="740" w:type="dxa"/>
            <w:tcBorders>
              <w:top w:val="nil"/>
              <w:left w:val="nil"/>
              <w:bottom w:val="nil"/>
              <w:right w:val="nil"/>
            </w:tcBorders>
            <w:shd w:val="clear" w:color="000000" w:fill="FFFFFF"/>
            <w:vAlign w:val="center"/>
            <w:hideMark/>
          </w:tcPr>
          <w:p w14:paraId="123BA198" w14:textId="77777777" w:rsidR="00C641AC" w:rsidRPr="004A2C0D" w:rsidRDefault="00C641AC" w:rsidP="00A50FEA">
            <w:pPr>
              <w:keepLines w:val="0"/>
              <w:widowControl/>
              <w:jc w:val="center"/>
              <w:rPr>
                <w:rFonts w:ascii="Cambria" w:hAnsi="Cambria" w:cs="Arial"/>
                <w:sz w:val="18"/>
                <w:szCs w:val="18"/>
                <w:lang w:val="es-ES"/>
              </w:rPr>
            </w:pPr>
            <w:r w:rsidRPr="004A2C0D">
              <w:rPr>
                <w:rFonts w:ascii="Cambria" w:hAnsi="Cambria" w:cs="Arial"/>
                <w:sz w:val="18"/>
                <w:szCs w:val="18"/>
              </w:rPr>
              <w:t>-</w:t>
            </w:r>
          </w:p>
        </w:tc>
        <w:tc>
          <w:tcPr>
            <w:tcW w:w="760" w:type="dxa"/>
            <w:tcBorders>
              <w:top w:val="nil"/>
              <w:left w:val="single" w:sz="8" w:space="0" w:color="auto"/>
              <w:bottom w:val="nil"/>
              <w:right w:val="single" w:sz="8" w:space="0" w:color="auto"/>
            </w:tcBorders>
            <w:shd w:val="clear" w:color="000000" w:fill="FFFFFF"/>
            <w:noWrap/>
            <w:vAlign w:val="bottom"/>
            <w:hideMark/>
          </w:tcPr>
          <w:p w14:paraId="14B2FDFE" w14:textId="77777777" w:rsidR="00C641AC" w:rsidRPr="004A2C0D" w:rsidRDefault="00C641AC" w:rsidP="00A50FEA">
            <w:pPr>
              <w:keepLines w:val="0"/>
              <w:widowControl/>
              <w:jc w:val="right"/>
              <w:rPr>
                <w:rFonts w:ascii="Cambria" w:hAnsi="Cambria" w:cs="Arial"/>
                <w:sz w:val="18"/>
                <w:szCs w:val="18"/>
                <w:lang w:val="es-ES"/>
              </w:rPr>
            </w:pPr>
            <w:r>
              <w:rPr>
                <w:rFonts w:ascii="Cambria" w:hAnsi="Cambria" w:cs="Arial"/>
                <w:sz w:val="18"/>
                <w:szCs w:val="18"/>
              </w:rPr>
              <w:t>(2.427</w:t>
            </w:r>
            <w:r w:rsidRPr="004A2C0D">
              <w:rPr>
                <w:rFonts w:ascii="Cambria" w:hAnsi="Cambria" w:cs="Arial"/>
                <w:sz w:val="18"/>
                <w:szCs w:val="18"/>
              </w:rPr>
              <w:t>)</w:t>
            </w:r>
          </w:p>
        </w:tc>
      </w:tr>
      <w:tr w:rsidR="00C641AC" w:rsidRPr="004A2C0D" w14:paraId="7AA01965" w14:textId="77777777" w:rsidTr="00A50FEA">
        <w:trPr>
          <w:trHeight w:val="270"/>
        </w:trPr>
        <w:tc>
          <w:tcPr>
            <w:tcW w:w="1920" w:type="dxa"/>
            <w:tcBorders>
              <w:top w:val="nil"/>
              <w:left w:val="single" w:sz="8" w:space="0" w:color="auto"/>
              <w:bottom w:val="single" w:sz="8" w:space="0" w:color="auto"/>
              <w:right w:val="nil"/>
            </w:tcBorders>
            <w:shd w:val="clear" w:color="000000" w:fill="FFFFFF"/>
            <w:noWrap/>
            <w:vAlign w:val="center"/>
            <w:hideMark/>
          </w:tcPr>
          <w:p w14:paraId="2E203073" w14:textId="77777777" w:rsidR="00C641AC" w:rsidRPr="004A2C0D" w:rsidRDefault="00C641AC" w:rsidP="00A50FEA">
            <w:pPr>
              <w:keepLines w:val="0"/>
              <w:widowControl/>
              <w:jc w:val="left"/>
              <w:rPr>
                <w:rFonts w:ascii="Cambria" w:hAnsi="Cambria" w:cs="Arial"/>
                <w:sz w:val="18"/>
                <w:szCs w:val="18"/>
                <w:lang w:val="es-ES"/>
              </w:rPr>
            </w:pPr>
            <w:r w:rsidRPr="004A2C0D">
              <w:rPr>
                <w:rFonts w:ascii="Cambria" w:hAnsi="Cambria" w:cs="Arial"/>
                <w:sz w:val="18"/>
                <w:szCs w:val="18"/>
                <w:lang w:val="es-ES"/>
              </w:rPr>
              <w:t>Traspasos</w:t>
            </w: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23EF731C" w14:textId="77777777" w:rsidR="00C641AC" w:rsidRPr="004A2C0D" w:rsidRDefault="00C641AC" w:rsidP="00A50FEA">
            <w:pPr>
              <w:keepLines w:val="0"/>
              <w:widowControl/>
              <w:jc w:val="center"/>
              <w:rPr>
                <w:rFonts w:ascii="Cambria" w:hAnsi="Cambria" w:cs="Arial"/>
                <w:sz w:val="18"/>
                <w:szCs w:val="18"/>
                <w:lang w:val="es-ES"/>
              </w:rPr>
            </w:pPr>
            <w:r w:rsidRPr="004A2C0D">
              <w:rPr>
                <w:rFonts w:ascii="Cambria" w:hAnsi="Cambria" w:cs="Arial"/>
                <w:sz w:val="18"/>
                <w:szCs w:val="18"/>
              </w:rPr>
              <w:t>-</w:t>
            </w:r>
          </w:p>
        </w:tc>
        <w:tc>
          <w:tcPr>
            <w:tcW w:w="880" w:type="dxa"/>
            <w:tcBorders>
              <w:top w:val="nil"/>
              <w:left w:val="nil"/>
              <w:bottom w:val="single" w:sz="8" w:space="0" w:color="auto"/>
              <w:right w:val="nil"/>
            </w:tcBorders>
            <w:shd w:val="clear" w:color="000000" w:fill="FFFFFF"/>
            <w:noWrap/>
            <w:vAlign w:val="center"/>
            <w:hideMark/>
          </w:tcPr>
          <w:p w14:paraId="341FD004" w14:textId="77777777" w:rsidR="00C641AC" w:rsidRPr="004A2C0D" w:rsidRDefault="00C641AC" w:rsidP="00A50FEA">
            <w:pPr>
              <w:keepLines w:val="0"/>
              <w:widowControl/>
              <w:jc w:val="right"/>
              <w:rPr>
                <w:rFonts w:ascii="Cambria" w:hAnsi="Cambria" w:cs="Arial"/>
                <w:sz w:val="18"/>
                <w:szCs w:val="18"/>
                <w:lang w:val="es-ES"/>
              </w:rPr>
            </w:pPr>
            <w:r>
              <w:rPr>
                <w:rFonts w:ascii="Cambria" w:hAnsi="Cambria" w:cs="Arial"/>
                <w:sz w:val="18"/>
                <w:szCs w:val="18"/>
                <w:lang w:val="es-ES"/>
              </w:rPr>
              <w:t>3</w:t>
            </w:r>
          </w:p>
        </w:tc>
        <w:tc>
          <w:tcPr>
            <w:tcW w:w="780" w:type="dxa"/>
            <w:tcBorders>
              <w:top w:val="nil"/>
              <w:left w:val="single" w:sz="8" w:space="0" w:color="auto"/>
              <w:bottom w:val="single" w:sz="8" w:space="0" w:color="auto"/>
              <w:right w:val="single" w:sz="8" w:space="0" w:color="auto"/>
            </w:tcBorders>
            <w:shd w:val="clear" w:color="000000" w:fill="FFFFFF"/>
            <w:vAlign w:val="center"/>
            <w:hideMark/>
          </w:tcPr>
          <w:p w14:paraId="437BF0EF" w14:textId="77777777" w:rsidR="00C641AC" w:rsidRPr="004A2C0D" w:rsidRDefault="00C641AC" w:rsidP="00A50FEA">
            <w:pPr>
              <w:keepLines w:val="0"/>
              <w:widowControl/>
              <w:jc w:val="center"/>
              <w:rPr>
                <w:rFonts w:ascii="Cambria" w:hAnsi="Cambria" w:cs="Arial"/>
                <w:sz w:val="18"/>
                <w:szCs w:val="18"/>
                <w:lang w:val="es-ES"/>
              </w:rPr>
            </w:pPr>
            <w:r w:rsidRPr="004A2C0D">
              <w:rPr>
                <w:rFonts w:ascii="Cambria" w:hAnsi="Cambria" w:cs="Arial"/>
                <w:sz w:val="18"/>
                <w:szCs w:val="18"/>
              </w:rPr>
              <w:t>-</w:t>
            </w:r>
          </w:p>
        </w:tc>
        <w:tc>
          <w:tcPr>
            <w:tcW w:w="760" w:type="dxa"/>
            <w:tcBorders>
              <w:top w:val="nil"/>
              <w:left w:val="nil"/>
              <w:bottom w:val="nil"/>
              <w:right w:val="nil"/>
            </w:tcBorders>
            <w:shd w:val="clear" w:color="000000" w:fill="FFFFFF"/>
            <w:noWrap/>
            <w:vAlign w:val="center"/>
            <w:hideMark/>
          </w:tcPr>
          <w:p w14:paraId="04D6E59B" w14:textId="77777777" w:rsidR="00C641AC" w:rsidRPr="004A2C0D" w:rsidRDefault="00C641AC" w:rsidP="00A50FEA">
            <w:pPr>
              <w:keepLines w:val="0"/>
              <w:widowControl/>
              <w:jc w:val="right"/>
              <w:rPr>
                <w:rFonts w:ascii="Cambria" w:hAnsi="Cambria" w:cs="Arial"/>
                <w:sz w:val="18"/>
                <w:szCs w:val="18"/>
                <w:lang w:val="es-ES"/>
              </w:rPr>
            </w:pPr>
            <w:r>
              <w:rPr>
                <w:rFonts w:ascii="Cambria" w:hAnsi="Cambria" w:cs="Arial"/>
                <w:sz w:val="18"/>
                <w:szCs w:val="18"/>
              </w:rPr>
              <w:t>1.866</w:t>
            </w:r>
          </w:p>
        </w:tc>
        <w:tc>
          <w:tcPr>
            <w:tcW w:w="980" w:type="dxa"/>
            <w:tcBorders>
              <w:top w:val="nil"/>
              <w:left w:val="single" w:sz="8" w:space="0" w:color="auto"/>
              <w:bottom w:val="single" w:sz="8" w:space="0" w:color="auto"/>
              <w:right w:val="single" w:sz="8" w:space="0" w:color="auto"/>
            </w:tcBorders>
            <w:shd w:val="clear" w:color="000000" w:fill="FFFFFF"/>
            <w:vAlign w:val="center"/>
            <w:hideMark/>
          </w:tcPr>
          <w:p w14:paraId="43332A8C" w14:textId="77777777" w:rsidR="00C641AC" w:rsidRPr="004A2C0D" w:rsidRDefault="00C641AC" w:rsidP="00A50FEA">
            <w:pPr>
              <w:keepLines w:val="0"/>
              <w:widowControl/>
              <w:jc w:val="right"/>
              <w:rPr>
                <w:rFonts w:ascii="Cambria" w:hAnsi="Cambria" w:cs="Arial"/>
                <w:sz w:val="18"/>
                <w:szCs w:val="18"/>
                <w:lang w:val="es-ES"/>
              </w:rPr>
            </w:pPr>
            <w:r w:rsidRPr="004A2C0D">
              <w:rPr>
                <w:rFonts w:ascii="Cambria" w:hAnsi="Cambria" w:cs="Arial"/>
                <w:sz w:val="18"/>
                <w:szCs w:val="18"/>
              </w:rPr>
              <w:t>72</w:t>
            </w:r>
          </w:p>
        </w:tc>
        <w:tc>
          <w:tcPr>
            <w:tcW w:w="740" w:type="dxa"/>
            <w:tcBorders>
              <w:top w:val="nil"/>
              <w:left w:val="nil"/>
              <w:bottom w:val="single" w:sz="8" w:space="0" w:color="auto"/>
              <w:right w:val="nil"/>
            </w:tcBorders>
            <w:shd w:val="clear" w:color="000000" w:fill="FFFFFF"/>
            <w:vAlign w:val="center"/>
            <w:hideMark/>
          </w:tcPr>
          <w:p w14:paraId="1CF42264" w14:textId="77777777" w:rsidR="00C641AC" w:rsidRPr="004A2C0D" w:rsidRDefault="00C641AC" w:rsidP="00A50FEA">
            <w:pPr>
              <w:keepLines w:val="0"/>
              <w:widowControl/>
              <w:jc w:val="right"/>
              <w:rPr>
                <w:rFonts w:ascii="Cambria" w:hAnsi="Cambria" w:cs="Arial"/>
                <w:sz w:val="18"/>
                <w:szCs w:val="18"/>
                <w:lang w:val="es-ES"/>
              </w:rPr>
            </w:pPr>
            <w:r>
              <w:rPr>
                <w:rFonts w:ascii="Cambria" w:hAnsi="Cambria" w:cs="Arial"/>
                <w:sz w:val="18"/>
                <w:szCs w:val="18"/>
              </w:rPr>
              <w:t>242</w:t>
            </w:r>
          </w:p>
        </w:tc>
        <w:tc>
          <w:tcPr>
            <w:tcW w:w="820" w:type="dxa"/>
            <w:tcBorders>
              <w:top w:val="nil"/>
              <w:left w:val="single" w:sz="8" w:space="0" w:color="auto"/>
              <w:bottom w:val="single" w:sz="8" w:space="0" w:color="auto"/>
              <w:right w:val="single" w:sz="8" w:space="0" w:color="auto"/>
            </w:tcBorders>
            <w:shd w:val="clear" w:color="000000" w:fill="FFFFFF"/>
            <w:vAlign w:val="center"/>
            <w:hideMark/>
          </w:tcPr>
          <w:p w14:paraId="5CD80E86" w14:textId="77777777" w:rsidR="00C641AC" w:rsidRPr="004A2C0D" w:rsidRDefault="00C641AC" w:rsidP="00A50FEA">
            <w:pPr>
              <w:keepLines w:val="0"/>
              <w:widowControl/>
              <w:jc w:val="right"/>
              <w:rPr>
                <w:rFonts w:ascii="Cambria" w:hAnsi="Cambria" w:cs="Arial"/>
                <w:sz w:val="18"/>
                <w:szCs w:val="18"/>
                <w:lang w:val="es-ES"/>
              </w:rPr>
            </w:pPr>
            <w:r>
              <w:rPr>
                <w:rFonts w:ascii="Cambria" w:hAnsi="Cambria" w:cs="Arial"/>
                <w:sz w:val="18"/>
                <w:szCs w:val="18"/>
              </w:rPr>
              <w:t>7</w:t>
            </w:r>
          </w:p>
        </w:tc>
        <w:tc>
          <w:tcPr>
            <w:tcW w:w="740" w:type="dxa"/>
            <w:tcBorders>
              <w:top w:val="nil"/>
              <w:left w:val="nil"/>
              <w:bottom w:val="single" w:sz="8" w:space="0" w:color="auto"/>
              <w:right w:val="nil"/>
            </w:tcBorders>
            <w:shd w:val="clear" w:color="000000" w:fill="FFFFFF"/>
            <w:vAlign w:val="center"/>
            <w:hideMark/>
          </w:tcPr>
          <w:p w14:paraId="67B20D5C" w14:textId="77777777" w:rsidR="00C641AC" w:rsidRPr="004A2C0D" w:rsidRDefault="00C641AC" w:rsidP="00A50FEA">
            <w:pPr>
              <w:keepLines w:val="0"/>
              <w:widowControl/>
              <w:jc w:val="right"/>
              <w:rPr>
                <w:rFonts w:ascii="Cambria" w:hAnsi="Cambria" w:cs="Arial"/>
                <w:sz w:val="18"/>
                <w:szCs w:val="18"/>
                <w:lang w:val="es-ES"/>
              </w:rPr>
            </w:pPr>
            <w:r>
              <w:rPr>
                <w:rFonts w:ascii="Cambria" w:hAnsi="Cambria" w:cs="Arial"/>
                <w:sz w:val="18"/>
                <w:szCs w:val="18"/>
              </w:rPr>
              <w:t>111</w:t>
            </w:r>
          </w:p>
        </w:tc>
        <w:tc>
          <w:tcPr>
            <w:tcW w:w="760" w:type="dxa"/>
            <w:tcBorders>
              <w:top w:val="nil"/>
              <w:left w:val="single" w:sz="8" w:space="0" w:color="auto"/>
              <w:bottom w:val="single" w:sz="8" w:space="0" w:color="auto"/>
              <w:right w:val="single" w:sz="8" w:space="0" w:color="auto"/>
            </w:tcBorders>
            <w:shd w:val="clear" w:color="000000" w:fill="FFFFFF"/>
            <w:noWrap/>
            <w:vAlign w:val="center"/>
            <w:hideMark/>
          </w:tcPr>
          <w:p w14:paraId="34B764BB" w14:textId="77777777" w:rsidR="00C641AC" w:rsidRPr="004A2C0D" w:rsidRDefault="00C641AC" w:rsidP="00A50FEA">
            <w:pPr>
              <w:keepLines w:val="0"/>
              <w:widowControl/>
              <w:jc w:val="right"/>
              <w:rPr>
                <w:rFonts w:ascii="Cambria" w:hAnsi="Cambria" w:cs="Arial"/>
                <w:sz w:val="18"/>
                <w:szCs w:val="18"/>
                <w:lang w:val="es-ES"/>
              </w:rPr>
            </w:pPr>
            <w:r>
              <w:rPr>
                <w:rFonts w:ascii="Cambria" w:hAnsi="Cambria" w:cs="Arial"/>
                <w:sz w:val="18"/>
                <w:szCs w:val="18"/>
              </w:rPr>
              <w:t>2.301</w:t>
            </w:r>
          </w:p>
        </w:tc>
      </w:tr>
      <w:tr w:rsidR="00C641AC" w:rsidRPr="004A2C0D" w14:paraId="2C592FE9" w14:textId="77777777" w:rsidTr="00A50FEA">
        <w:trPr>
          <w:trHeight w:val="270"/>
        </w:trPr>
        <w:tc>
          <w:tcPr>
            <w:tcW w:w="1920" w:type="dxa"/>
            <w:tcBorders>
              <w:top w:val="nil"/>
              <w:left w:val="single" w:sz="8" w:space="0" w:color="auto"/>
              <w:bottom w:val="single" w:sz="8" w:space="0" w:color="auto"/>
              <w:right w:val="single" w:sz="8" w:space="0" w:color="auto"/>
            </w:tcBorders>
            <w:shd w:val="clear" w:color="000000" w:fill="FFFFFF"/>
            <w:noWrap/>
            <w:vAlign w:val="center"/>
            <w:hideMark/>
          </w:tcPr>
          <w:p w14:paraId="6AFB321F" w14:textId="77777777" w:rsidR="00C641AC" w:rsidRPr="004A2C0D" w:rsidRDefault="00C641AC" w:rsidP="00A50FEA">
            <w:pPr>
              <w:keepLines w:val="0"/>
              <w:widowControl/>
              <w:jc w:val="left"/>
              <w:rPr>
                <w:rFonts w:ascii="Cambria" w:hAnsi="Cambria" w:cs="Arial"/>
                <w:b/>
                <w:bCs/>
                <w:sz w:val="18"/>
                <w:szCs w:val="18"/>
                <w:lang w:val="es-ES"/>
              </w:rPr>
            </w:pPr>
            <w:r>
              <w:rPr>
                <w:rFonts w:ascii="Cambria" w:hAnsi="Cambria" w:cs="Arial"/>
                <w:b/>
                <w:bCs/>
                <w:sz w:val="18"/>
                <w:szCs w:val="18"/>
                <w:lang w:val="es-ES"/>
              </w:rPr>
              <w:t>Saldo al 31.12.19</w:t>
            </w:r>
          </w:p>
        </w:tc>
        <w:tc>
          <w:tcPr>
            <w:tcW w:w="1060" w:type="dxa"/>
            <w:tcBorders>
              <w:top w:val="nil"/>
              <w:left w:val="nil"/>
              <w:bottom w:val="single" w:sz="8" w:space="0" w:color="auto"/>
              <w:right w:val="single" w:sz="8" w:space="0" w:color="auto"/>
            </w:tcBorders>
            <w:shd w:val="clear" w:color="000000" w:fill="FFFFFF"/>
            <w:noWrap/>
            <w:vAlign w:val="center"/>
            <w:hideMark/>
          </w:tcPr>
          <w:p w14:paraId="41BEC7F9" w14:textId="77777777" w:rsidR="00C641AC" w:rsidRPr="004A2C0D" w:rsidRDefault="00C641AC" w:rsidP="00A50FEA">
            <w:pPr>
              <w:keepLines w:val="0"/>
              <w:widowControl/>
              <w:jc w:val="right"/>
              <w:rPr>
                <w:rFonts w:ascii="Cambria" w:hAnsi="Cambria" w:cs="Arial"/>
                <w:b/>
                <w:bCs/>
                <w:sz w:val="18"/>
                <w:szCs w:val="18"/>
                <w:lang w:val="es-ES"/>
              </w:rPr>
            </w:pPr>
            <w:r>
              <w:rPr>
                <w:rFonts w:ascii="Cambria" w:hAnsi="Cambria" w:cs="Arial"/>
                <w:b/>
                <w:bCs/>
                <w:sz w:val="18"/>
                <w:szCs w:val="18"/>
              </w:rPr>
              <w:t>1.614</w:t>
            </w:r>
          </w:p>
        </w:tc>
        <w:tc>
          <w:tcPr>
            <w:tcW w:w="880" w:type="dxa"/>
            <w:tcBorders>
              <w:top w:val="nil"/>
              <w:left w:val="nil"/>
              <w:bottom w:val="single" w:sz="8" w:space="0" w:color="auto"/>
              <w:right w:val="single" w:sz="8" w:space="0" w:color="auto"/>
            </w:tcBorders>
            <w:shd w:val="clear" w:color="000000" w:fill="FFFFFF"/>
            <w:noWrap/>
            <w:vAlign w:val="center"/>
            <w:hideMark/>
          </w:tcPr>
          <w:p w14:paraId="4F0A66E9" w14:textId="77777777" w:rsidR="00C641AC" w:rsidRPr="004A2C0D" w:rsidRDefault="00C641AC" w:rsidP="00A50FEA">
            <w:pPr>
              <w:keepLines w:val="0"/>
              <w:widowControl/>
              <w:jc w:val="right"/>
              <w:rPr>
                <w:rFonts w:ascii="Cambria" w:hAnsi="Cambria" w:cs="Arial"/>
                <w:b/>
                <w:bCs/>
                <w:sz w:val="18"/>
                <w:szCs w:val="18"/>
                <w:lang w:val="es-ES"/>
              </w:rPr>
            </w:pPr>
            <w:r>
              <w:rPr>
                <w:rFonts w:ascii="Cambria" w:hAnsi="Cambria" w:cs="Arial"/>
                <w:b/>
                <w:bCs/>
                <w:sz w:val="18"/>
                <w:szCs w:val="18"/>
              </w:rPr>
              <w:t>301</w:t>
            </w:r>
          </w:p>
        </w:tc>
        <w:tc>
          <w:tcPr>
            <w:tcW w:w="780" w:type="dxa"/>
            <w:tcBorders>
              <w:top w:val="nil"/>
              <w:left w:val="nil"/>
              <w:bottom w:val="single" w:sz="8" w:space="0" w:color="auto"/>
              <w:right w:val="single" w:sz="8" w:space="0" w:color="auto"/>
            </w:tcBorders>
            <w:shd w:val="clear" w:color="000000" w:fill="FFFFFF"/>
            <w:noWrap/>
            <w:vAlign w:val="center"/>
            <w:hideMark/>
          </w:tcPr>
          <w:p w14:paraId="5D1ACF1C" w14:textId="77777777" w:rsidR="00C641AC" w:rsidRPr="004A2C0D" w:rsidRDefault="00C641AC" w:rsidP="00A50FEA">
            <w:pPr>
              <w:keepLines w:val="0"/>
              <w:widowControl/>
              <w:jc w:val="right"/>
              <w:rPr>
                <w:rFonts w:ascii="Cambria" w:hAnsi="Cambria" w:cs="Arial"/>
                <w:b/>
                <w:bCs/>
                <w:sz w:val="18"/>
                <w:szCs w:val="18"/>
                <w:lang w:val="es-ES"/>
              </w:rPr>
            </w:pPr>
            <w:r w:rsidRPr="004A2C0D">
              <w:rPr>
                <w:rFonts w:ascii="Cambria" w:hAnsi="Cambria" w:cs="Arial"/>
                <w:b/>
                <w:bCs/>
                <w:sz w:val="18"/>
                <w:szCs w:val="18"/>
              </w:rPr>
              <w:t>203</w:t>
            </w:r>
          </w:p>
        </w:tc>
        <w:tc>
          <w:tcPr>
            <w:tcW w:w="760" w:type="dxa"/>
            <w:tcBorders>
              <w:top w:val="single" w:sz="8" w:space="0" w:color="auto"/>
              <w:left w:val="nil"/>
              <w:bottom w:val="single" w:sz="8" w:space="0" w:color="auto"/>
              <w:right w:val="single" w:sz="8" w:space="0" w:color="auto"/>
            </w:tcBorders>
            <w:shd w:val="clear" w:color="000000" w:fill="FFFFFF"/>
            <w:noWrap/>
            <w:vAlign w:val="center"/>
            <w:hideMark/>
          </w:tcPr>
          <w:p w14:paraId="68885689" w14:textId="77777777" w:rsidR="00C641AC" w:rsidRPr="004A2C0D" w:rsidRDefault="00C641AC" w:rsidP="00A50FEA">
            <w:pPr>
              <w:keepLines w:val="0"/>
              <w:widowControl/>
              <w:jc w:val="right"/>
              <w:rPr>
                <w:rFonts w:ascii="Cambria" w:hAnsi="Cambria" w:cs="Arial"/>
                <w:b/>
                <w:bCs/>
                <w:sz w:val="18"/>
                <w:szCs w:val="18"/>
                <w:lang w:val="es-ES"/>
              </w:rPr>
            </w:pPr>
            <w:r w:rsidRPr="004A2C0D">
              <w:rPr>
                <w:rFonts w:ascii="Cambria" w:hAnsi="Cambria" w:cs="Arial"/>
                <w:b/>
                <w:bCs/>
                <w:sz w:val="18"/>
                <w:szCs w:val="18"/>
              </w:rPr>
              <w:t>1.</w:t>
            </w:r>
            <w:r>
              <w:rPr>
                <w:rFonts w:ascii="Cambria" w:hAnsi="Cambria" w:cs="Arial"/>
                <w:b/>
                <w:bCs/>
                <w:sz w:val="18"/>
                <w:szCs w:val="18"/>
              </w:rPr>
              <w:t>872</w:t>
            </w:r>
          </w:p>
        </w:tc>
        <w:tc>
          <w:tcPr>
            <w:tcW w:w="980" w:type="dxa"/>
            <w:tcBorders>
              <w:top w:val="nil"/>
              <w:left w:val="nil"/>
              <w:bottom w:val="single" w:sz="8" w:space="0" w:color="auto"/>
              <w:right w:val="single" w:sz="8" w:space="0" w:color="auto"/>
            </w:tcBorders>
            <w:shd w:val="clear" w:color="000000" w:fill="FFFFFF"/>
            <w:noWrap/>
            <w:vAlign w:val="center"/>
            <w:hideMark/>
          </w:tcPr>
          <w:p w14:paraId="516CBF27" w14:textId="77777777" w:rsidR="00C641AC" w:rsidRPr="004A2C0D" w:rsidRDefault="00C641AC" w:rsidP="00A50FEA">
            <w:pPr>
              <w:keepLines w:val="0"/>
              <w:widowControl/>
              <w:jc w:val="right"/>
              <w:rPr>
                <w:rFonts w:ascii="Cambria" w:hAnsi="Cambria" w:cs="Arial"/>
                <w:b/>
                <w:bCs/>
                <w:sz w:val="18"/>
                <w:szCs w:val="18"/>
                <w:lang w:val="es-ES"/>
              </w:rPr>
            </w:pPr>
            <w:r w:rsidRPr="004A2C0D">
              <w:rPr>
                <w:rFonts w:ascii="Cambria" w:hAnsi="Cambria" w:cs="Arial"/>
                <w:b/>
                <w:bCs/>
                <w:sz w:val="18"/>
                <w:szCs w:val="18"/>
              </w:rPr>
              <w:t>7</w:t>
            </w:r>
            <w:r>
              <w:rPr>
                <w:rFonts w:ascii="Cambria" w:hAnsi="Cambria" w:cs="Arial"/>
                <w:b/>
                <w:bCs/>
                <w:sz w:val="18"/>
                <w:szCs w:val="18"/>
              </w:rPr>
              <w:t>0</w:t>
            </w:r>
          </w:p>
        </w:tc>
        <w:tc>
          <w:tcPr>
            <w:tcW w:w="740" w:type="dxa"/>
            <w:tcBorders>
              <w:top w:val="nil"/>
              <w:left w:val="nil"/>
              <w:bottom w:val="single" w:sz="8" w:space="0" w:color="auto"/>
              <w:right w:val="single" w:sz="8" w:space="0" w:color="auto"/>
            </w:tcBorders>
            <w:shd w:val="clear" w:color="000000" w:fill="FFFFFF"/>
            <w:noWrap/>
            <w:vAlign w:val="center"/>
            <w:hideMark/>
          </w:tcPr>
          <w:p w14:paraId="53EE1EE6" w14:textId="77777777" w:rsidR="00C641AC" w:rsidRPr="004A2C0D" w:rsidRDefault="00C641AC" w:rsidP="00A50FEA">
            <w:pPr>
              <w:keepLines w:val="0"/>
              <w:widowControl/>
              <w:jc w:val="right"/>
              <w:rPr>
                <w:rFonts w:ascii="Cambria" w:hAnsi="Cambria" w:cs="Arial"/>
                <w:b/>
                <w:bCs/>
                <w:sz w:val="18"/>
                <w:szCs w:val="18"/>
                <w:lang w:val="es-ES"/>
              </w:rPr>
            </w:pPr>
            <w:r>
              <w:rPr>
                <w:rFonts w:ascii="Cambria" w:hAnsi="Cambria" w:cs="Arial"/>
                <w:b/>
                <w:bCs/>
                <w:sz w:val="18"/>
                <w:szCs w:val="18"/>
              </w:rPr>
              <w:t>234</w:t>
            </w:r>
          </w:p>
        </w:tc>
        <w:tc>
          <w:tcPr>
            <w:tcW w:w="820" w:type="dxa"/>
            <w:tcBorders>
              <w:top w:val="nil"/>
              <w:left w:val="nil"/>
              <w:bottom w:val="single" w:sz="8" w:space="0" w:color="auto"/>
              <w:right w:val="single" w:sz="8" w:space="0" w:color="auto"/>
            </w:tcBorders>
            <w:shd w:val="clear" w:color="000000" w:fill="FFFFFF"/>
            <w:noWrap/>
            <w:vAlign w:val="center"/>
            <w:hideMark/>
          </w:tcPr>
          <w:p w14:paraId="71242E53" w14:textId="77777777" w:rsidR="00C641AC" w:rsidRPr="004A2C0D" w:rsidRDefault="00C641AC" w:rsidP="00A50FEA">
            <w:pPr>
              <w:keepLines w:val="0"/>
              <w:widowControl/>
              <w:jc w:val="right"/>
              <w:rPr>
                <w:rFonts w:ascii="Cambria" w:hAnsi="Cambria" w:cs="Arial"/>
                <w:b/>
                <w:bCs/>
                <w:sz w:val="18"/>
                <w:szCs w:val="18"/>
                <w:lang w:val="es-ES"/>
              </w:rPr>
            </w:pPr>
            <w:r w:rsidRPr="004A2C0D">
              <w:rPr>
                <w:rFonts w:ascii="Cambria" w:hAnsi="Cambria" w:cs="Arial"/>
                <w:b/>
                <w:bCs/>
                <w:sz w:val="18"/>
                <w:szCs w:val="18"/>
              </w:rPr>
              <w:t>1</w:t>
            </w:r>
            <w:r>
              <w:rPr>
                <w:rFonts w:ascii="Cambria" w:hAnsi="Cambria" w:cs="Arial"/>
                <w:b/>
                <w:bCs/>
                <w:sz w:val="18"/>
                <w:szCs w:val="18"/>
              </w:rPr>
              <w:t>0</w:t>
            </w:r>
          </w:p>
        </w:tc>
        <w:tc>
          <w:tcPr>
            <w:tcW w:w="740" w:type="dxa"/>
            <w:tcBorders>
              <w:top w:val="nil"/>
              <w:left w:val="nil"/>
              <w:bottom w:val="single" w:sz="8" w:space="0" w:color="auto"/>
              <w:right w:val="single" w:sz="8" w:space="0" w:color="auto"/>
            </w:tcBorders>
            <w:shd w:val="clear" w:color="000000" w:fill="FFFFFF"/>
            <w:noWrap/>
            <w:vAlign w:val="center"/>
            <w:hideMark/>
          </w:tcPr>
          <w:p w14:paraId="14121F04" w14:textId="77777777" w:rsidR="00C641AC" w:rsidRPr="004A2C0D" w:rsidRDefault="00C641AC" w:rsidP="00A50FEA">
            <w:pPr>
              <w:keepLines w:val="0"/>
              <w:widowControl/>
              <w:jc w:val="right"/>
              <w:rPr>
                <w:rFonts w:ascii="Cambria" w:hAnsi="Cambria" w:cs="Arial"/>
                <w:b/>
                <w:bCs/>
                <w:sz w:val="18"/>
                <w:szCs w:val="18"/>
                <w:lang w:val="es-ES"/>
              </w:rPr>
            </w:pPr>
            <w:r>
              <w:rPr>
                <w:rFonts w:ascii="Cambria" w:hAnsi="Cambria" w:cs="Arial"/>
                <w:b/>
                <w:bCs/>
                <w:sz w:val="18"/>
                <w:szCs w:val="18"/>
              </w:rPr>
              <w:t>527</w:t>
            </w:r>
          </w:p>
        </w:tc>
        <w:tc>
          <w:tcPr>
            <w:tcW w:w="760" w:type="dxa"/>
            <w:tcBorders>
              <w:top w:val="nil"/>
              <w:left w:val="nil"/>
              <w:bottom w:val="single" w:sz="8" w:space="0" w:color="auto"/>
              <w:right w:val="single" w:sz="8" w:space="0" w:color="auto"/>
            </w:tcBorders>
            <w:shd w:val="clear" w:color="000000" w:fill="FFFFFF"/>
            <w:noWrap/>
            <w:vAlign w:val="center"/>
            <w:hideMark/>
          </w:tcPr>
          <w:p w14:paraId="163C8F7B" w14:textId="77777777" w:rsidR="00C641AC" w:rsidRPr="004A2C0D" w:rsidRDefault="00C641AC" w:rsidP="00A50FEA">
            <w:pPr>
              <w:keepLines w:val="0"/>
              <w:widowControl/>
              <w:jc w:val="right"/>
              <w:rPr>
                <w:rFonts w:ascii="Cambria" w:hAnsi="Cambria" w:cs="Arial"/>
                <w:b/>
                <w:bCs/>
                <w:sz w:val="18"/>
                <w:szCs w:val="18"/>
                <w:lang w:val="es-ES"/>
              </w:rPr>
            </w:pPr>
            <w:r>
              <w:rPr>
                <w:rFonts w:ascii="Cambria" w:hAnsi="Cambria" w:cs="Arial"/>
                <w:b/>
                <w:bCs/>
                <w:sz w:val="18"/>
                <w:szCs w:val="18"/>
              </w:rPr>
              <w:t>4.831</w:t>
            </w:r>
          </w:p>
        </w:tc>
      </w:tr>
    </w:tbl>
    <w:p w14:paraId="6D4E4A1D" w14:textId="748FC965" w:rsidR="00E25A8A" w:rsidRPr="00F8465B" w:rsidRDefault="00C641AC" w:rsidP="00E25A8A">
      <w:pPr>
        <w:ind w:left="567"/>
        <w:rPr>
          <w:rFonts w:ascii="Cambria" w:hAnsi="Cambria"/>
          <w:b/>
          <w:sz w:val="24"/>
          <w:szCs w:val="24"/>
          <w:u w:val="single"/>
        </w:rPr>
      </w:pPr>
      <w:r>
        <w:rPr>
          <w:rFonts w:ascii="Cambria" w:hAnsi="Cambria"/>
          <w:b/>
          <w:sz w:val="24"/>
          <w:szCs w:val="24"/>
          <w:u w:val="single"/>
        </w:rPr>
        <w:fldChar w:fldCharType="end"/>
      </w:r>
    </w:p>
    <w:p w14:paraId="6F7E29F3" w14:textId="77777777" w:rsidR="008C2A1B" w:rsidRPr="00F8465B" w:rsidRDefault="008C2A1B" w:rsidP="0060571A">
      <w:pPr>
        <w:pStyle w:val="Ttulo2"/>
        <w:keepNext/>
        <w:numPr>
          <w:ilvl w:val="0"/>
          <w:numId w:val="16"/>
        </w:numPr>
        <w:ind w:left="993" w:hanging="426"/>
        <w:rPr>
          <w:rFonts w:ascii="Cambria" w:hAnsi="Cambria"/>
          <w:b w:val="0"/>
          <w:sz w:val="24"/>
          <w:szCs w:val="24"/>
        </w:rPr>
      </w:pPr>
      <w:bookmarkStart w:id="11" w:name="_Ref256423191"/>
      <w:r w:rsidRPr="00F8465B">
        <w:rPr>
          <w:rFonts w:ascii="Cambria" w:hAnsi="Cambria"/>
          <w:b w:val="0"/>
          <w:i/>
          <w:sz w:val="24"/>
          <w:szCs w:val="24"/>
          <w:lang w:val="es-ES"/>
        </w:rPr>
        <w:t>Complemento de Pensiones Acenor</w:t>
      </w:r>
    </w:p>
    <w:bookmarkEnd w:id="11"/>
    <w:p w14:paraId="561C5360" w14:textId="77777777" w:rsidR="006E3D71" w:rsidRPr="00F8465B" w:rsidRDefault="006E3D71" w:rsidP="0004143A">
      <w:pPr>
        <w:pStyle w:val="Ttulo1a"/>
        <w:ind w:left="567"/>
        <w:rPr>
          <w:rFonts w:ascii="Cambria" w:hAnsi="Cambria"/>
          <w:sz w:val="24"/>
          <w:szCs w:val="24"/>
          <w:u w:val="single"/>
        </w:rPr>
      </w:pPr>
    </w:p>
    <w:p w14:paraId="17B76CB5" w14:textId="4BAA0047" w:rsidR="004F4E79" w:rsidRPr="00F8465B" w:rsidRDefault="00A86619" w:rsidP="0004143A">
      <w:pPr>
        <w:pStyle w:val="Ttulo1a"/>
        <w:ind w:left="567"/>
        <w:rPr>
          <w:rFonts w:ascii="Cambria" w:hAnsi="Cambria"/>
          <w:sz w:val="24"/>
          <w:szCs w:val="24"/>
        </w:rPr>
      </w:pPr>
      <w:r w:rsidRPr="00F8465B">
        <w:rPr>
          <w:rFonts w:ascii="Cambria" w:hAnsi="Cambria"/>
          <w:sz w:val="24"/>
          <w:szCs w:val="24"/>
          <w:u w:val="single"/>
        </w:rPr>
        <w:t xml:space="preserve">Provisión </w:t>
      </w:r>
      <w:r w:rsidR="005F3ADF" w:rsidRPr="00F8465B">
        <w:rPr>
          <w:rFonts w:ascii="Cambria" w:hAnsi="Cambria"/>
          <w:sz w:val="24"/>
          <w:szCs w:val="24"/>
          <w:u w:val="single"/>
        </w:rPr>
        <w:t>S</w:t>
      </w:r>
      <w:r w:rsidR="00F07F62" w:rsidRPr="00F8465B">
        <w:rPr>
          <w:rFonts w:ascii="Cambria" w:hAnsi="Cambria"/>
          <w:sz w:val="24"/>
          <w:szCs w:val="24"/>
          <w:u w:val="single"/>
        </w:rPr>
        <w:t>alto a los 60</w:t>
      </w:r>
      <w:r w:rsidRPr="00F8465B">
        <w:rPr>
          <w:rFonts w:ascii="Cambria" w:hAnsi="Cambria"/>
          <w:sz w:val="24"/>
          <w:szCs w:val="24"/>
        </w:rPr>
        <w:t>: E</w:t>
      </w:r>
      <w:r w:rsidR="00954BDB" w:rsidRPr="00F8465B">
        <w:rPr>
          <w:rFonts w:ascii="Cambria" w:hAnsi="Cambria"/>
          <w:sz w:val="24"/>
          <w:szCs w:val="24"/>
        </w:rPr>
        <w:t>n el ejercicio 2001, ACENOR estableció una provisión para cubrir el riesgo de resoluciones judiciales desfavorables que pudieran derivarse de las reclamaciones efectuadas contra la Sociedad, por las que trabajadores prejubilados solicitaban un alza del 3% en el complemento de empresa que les fue asignado de manera definitiva cuando accedieron a la jubilación (es el denominado “salto a los 60 años”).</w:t>
      </w:r>
      <w:r w:rsidR="00BC2041" w:rsidRPr="00F8465B">
        <w:rPr>
          <w:rFonts w:ascii="Cambria" w:hAnsi="Cambria"/>
          <w:sz w:val="24"/>
          <w:szCs w:val="24"/>
        </w:rPr>
        <w:t xml:space="preserve"> </w:t>
      </w:r>
      <w:r w:rsidR="00BC2041" w:rsidRPr="00D0361F">
        <w:rPr>
          <w:rFonts w:ascii="Cambria" w:hAnsi="Cambria"/>
          <w:sz w:val="24"/>
          <w:szCs w:val="24"/>
        </w:rPr>
        <w:t>En 20</w:t>
      </w:r>
      <w:r w:rsidR="00FF2850" w:rsidRPr="00D0361F">
        <w:rPr>
          <w:rFonts w:ascii="Cambria" w:hAnsi="Cambria"/>
          <w:sz w:val="24"/>
          <w:szCs w:val="24"/>
        </w:rPr>
        <w:t>20</w:t>
      </w:r>
      <w:r w:rsidR="00BC2041" w:rsidRPr="00D0361F">
        <w:rPr>
          <w:rFonts w:ascii="Cambria" w:hAnsi="Cambria"/>
          <w:sz w:val="24"/>
          <w:szCs w:val="24"/>
        </w:rPr>
        <w:t xml:space="preserve"> se han </w:t>
      </w:r>
      <w:r w:rsidR="00D0361F" w:rsidRPr="00D0361F">
        <w:rPr>
          <w:rFonts w:ascii="Cambria" w:hAnsi="Cambria"/>
          <w:sz w:val="24"/>
          <w:szCs w:val="24"/>
        </w:rPr>
        <w:t>des</w:t>
      </w:r>
      <w:r w:rsidR="000B4321" w:rsidRPr="00D0361F">
        <w:rPr>
          <w:rFonts w:ascii="Cambria" w:hAnsi="Cambria"/>
          <w:sz w:val="24"/>
          <w:szCs w:val="24"/>
        </w:rPr>
        <w:t>dotado</w:t>
      </w:r>
      <w:r w:rsidR="00F0551B" w:rsidRPr="00D0361F">
        <w:rPr>
          <w:rFonts w:ascii="Cambria" w:hAnsi="Cambria"/>
          <w:sz w:val="24"/>
          <w:szCs w:val="24"/>
        </w:rPr>
        <w:t xml:space="preserve"> </w:t>
      </w:r>
      <w:r w:rsidR="00D0361F" w:rsidRPr="00D0361F">
        <w:rPr>
          <w:rFonts w:ascii="Cambria" w:hAnsi="Cambria"/>
          <w:sz w:val="24"/>
          <w:szCs w:val="24"/>
        </w:rPr>
        <w:t>62</w:t>
      </w:r>
      <w:r w:rsidR="000B4321" w:rsidRPr="00D0361F">
        <w:rPr>
          <w:rFonts w:ascii="Cambria" w:hAnsi="Cambria"/>
          <w:sz w:val="24"/>
          <w:szCs w:val="24"/>
        </w:rPr>
        <w:t xml:space="preserve"> miles de euros</w:t>
      </w:r>
      <w:r w:rsidR="00FF2850" w:rsidRPr="00D0361F">
        <w:rPr>
          <w:rFonts w:ascii="Cambria" w:hAnsi="Cambria"/>
          <w:sz w:val="24"/>
          <w:szCs w:val="24"/>
        </w:rPr>
        <w:t xml:space="preserve"> correspondientes a las obligaciones prescritas</w:t>
      </w:r>
      <w:r w:rsidR="00D0361F">
        <w:rPr>
          <w:rFonts w:ascii="Cambria" w:hAnsi="Cambria"/>
          <w:sz w:val="24"/>
          <w:szCs w:val="24"/>
        </w:rPr>
        <w:t>.</w:t>
      </w:r>
      <w:r w:rsidR="000B4321" w:rsidRPr="00D0361F">
        <w:rPr>
          <w:rFonts w:ascii="Cambria" w:hAnsi="Cambria"/>
          <w:sz w:val="24"/>
          <w:szCs w:val="24"/>
        </w:rPr>
        <w:t xml:space="preserve"> </w:t>
      </w:r>
      <w:r w:rsidR="00D0361F">
        <w:rPr>
          <w:rFonts w:ascii="Cambria" w:hAnsi="Cambria"/>
          <w:sz w:val="24"/>
          <w:szCs w:val="24"/>
        </w:rPr>
        <w:t>E</w:t>
      </w:r>
      <w:r w:rsidR="000B4321" w:rsidRPr="00D0361F">
        <w:rPr>
          <w:rFonts w:ascii="Cambria" w:hAnsi="Cambria"/>
          <w:sz w:val="24"/>
          <w:szCs w:val="24"/>
        </w:rPr>
        <w:t>n</w:t>
      </w:r>
      <w:r w:rsidR="000B4321" w:rsidRPr="00FF2850">
        <w:rPr>
          <w:rFonts w:ascii="Cambria" w:hAnsi="Cambria"/>
          <w:sz w:val="24"/>
          <w:szCs w:val="24"/>
        </w:rPr>
        <w:t xml:space="preserve"> el ejercicio 201</w:t>
      </w:r>
      <w:r w:rsidR="00FF2850" w:rsidRPr="00FF2850">
        <w:rPr>
          <w:rFonts w:ascii="Cambria" w:hAnsi="Cambria"/>
          <w:sz w:val="24"/>
          <w:szCs w:val="24"/>
        </w:rPr>
        <w:t xml:space="preserve">9 </w:t>
      </w:r>
      <w:r w:rsidR="000B4321" w:rsidRPr="00FF2850">
        <w:rPr>
          <w:rFonts w:ascii="Cambria" w:hAnsi="Cambria"/>
          <w:sz w:val="24"/>
          <w:szCs w:val="24"/>
        </w:rPr>
        <w:t xml:space="preserve">se </w:t>
      </w:r>
      <w:r w:rsidR="00FF2850" w:rsidRPr="00FF2850">
        <w:rPr>
          <w:rFonts w:ascii="Cambria" w:hAnsi="Cambria"/>
          <w:sz w:val="24"/>
          <w:szCs w:val="24"/>
        </w:rPr>
        <w:t>dotaron 211</w:t>
      </w:r>
      <w:r w:rsidR="0027020F" w:rsidRPr="00FF2850">
        <w:rPr>
          <w:rFonts w:ascii="Cambria" w:hAnsi="Cambria"/>
          <w:sz w:val="24"/>
          <w:szCs w:val="24"/>
        </w:rPr>
        <w:t xml:space="preserve"> </w:t>
      </w:r>
      <w:r w:rsidR="00DD099D" w:rsidRPr="00FF2850">
        <w:rPr>
          <w:rFonts w:ascii="Cambria" w:hAnsi="Cambria"/>
          <w:sz w:val="24"/>
          <w:szCs w:val="24"/>
        </w:rPr>
        <w:t>mil</w:t>
      </w:r>
      <w:r w:rsidR="001F3EF9" w:rsidRPr="00FF2850">
        <w:rPr>
          <w:rFonts w:ascii="Cambria" w:hAnsi="Cambria"/>
          <w:sz w:val="24"/>
          <w:szCs w:val="24"/>
        </w:rPr>
        <w:t>es de</w:t>
      </w:r>
      <w:r w:rsidR="00BC2041" w:rsidRPr="00FF2850">
        <w:rPr>
          <w:rFonts w:ascii="Cambria" w:hAnsi="Cambria"/>
          <w:sz w:val="24"/>
          <w:szCs w:val="24"/>
        </w:rPr>
        <w:t xml:space="preserve"> euros </w:t>
      </w:r>
      <w:r w:rsidR="00FF2850" w:rsidRPr="00FF2850">
        <w:rPr>
          <w:rFonts w:ascii="Cambria" w:hAnsi="Cambria"/>
          <w:sz w:val="24"/>
          <w:szCs w:val="24"/>
        </w:rPr>
        <w:t>al haberse adaptado la provisión a la nueva esperanza de vida</w:t>
      </w:r>
      <w:r w:rsidR="000B4321" w:rsidRPr="00FF2850">
        <w:rPr>
          <w:rFonts w:ascii="Cambria" w:hAnsi="Cambria"/>
          <w:sz w:val="24"/>
          <w:szCs w:val="24"/>
        </w:rPr>
        <w:t>.</w:t>
      </w:r>
      <w:r w:rsidR="000B4321">
        <w:rPr>
          <w:rFonts w:ascii="Cambria" w:hAnsi="Cambria"/>
          <w:sz w:val="24"/>
          <w:szCs w:val="24"/>
        </w:rPr>
        <w:t xml:space="preserve"> La </w:t>
      </w:r>
      <w:r w:rsidR="00143C7E" w:rsidRPr="001D054B">
        <w:rPr>
          <w:rFonts w:ascii="Cambria" w:hAnsi="Cambria"/>
          <w:sz w:val="24"/>
          <w:szCs w:val="24"/>
        </w:rPr>
        <w:t xml:space="preserve"> provisión al cierre de</w:t>
      </w:r>
      <w:r w:rsidR="00002615" w:rsidRPr="001D054B">
        <w:rPr>
          <w:rFonts w:ascii="Cambria" w:hAnsi="Cambria"/>
          <w:sz w:val="24"/>
          <w:szCs w:val="24"/>
        </w:rPr>
        <w:t xml:space="preserve"> </w:t>
      </w:r>
      <w:r w:rsidR="000B4321">
        <w:rPr>
          <w:rFonts w:ascii="Cambria" w:hAnsi="Cambria"/>
          <w:sz w:val="24"/>
          <w:szCs w:val="24"/>
        </w:rPr>
        <w:t>20</w:t>
      </w:r>
      <w:r w:rsidR="00FF2850">
        <w:rPr>
          <w:rFonts w:ascii="Cambria" w:hAnsi="Cambria"/>
          <w:sz w:val="24"/>
          <w:szCs w:val="24"/>
        </w:rPr>
        <w:t>20</w:t>
      </w:r>
      <w:r w:rsidR="000B4321">
        <w:rPr>
          <w:rFonts w:ascii="Cambria" w:hAnsi="Cambria"/>
          <w:sz w:val="24"/>
          <w:szCs w:val="24"/>
        </w:rPr>
        <w:t xml:space="preserve"> es </w:t>
      </w:r>
      <w:r w:rsidR="000B4321" w:rsidRPr="000B4321">
        <w:rPr>
          <w:rFonts w:ascii="Cambria" w:hAnsi="Cambria"/>
          <w:sz w:val="24"/>
          <w:szCs w:val="24"/>
        </w:rPr>
        <w:t xml:space="preserve">de </w:t>
      </w:r>
      <w:r w:rsidR="00D0361F">
        <w:rPr>
          <w:rFonts w:ascii="Cambria" w:hAnsi="Cambria"/>
          <w:sz w:val="24"/>
          <w:szCs w:val="24"/>
        </w:rPr>
        <w:t>761</w:t>
      </w:r>
      <w:r w:rsidR="00346F6D" w:rsidRPr="000B4321">
        <w:rPr>
          <w:rFonts w:ascii="Cambria" w:hAnsi="Cambria"/>
          <w:sz w:val="24"/>
          <w:szCs w:val="24"/>
        </w:rPr>
        <w:t xml:space="preserve"> miles de euros</w:t>
      </w:r>
      <w:r w:rsidR="008E4F23" w:rsidRPr="000B4321">
        <w:rPr>
          <w:rFonts w:ascii="Cambria" w:hAnsi="Cambria"/>
          <w:sz w:val="24"/>
          <w:szCs w:val="24"/>
        </w:rPr>
        <w:t>,</w:t>
      </w:r>
      <w:r w:rsidR="00002615" w:rsidRPr="000B4321">
        <w:rPr>
          <w:rFonts w:ascii="Cambria" w:hAnsi="Cambria"/>
          <w:sz w:val="24"/>
          <w:szCs w:val="24"/>
        </w:rPr>
        <w:t xml:space="preserve"> </w:t>
      </w:r>
      <w:r w:rsidR="00EC5FEF" w:rsidRPr="000B4321">
        <w:rPr>
          <w:rFonts w:ascii="Cambria" w:hAnsi="Cambria"/>
          <w:sz w:val="24"/>
          <w:szCs w:val="24"/>
        </w:rPr>
        <w:t>(</w:t>
      </w:r>
      <w:r w:rsidR="00FF2850">
        <w:rPr>
          <w:rFonts w:ascii="Cambria" w:hAnsi="Cambria"/>
          <w:sz w:val="24"/>
          <w:szCs w:val="24"/>
        </w:rPr>
        <w:t xml:space="preserve">823 </w:t>
      </w:r>
      <w:r w:rsidR="00143C7E" w:rsidRPr="001D054B">
        <w:rPr>
          <w:rFonts w:ascii="Cambria" w:hAnsi="Cambria"/>
          <w:sz w:val="24"/>
          <w:szCs w:val="24"/>
        </w:rPr>
        <w:t>mil</w:t>
      </w:r>
      <w:r w:rsidR="001F3EF9" w:rsidRPr="001D054B">
        <w:rPr>
          <w:rFonts w:ascii="Cambria" w:hAnsi="Cambria"/>
          <w:sz w:val="24"/>
          <w:szCs w:val="24"/>
        </w:rPr>
        <w:t>es de</w:t>
      </w:r>
      <w:r w:rsidR="00EC5FEF" w:rsidRPr="001D054B">
        <w:rPr>
          <w:rFonts w:ascii="Cambria" w:hAnsi="Cambria"/>
          <w:sz w:val="24"/>
          <w:szCs w:val="24"/>
        </w:rPr>
        <w:t xml:space="preserve"> euros en 201</w:t>
      </w:r>
      <w:r w:rsidR="00FF2850">
        <w:rPr>
          <w:rFonts w:ascii="Cambria" w:hAnsi="Cambria"/>
          <w:sz w:val="24"/>
          <w:szCs w:val="24"/>
        </w:rPr>
        <w:t>9</w:t>
      </w:r>
      <w:r w:rsidR="00EC5FEF" w:rsidRPr="001D054B">
        <w:rPr>
          <w:rFonts w:ascii="Cambria" w:hAnsi="Cambria"/>
          <w:sz w:val="24"/>
          <w:szCs w:val="24"/>
        </w:rPr>
        <w:t xml:space="preserve">), </w:t>
      </w:r>
      <w:r w:rsidR="00F0551B">
        <w:rPr>
          <w:rFonts w:ascii="Cambria" w:hAnsi="Cambria"/>
          <w:sz w:val="24"/>
          <w:szCs w:val="24"/>
        </w:rPr>
        <w:t xml:space="preserve">de </w:t>
      </w:r>
      <w:r w:rsidR="00F0551B" w:rsidRPr="000B4321">
        <w:rPr>
          <w:rFonts w:ascii="Cambria" w:hAnsi="Cambria"/>
          <w:sz w:val="24"/>
          <w:szCs w:val="24"/>
        </w:rPr>
        <w:t xml:space="preserve">los que </w:t>
      </w:r>
      <w:r w:rsidR="00D0361F">
        <w:rPr>
          <w:rFonts w:ascii="Cambria" w:hAnsi="Cambria"/>
          <w:sz w:val="24"/>
          <w:szCs w:val="24"/>
        </w:rPr>
        <w:t>463</w:t>
      </w:r>
      <w:r w:rsidR="004F4E79" w:rsidRPr="000B4321">
        <w:rPr>
          <w:rFonts w:ascii="Cambria" w:hAnsi="Cambria"/>
          <w:sz w:val="24"/>
          <w:szCs w:val="24"/>
        </w:rPr>
        <w:t xml:space="preserve"> </w:t>
      </w:r>
      <w:r w:rsidR="00143C7E" w:rsidRPr="000B4321">
        <w:rPr>
          <w:rFonts w:ascii="Cambria" w:hAnsi="Cambria"/>
          <w:sz w:val="24"/>
          <w:szCs w:val="24"/>
        </w:rPr>
        <w:t>mil</w:t>
      </w:r>
      <w:r w:rsidR="00B34974" w:rsidRPr="000B4321">
        <w:rPr>
          <w:rFonts w:ascii="Cambria" w:hAnsi="Cambria"/>
          <w:sz w:val="24"/>
          <w:szCs w:val="24"/>
        </w:rPr>
        <w:t>es de</w:t>
      </w:r>
      <w:r w:rsidR="00143C7E" w:rsidRPr="000B4321">
        <w:rPr>
          <w:rFonts w:ascii="Cambria" w:hAnsi="Cambria"/>
          <w:sz w:val="24"/>
          <w:szCs w:val="24"/>
        </w:rPr>
        <w:t xml:space="preserve"> euros </w:t>
      </w:r>
      <w:r w:rsidR="00F0551B" w:rsidRPr="000B4321">
        <w:rPr>
          <w:rFonts w:ascii="Cambria" w:hAnsi="Cambria"/>
          <w:sz w:val="24"/>
          <w:szCs w:val="24"/>
        </w:rPr>
        <w:t xml:space="preserve">se registran </w:t>
      </w:r>
      <w:r w:rsidR="00143C7E" w:rsidRPr="000B4321">
        <w:rPr>
          <w:rFonts w:ascii="Cambria" w:hAnsi="Cambria"/>
          <w:sz w:val="24"/>
          <w:szCs w:val="24"/>
        </w:rPr>
        <w:t xml:space="preserve">a largo plazo y </w:t>
      </w:r>
      <w:r w:rsidR="00D0361F">
        <w:rPr>
          <w:rFonts w:ascii="Cambria" w:hAnsi="Cambria"/>
          <w:sz w:val="24"/>
          <w:szCs w:val="24"/>
        </w:rPr>
        <w:t>298</w:t>
      </w:r>
      <w:r w:rsidR="004F4E79" w:rsidRPr="000B4321">
        <w:rPr>
          <w:rFonts w:ascii="Cambria" w:hAnsi="Cambria"/>
          <w:sz w:val="24"/>
          <w:szCs w:val="24"/>
        </w:rPr>
        <w:t xml:space="preserve"> </w:t>
      </w:r>
      <w:r w:rsidR="00143C7E" w:rsidRPr="000B4321">
        <w:rPr>
          <w:rFonts w:ascii="Cambria" w:hAnsi="Cambria"/>
          <w:sz w:val="24"/>
          <w:szCs w:val="24"/>
        </w:rPr>
        <w:t>mil</w:t>
      </w:r>
      <w:r w:rsidR="00B34974" w:rsidRPr="000B4321">
        <w:rPr>
          <w:rFonts w:ascii="Cambria" w:hAnsi="Cambria"/>
          <w:sz w:val="24"/>
          <w:szCs w:val="24"/>
        </w:rPr>
        <w:t>es de</w:t>
      </w:r>
      <w:r w:rsidR="00620E1F" w:rsidRPr="000B4321">
        <w:rPr>
          <w:rFonts w:ascii="Cambria" w:hAnsi="Cambria"/>
          <w:sz w:val="24"/>
          <w:szCs w:val="24"/>
        </w:rPr>
        <w:t xml:space="preserve"> </w:t>
      </w:r>
      <w:r w:rsidR="00143C7E" w:rsidRPr="000B4321">
        <w:rPr>
          <w:rFonts w:ascii="Cambria" w:hAnsi="Cambria"/>
          <w:sz w:val="24"/>
          <w:szCs w:val="24"/>
        </w:rPr>
        <w:t>euros a corto plazo</w:t>
      </w:r>
      <w:r w:rsidR="0027020F" w:rsidRPr="000B4321">
        <w:rPr>
          <w:rFonts w:ascii="Cambria" w:hAnsi="Cambria"/>
          <w:sz w:val="24"/>
          <w:szCs w:val="24"/>
        </w:rPr>
        <w:t xml:space="preserve"> (</w:t>
      </w:r>
      <w:r w:rsidR="00FF2850">
        <w:rPr>
          <w:rFonts w:ascii="Cambria" w:hAnsi="Cambria"/>
          <w:sz w:val="24"/>
          <w:szCs w:val="24"/>
        </w:rPr>
        <w:t>522</w:t>
      </w:r>
      <w:r w:rsidR="0027020F" w:rsidRPr="000B4321">
        <w:rPr>
          <w:rFonts w:ascii="Cambria" w:hAnsi="Cambria"/>
          <w:sz w:val="24"/>
          <w:szCs w:val="24"/>
        </w:rPr>
        <w:t xml:space="preserve"> miles de euros a largo plazo y </w:t>
      </w:r>
      <w:r w:rsidR="00FF2850">
        <w:rPr>
          <w:rFonts w:ascii="Cambria" w:hAnsi="Cambria"/>
          <w:sz w:val="24"/>
          <w:szCs w:val="24"/>
        </w:rPr>
        <w:t>301</w:t>
      </w:r>
      <w:r w:rsidR="0027020F" w:rsidRPr="000B4321">
        <w:rPr>
          <w:rFonts w:ascii="Cambria" w:hAnsi="Cambria"/>
          <w:sz w:val="24"/>
          <w:szCs w:val="24"/>
        </w:rPr>
        <w:t xml:space="preserve"> miles de euros a corto plazo</w:t>
      </w:r>
      <w:r w:rsidR="00F0551B" w:rsidRPr="000B4321">
        <w:rPr>
          <w:rFonts w:ascii="Cambria" w:hAnsi="Cambria"/>
          <w:sz w:val="24"/>
          <w:szCs w:val="24"/>
        </w:rPr>
        <w:t xml:space="preserve"> en 201</w:t>
      </w:r>
      <w:r w:rsidR="00FF2850">
        <w:rPr>
          <w:rFonts w:ascii="Cambria" w:hAnsi="Cambria"/>
          <w:sz w:val="24"/>
          <w:szCs w:val="24"/>
        </w:rPr>
        <w:t>9</w:t>
      </w:r>
      <w:r w:rsidR="0027020F" w:rsidRPr="000B4321">
        <w:rPr>
          <w:rFonts w:ascii="Cambria" w:hAnsi="Cambria"/>
          <w:sz w:val="24"/>
          <w:szCs w:val="24"/>
        </w:rPr>
        <w:t>)</w:t>
      </w:r>
      <w:r w:rsidR="00143C7E" w:rsidRPr="000B4321">
        <w:rPr>
          <w:rFonts w:ascii="Cambria" w:hAnsi="Cambria"/>
          <w:sz w:val="24"/>
          <w:szCs w:val="24"/>
        </w:rPr>
        <w:t>.</w:t>
      </w:r>
    </w:p>
    <w:p w14:paraId="72D225A1" w14:textId="77777777" w:rsidR="001C5E71" w:rsidRDefault="001C5E71">
      <w:pPr>
        <w:keepLines w:val="0"/>
        <w:widowControl/>
        <w:jc w:val="left"/>
        <w:rPr>
          <w:rFonts w:ascii="Cambria" w:hAnsi="Cambria"/>
          <w:i/>
          <w:sz w:val="24"/>
          <w:szCs w:val="24"/>
          <w:lang w:val="es-ES"/>
        </w:rPr>
      </w:pPr>
      <w:r>
        <w:rPr>
          <w:rFonts w:ascii="Cambria" w:hAnsi="Cambria"/>
          <w:b/>
          <w:i/>
          <w:sz w:val="24"/>
          <w:szCs w:val="24"/>
          <w:lang w:val="es-ES"/>
        </w:rPr>
        <w:br w:type="page"/>
      </w:r>
    </w:p>
    <w:p w14:paraId="02FA9571" w14:textId="77777777" w:rsidR="008C2A1B" w:rsidRPr="00F8465B" w:rsidRDefault="008C2A1B" w:rsidP="008C2A1B">
      <w:pPr>
        <w:pStyle w:val="Ttulo2"/>
        <w:keepNext/>
        <w:ind w:left="426"/>
        <w:rPr>
          <w:rFonts w:ascii="Cambria" w:hAnsi="Cambria"/>
          <w:b w:val="0"/>
          <w:i/>
          <w:sz w:val="24"/>
          <w:szCs w:val="24"/>
          <w:lang w:val="es-ES"/>
        </w:rPr>
      </w:pPr>
    </w:p>
    <w:p w14:paraId="15AA8355" w14:textId="62102D3E" w:rsidR="00830B27" w:rsidRPr="00193515" w:rsidRDefault="00830B27" w:rsidP="0060571A">
      <w:pPr>
        <w:pStyle w:val="Ttulo2"/>
        <w:keepNext/>
        <w:numPr>
          <w:ilvl w:val="0"/>
          <w:numId w:val="16"/>
        </w:numPr>
        <w:ind w:left="993" w:hanging="426"/>
        <w:rPr>
          <w:rFonts w:ascii="Cambria" w:hAnsi="Cambria"/>
          <w:b w:val="0"/>
          <w:i/>
          <w:sz w:val="24"/>
          <w:szCs w:val="24"/>
          <w:lang w:val="es-ES"/>
        </w:rPr>
      </w:pPr>
      <w:r w:rsidRPr="00193515">
        <w:rPr>
          <w:rFonts w:ascii="Cambria" w:hAnsi="Cambria"/>
          <w:b w:val="0"/>
          <w:i/>
          <w:sz w:val="24"/>
          <w:szCs w:val="24"/>
          <w:lang w:val="es-ES"/>
        </w:rPr>
        <w:t xml:space="preserve">Regularización pólizas </w:t>
      </w:r>
      <w:r w:rsidR="00193515" w:rsidRPr="00193515">
        <w:rPr>
          <w:rFonts w:ascii="Cambria" w:hAnsi="Cambria"/>
          <w:b w:val="0"/>
          <w:i/>
          <w:sz w:val="24"/>
          <w:szCs w:val="24"/>
          <w:lang w:val="es-ES"/>
        </w:rPr>
        <w:t>111 y 112</w:t>
      </w:r>
      <w:r w:rsidRPr="00193515">
        <w:rPr>
          <w:rFonts w:ascii="Cambria" w:hAnsi="Cambria"/>
          <w:b w:val="0"/>
          <w:i/>
          <w:sz w:val="24"/>
          <w:szCs w:val="24"/>
          <w:lang w:val="es-ES"/>
        </w:rPr>
        <w:t xml:space="preserve"> de Acenor </w:t>
      </w:r>
    </w:p>
    <w:p w14:paraId="0F21EC45" w14:textId="77777777" w:rsidR="00830B27" w:rsidRDefault="00830B27" w:rsidP="00830B27">
      <w:pPr>
        <w:rPr>
          <w:lang w:val="es-ES"/>
        </w:rPr>
      </w:pPr>
    </w:p>
    <w:p w14:paraId="478BCF08" w14:textId="5DE6F2DC" w:rsidR="0093473B" w:rsidRDefault="00193515" w:rsidP="0093473B">
      <w:pPr>
        <w:ind w:left="567"/>
        <w:rPr>
          <w:rFonts w:ascii="Cambria" w:hAnsi="Cambria"/>
          <w:sz w:val="24"/>
          <w:szCs w:val="24"/>
        </w:rPr>
      </w:pPr>
      <w:r>
        <w:rPr>
          <w:rFonts w:ascii="Cambria" w:hAnsi="Cambria"/>
          <w:sz w:val="24"/>
          <w:szCs w:val="24"/>
          <w:lang w:val="es-ES"/>
        </w:rPr>
        <w:t xml:space="preserve">Al cierre del ejercicio </w:t>
      </w:r>
      <w:r w:rsidR="00CA63AF">
        <w:rPr>
          <w:rFonts w:ascii="Cambria" w:hAnsi="Cambria"/>
          <w:sz w:val="24"/>
          <w:szCs w:val="24"/>
          <w:lang w:val="es-ES"/>
        </w:rPr>
        <w:t>2020</w:t>
      </w:r>
      <w:r>
        <w:rPr>
          <w:rFonts w:ascii="Cambria" w:hAnsi="Cambria"/>
          <w:sz w:val="24"/>
          <w:szCs w:val="24"/>
          <w:lang w:val="es-ES"/>
        </w:rPr>
        <w:t xml:space="preserve"> la Sociedad ha dotado una provisión por importe de </w:t>
      </w:r>
      <w:r w:rsidR="00CA63AF">
        <w:rPr>
          <w:rFonts w:ascii="Cambria" w:hAnsi="Cambria"/>
          <w:sz w:val="24"/>
          <w:szCs w:val="24"/>
          <w:lang w:val="es-ES"/>
        </w:rPr>
        <w:t>154</w:t>
      </w:r>
      <w:r>
        <w:rPr>
          <w:rFonts w:ascii="Cambria" w:hAnsi="Cambria"/>
          <w:sz w:val="24"/>
          <w:szCs w:val="24"/>
          <w:lang w:val="es-ES"/>
        </w:rPr>
        <w:t xml:space="preserve"> miles de euros </w:t>
      </w:r>
      <w:r w:rsidR="00CA63AF">
        <w:rPr>
          <w:rFonts w:ascii="Cambria" w:hAnsi="Cambria"/>
          <w:sz w:val="24"/>
          <w:szCs w:val="24"/>
        </w:rPr>
        <w:t xml:space="preserve">(1.614 miles de euros en 2019), </w:t>
      </w:r>
      <w:r>
        <w:rPr>
          <w:rFonts w:ascii="Cambria" w:hAnsi="Cambria"/>
          <w:sz w:val="24"/>
          <w:szCs w:val="24"/>
        </w:rPr>
        <w:t xml:space="preserve">correspondientes </w:t>
      </w:r>
      <w:r w:rsidR="0093473B" w:rsidRPr="0093473B">
        <w:rPr>
          <w:rFonts w:ascii="Cambria" w:hAnsi="Cambria"/>
          <w:sz w:val="24"/>
          <w:szCs w:val="24"/>
        </w:rPr>
        <w:t xml:space="preserve"> </w:t>
      </w:r>
      <w:r>
        <w:rPr>
          <w:rFonts w:ascii="Cambria" w:hAnsi="Cambria"/>
          <w:sz w:val="24"/>
          <w:szCs w:val="24"/>
        </w:rPr>
        <w:t>a</w:t>
      </w:r>
      <w:r w:rsidR="0093473B" w:rsidRPr="0093473B">
        <w:rPr>
          <w:rFonts w:ascii="Cambria" w:hAnsi="Cambria"/>
          <w:sz w:val="24"/>
          <w:szCs w:val="24"/>
        </w:rPr>
        <w:t xml:space="preserve"> la estimación de prima adicional realizada por la compañía aseguradora por las pólizas 111 y 112 de ACENOR.</w:t>
      </w:r>
      <w:r>
        <w:rPr>
          <w:rFonts w:ascii="Cambria" w:hAnsi="Cambria"/>
          <w:sz w:val="24"/>
          <w:szCs w:val="24"/>
        </w:rPr>
        <w:t xml:space="preserve"> </w:t>
      </w:r>
    </w:p>
    <w:p w14:paraId="279357E0" w14:textId="77777777" w:rsidR="00193515" w:rsidRPr="0093473B" w:rsidRDefault="00193515" w:rsidP="0093473B">
      <w:pPr>
        <w:ind w:left="567"/>
        <w:rPr>
          <w:rFonts w:ascii="Cambria" w:hAnsi="Cambria"/>
          <w:sz w:val="24"/>
          <w:szCs w:val="24"/>
        </w:rPr>
      </w:pPr>
    </w:p>
    <w:p w14:paraId="59923E2C" w14:textId="77777777" w:rsidR="0093473B" w:rsidRPr="0093473B" w:rsidRDefault="0093473B" w:rsidP="0093473B">
      <w:pPr>
        <w:ind w:left="567"/>
        <w:rPr>
          <w:rFonts w:ascii="Cambria" w:hAnsi="Cambria"/>
          <w:sz w:val="24"/>
          <w:szCs w:val="24"/>
        </w:rPr>
      </w:pPr>
      <w:r w:rsidRPr="0093473B">
        <w:rPr>
          <w:rFonts w:ascii="Cambria" w:hAnsi="Cambria"/>
          <w:sz w:val="24"/>
          <w:szCs w:val="24"/>
        </w:rPr>
        <w:t>Dichas pólizas cubren los compromisos vitalicios de complementos de pensiones del personal jubilado.</w:t>
      </w:r>
    </w:p>
    <w:p w14:paraId="6110DAB0" w14:textId="77777777" w:rsidR="00830B27" w:rsidRPr="0093473B" w:rsidRDefault="00830B27" w:rsidP="00830B27"/>
    <w:p w14:paraId="6243BE94" w14:textId="77777777" w:rsidR="008C2A1B" w:rsidRPr="00F8465B" w:rsidRDefault="008C2A1B" w:rsidP="0060571A">
      <w:pPr>
        <w:pStyle w:val="Ttulo2"/>
        <w:keepNext/>
        <w:numPr>
          <w:ilvl w:val="0"/>
          <w:numId w:val="16"/>
        </w:numPr>
        <w:ind w:left="993" w:hanging="426"/>
        <w:rPr>
          <w:rFonts w:ascii="Cambria" w:hAnsi="Cambria"/>
          <w:b w:val="0"/>
          <w:i/>
          <w:sz w:val="24"/>
          <w:szCs w:val="24"/>
          <w:lang w:val="es-ES"/>
        </w:rPr>
      </w:pPr>
      <w:r w:rsidRPr="00F8465B">
        <w:rPr>
          <w:rFonts w:ascii="Cambria" w:hAnsi="Cambria"/>
          <w:b w:val="0"/>
          <w:i/>
          <w:sz w:val="24"/>
          <w:szCs w:val="24"/>
          <w:lang w:val="es-ES"/>
        </w:rPr>
        <w:t>Compromisos contraídos con el personal pasivo</w:t>
      </w:r>
      <w:r w:rsidR="002D5D45" w:rsidRPr="00F8465B">
        <w:rPr>
          <w:rFonts w:ascii="Cambria" w:hAnsi="Cambria"/>
          <w:b w:val="0"/>
          <w:i/>
          <w:sz w:val="24"/>
          <w:szCs w:val="24"/>
          <w:lang w:val="es-ES"/>
        </w:rPr>
        <w:t xml:space="preserve"> de BWE</w:t>
      </w:r>
    </w:p>
    <w:p w14:paraId="5BF32C40" w14:textId="77777777" w:rsidR="008040C3" w:rsidRPr="00F8465B" w:rsidRDefault="008040C3" w:rsidP="009742EB">
      <w:pPr>
        <w:pStyle w:val="Listaconnmeros"/>
        <w:ind w:left="426" w:firstLine="0"/>
        <w:rPr>
          <w:rFonts w:ascii="Cambria" w:hAnsi="Cambria"/>
          <w:sz w:val="24"/>
          <w:szCs w:val="24"/>
        </w:rPr>
      </w:pPr>
    </w:p>
    <w:p w14:paraId="1AF58717" w14:textId="4917B384" w:rsidR="001C5E71" w:rsidRDefault="001C5E71" w:rsidP="0004143A">
      <w:pPr>
        <w:pStyle w:val="Ttulo1a"/>
        <w:ind w:left="567"/>
        <w:rPr>
          <w:rFonts w:ascii="Cambria" w:hAnsi="Cambria"/>
          <w:sz w:val="24"/>
          <w:szCs w:val="24"/>
        </w:rPr>
      </w:pPr>
      <w:r>
        <w:rPr>
          <w:rFonts w:ascii="Cambria" w:hAnsi="Cambria"/>
          <w:sz w:val="24"/>
          <w:szCs w:val="24"/>
        </w:rPr>
        <w:t xml:space="preserve">El saldo registrado </w:t>
      </w:r>
      <w:r w:rsidR="00F0551B">
        <w:rPr>
          <w:rFonts w:ascii="Cambria" w:hAnsi="Cambria"/>
          <w:sz w:val="24"/>
          <w:szCs w:val="24"/>
        </w:rPr>
        <w:t xml:space="preserve">a corto plazo </w:t>
      </w:r>
      <w:r>
        <w:rPr>
          <w:rFonts w:ascii="Cambria" w:hAnsi="Cambria"/>
          <w:sz w:val="24"/>
          <w:szCs w:val="24"/>
        </w:rPr>
        <w:t>a</w:t>
      </w:r>
      <w:r w:rsidR="00F0551B">
        <w:rPr>
          <w:rFonts w:ascii="Cambria" w:hAnsi="Cambria"/>
          <w:sz w:val="24"/>
          <w:szCs w:val="24"/>
        </w:rPr>
        <w:t>l</w:t>
      </w:r>
      <w:r>
        <w:rPr>
          <w:rFonts w:ascii="Cambria" w:hAnsi="Cambria"/>
          <w:sz w:val="24"/>
          <w:szCs w:val="24"/>
        </w:rPr>
        <w:t xml:space="preserve"> cierre del ejercicio </w:t>
      </w:r>
      <w:r w:rsidRPr="00595DE2">
        <w:rPr>
          <w:rFonts w:ascii="Cambria" w:hAnsi="Cambria"/>
          <w:sz w:val="24"/>
          <w:szCs w:val="24"/>
        </w:rPr>
        <w:t>20</w:t>
      </w:r>
      <w:r w:rsidR="00CA63AF">
        <w:rPr>
          <w:rFonts w:ascii="Cambria" w:hAnsi="Cambria"/>
          <w:sz w:val="24"/>
          <w:szCs w:val="24"/>
        </w:rPr>
        <w:t>20</w:t>
      </w:r>
      <w:r w:rsidRPr="00595DE2">
        <w:rPr>
          <w:rFonts w:ascii="Cambria" w:hAnsi="Cambria"/>
          <w:sz w:val="24"/>
          <w:szCs w:val="24"/>
        </w:rPr>
        <w:t xml:space="preserve">, </w:t>
      </w:r>
      <w:smartTag w:uri="urn:schemas-microsoft-com:office:smarttags" w:element="metricconverter">
        <w:smartTagPr>
          <w:attr w:name="ProductID" w:val="203 miles"/>
        </w:smartTagPr>
        <w:r w:rsidR="00CF698F" w:rsidRPr="00595DE2">
          <w:rPr>
            <w:rFonts w:ascii="Cambria" w:hAnsi="Cambria"/>
            <w:sz w:val="24"/>
            <w:szCs w:val="24"/>
          </w:rPr>
          <w:t>203 miles</w:t>
        </w:r>
      </w:smartTag>
      <w:r w:rsidR="00CF698F" w:rsidRPr="00595DE2">
        <w:rPr>
          <w:rFonts w:ascii="Cambria" w:hAnsi="Cambria"/>
          <w:sz w:val="24"/>
          <w:szCs w:val="24"/>
        </w:rPr>
        <w:t xml:space="preserve"> de euros</w:t>
      </w:r>
      <w:r w:rsidR="0027020F" w:rsidRPr="00595DE2">
        <w:rPr>
          <w:rFonts w:ascii="Cambria" w:hAnsi="Cambria"/>
          <w:sz w:val="24"/>
          <w:szCs w:val="24"/>
        </w:rPr>
        <w:t xml:space="preserve"> (20</w:t>
      </w:r>
      <w:r w:rsidR="003E7FBC" w:rsidRPr="00595DE2">
        <w:rPr>
          <w:rFonts w:ascii="Cambria" w:hAnsi="Cambria"/>
          <w:sz w:val="24"/>
          <w:szCs w:val="24"/>
        </w:rPr>
        <w:t>3</w:t>
      </w:r>
      <w:r w:rsidR="0027020F">
        <w:rPr>
          <w:rFonts w:ascii="Cambria" w:hAnsi="Cambria"/>
          <w:sz w:val="24"/>
          <w:szCs w:val="24"/>
        </w:rPr>
        <w:t xml:space="preserve"> miles de euros a cierre del ejercicio 201</w:t>
      </w:r>
      <w:r w:rsidR="00CA63AF">
        <w:rPr>
          <w:rFonts w:ascii="Cambria" w:hAnsi="Cambria"/>
          <w:sz w:val="24"/>
          <w:szCs w:val="24"/>
        </w:rPr>
        <w:t>9</w:t>
      </w:r>
      <w:r w:rsidR="0027020F">
        <w:rPr>
          <w:rFonts w:ascii="Cambria" w:hAnsi="Cambria"/>
          <w:sz w:val="24"/>
          <w:szCs w:val="24"/>
        </w:rPr>
        <w:t>)</w:t>
      </w:r>
      <w:r w:rsidR="0076456E">
        <w:rPr>
          <w:rFonts w:ascii="Cambria" w:hAnsi="Cambria"/>
          <w:sz w:val="24"/>
          <w:szCs w:val="24"/>
        </w:rPr>
        <w:t>,</w:t>
      </w:r>
      <w:r w:rsidR="00CF698F" w:rsidRPr="001C5E71">
        <w:rPr>
          <w:rFonts w:ascii="Cambria" w:hAnsi="Cambria"/>
          <w:sz w:val="24"/>
          <w:szCs w:val="24"/>
        </w:rPr>
        <w:t xml:space="preserve"> corre</w:t>
      </w:r>
      <w:r>
        <w:rPr>
          <w:rFonts w:ascii="Cambria" w:hAnsi="Cambria"/>
          <w:sz w:val="24"/>
          <w:szCs w:val="24"/>
        </w:rPr>
        <w:t>sponde</w:t>
      </w:r>
      <w:r w:rsidR="00CF698F" w:rsidRPr="001C5E71">
        <w:rPr>
          <w:rFonts w:ascii="Cambria" w:hAnsi="Cambria"/>
          <w:sz w:val="24"/>
          <w:szCs w:val="24"/>
        </w:rPr>
        <w:t xml:space="preserve"> a la estimación </w:t>
      </w:r>
      <w:r w:rsidR="009742EB" w:rsidRPr="001C5E71">
        <w:rPr>
          <w:rFonts w:ascii="Cambria" w:hAnsi="Cambria"/>
          <w:sz w:val="24"/>
          <w:szCs w:val="24"/>
        </w:rPr>
        <w:t xml:space="preserve">realizada por la Sociedad del coste del suplemento a abonar a la aseguradora por diferencias entre el IPC real y el IPC asegurado, de la póliza 499640, que cubre los complementos del personal prejubilado residente en el País Vasco. </w:t>
      </w:r>
    </w:p>
    <w:p w14:paraId="584C5026" w14:textId="77777777" w:rsidR="001C5E71" w:rsidRDefault="001C5E71" w:rsidP="0004143A">
      <w:pPr>
        <w:pStyle w:val="Ttulo1a"/>
        <w:ind w:left="567"/>
        <w:rPr>
          <w:rFonts w:ascii="Cambria" w:hAnsi="Cambria"/>
          <w:sz w:val="24"/>
          <w:szCs w:val="24"/>
        </w:rPr>
      </w:pPr>
    </w:p>
    <w:p w14:paraId="2DED9ED6" w14:textId="77777777" w:rsidR="00E573BC" w:rsidRPr="00F8465B" w:rsidRDefault="00E573BC" w:rsidP="0060571A">
      <w:pPr>
        <w:pStyle w:val="Ttulo2"/>
        <w:keepNext/>
        <w:numPr>
          <w:ilvl w:val="0"/>
          <w:numId w:val="16"/>
        </w:numPr>
        <w:ind w:left="993" w:hanging="426"/>
        <w:rPr>
          <w:rFonts w:ascii="Cambria" w:hAnsi="Cambria"/>
          <w:b w:val="0"/>
          <w:i/>
          <w:sz w:val="24"/>
          <w:szCs w:val="24"/>
          <w:lang w:val="es-ES"/>
        </w:rPr>
      </w:pPr>
      <w:r w:rsidRPr="00F8465B">
        <w:rPr>
          <w:rFonts w:ascii="Cambria" w:hAnsi="Cambria"/>
          <w:b w:val="0"/>
          <w:i/>
          <w:sz w:val="24"/>
          <w:szCs w:val="24"/>
          <w:lang w:val="es-ES"/>
        </w:rPr>
        <w:t>Compromisos contraídos por PRESUR con el personal prejubilado en el ERE´05.</w:t>
      </w:r>
    </w:p>
    <w:p w14:paraId="0FF34D63" w14:textId="77777777" w:rsidR="00E573BC" w:rsidRPr="00F8465B" w:rsidRDefault="00E573BC" w:rsidP="0004143A">
      <w:pPr>
        <w:pStyle w:val="Ttulo1a"/>
        <w:ind w:left="567"/>
        <w:rPr>
          <w:rFonts w:ascii="Cambria" w:hAnsi="Cambria"/>
          <w:sz w:val="24"/>
          <w:szCs w:val="24"/>
        </w:rPr>
      </w:pPr>
    </w:p>
    <w:p w14:paraId="03EC9A0C" w14:textId="7A5AE598" w:rsidR="003A24AF" w:rsidRPr="00F048DA" w:rsidRDefault="00FD149E" w:rsidP="0004143A">
      <w:pPr>
        <w:pStyle w:val="Ttulo1a"/>
        <w:ind w:left="567"/>
        <w:rPr>
          <w:rFonts w:ascii="Cambria" w:hAnsi="Cambria"/>
          <w:sz w:val="24"/>
          <w:szCs w:val="24"/>
        </w:rPr>
      </w:pPr>
      <w:r w:rsidRPr="00F048DA">
        <w:rPr>
          <w:rFonts w:ascii="Cambria" w:hAnsi="Cambria"/>
          <w:sz w:val="24"/>
          <w:szCs w:val="24"/>
        </w:rPr>
        <w:t>Al cierre de</w:t>
      </w:r>
      <w:r w:rsidR="00B34974" w:rsidRPr="00F048DA">
        <w:rPr>
          <w:rFonts w:ascii="Cambria" w:hAnsi="Cambria"/>
          <w:sz w:val="24"/>
          <w:szCs w:val="24"/>
        </w:rPr>
        <w:t xml:space="preserve"> los</w:t>
      </w:r>
      <w:r w:rsidR="008A5FE8" w:rsidRPr="00F048DA">
        <w:rPr>
          <w:rFonts w:ascii="Cambria" w:hAnsi="Cambria"/>
          <w:sz w:val="24"/>
          <w:szCs w:val="24"/>
        </w:rPr>
        <w:t xml:space="preserve"> ejercicio</w:t>
      </w:r>
      <w:r w:rsidR="00B34974" w:rsidRPr="00F048DA">
        <w:rPr>
          <w:rFonts w:ascii="Cambria" w:hAnsi="Cambria"/>
          <w:sz w:val="24"/>
          <w:szCs w:val="24"/>
        </w:rPr>
        <w:t>s</w:t>
      </w:r>
      <w:r w:rsidRPr="00F048DA">
        <w:rPr>
          <w:rFonts w:ascii="Cambria" w:hAnsi="Cambria"/>
          <w:sz w:val="24"/>
          <w:szCs w:val="24"/>
        </w:rPr>
        <w:t xml:space="preserve"> </w:t>
      </w:r>
      <w:r w:rsidR="003E7FBC" w:rsidRPr="00F048DA">
        <w:rPr>
          <w:rFonts w:ascii="Cambria" w:hAnsi="Cambria"/>
          <w:sz w:val="24"/>
          <w:szCs w:val="24"/>
        </w:rPr>
        <w:t>20</w:t>
      </w:r>
      <w:r w:rsidR="00CA63AF">
        <w:rPr>
          <w:rFonts w:ascii="Cambria" w:hAnsi="Cambria"/>
          <w:sz w:val="24"/>
          <w:szCs w:val="24"/>
        </w:rPr>
        <w:t>20</w:t>
      </w:r>
      <w:r w:rsidR="003E7FBC" w:rsidRPr="00F048DA">
        <w:rPr>
          <w:rFonts w:ascii="Cambria" w:hAnsi="Cambria"/>
          <w:sz w:val="24"/>
          <w:szCs w:val="24"/>
        </w:rPr>
        <w:t xml:space="preserve"> </w:t>
      </w:r>
      <w:r w:rsidR="003A24AF" w:rsidRPr="00F048DA">
        <w:rPr>
          <w:rFonts w:ascii="Cambria" w:hAnsi="Cambria"/>
          <w:sz w:val="24"/>
          <w:szCs w:val="24"/>
        </w:rPr>
        <w:t>y 201</w:t>
      </w:r>
      <w:r w:rsidR="00CA63AF">
        <w:rPr>
          <w:rFonts w:ascii="Cambria" w:hAnsi="Cambria"/>
          <w:sz w:val="24"/>
          <w:szCs w:val="24"/>
        </w:rPr>
        <w:t>9</w:t>
      </w:r>
      <w:r w:rsidRPr="00F048DA">
        <w:rPr>
          <w:rFonts w:ascii="Cambria" w:hAnsi="Cambria"/>
          <w:sz w:val="24"/>
          <w:szCs w:val="24"/>
        </w:rPr>
        <w:t xml:space="preserve">, se han realizado por </w:t>
      </w:r>
      <w:r w:rsidR="00DB5774" w:rsidRPr="00F048DA">
        <w:rPr>
          <w:rFonts w:ascii="Cambria" w:hAnsi="Cambria"/>
          <w:sz w:val="24"/>
          <w:szCs w:val="24"/>
        </w:rPr>
        <w:t>actuarios cualificados</w:t>
      </w:r>
      <w:r w:rsidRPr="00F048DA">
        <w:rPr>
          <w:rFonts w:ascii="Cambria" w:hAnsi="Cambria"/>
          <w:sz w:val="24"/>
          <w:szCs w:val="24"/>
        </w:rPr>
        <w:t xml:space="preserve">, los estudios actuariales necesarios sobre los compromisos de PRESUR con el personal prejubilado en el ERE de 2005. Las hipótesis </w:t>
      </w:r>
      <w:r w:rsidR="003A24AF" w:rsidRPr="00F048DA">
        <w:rPr>
          <w:rFonts w:ascii="Cambria" w:hAnsi="Cambria"/>
          <w:sz w:val="24"/>
          <w:szCs w:val="24"/>
        </w:rPr>
        <w:t xml:space="preserve">utilizadas en la valoración, para determinar el valor actual de los compromisos, han sido las siguientes: </w:t>
      </w:r>
    </w:p>
    <w:p w14:paraId="26DE71FD" w14:textId="76D9F457" w:rsidR="008A1057" w:rsidRPr="00A37244" w:rsidRDefault="008A1057" w:rsidP="0004143A">
      <w:pPr>
        <w:pStyle w:val="Ttulo1a"/>
        <w:ind w:left="567"/>
        <w:rPr>
          <w:rFonts w:ascii="Cambria" w:hAnsi="Cambria"/>
          <w:sz w:val="24"/>
          <w:szCs w:val="24"/>
          <w:highlight w:val="yellow"/>
        </w:rPr>
      </w:pPr>
    </w:p>
    <w:p w14:paraId="3EC7B028" w14:textId="77777777" w:rsidR="00850A3A" w:rsidRPr="00A37244" w:rsidRDefault="00850A3A" w:rsidP="0024783F">
      <w:pPr>
        <w:pStyle w:val="not"/>
        <w:spacing w:before="0"/>
        <w:ind w:left="425" w:firstLine="0"/>
        <w:rPr>
          <w:rFonts w:ascii="Cambria" w:hAnsi="Cambria"/>
          <w:sz w:val="24"/>
          <w:szCs w:val="24"/>
          <w:highlight w:val="yellow"/>
        </w:rPr>
      </w:pPr>
    </w:p>
    <w:tbl>
      <w:tblPr>
        <w:tblW w:w="7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1"/>
        <w:gridCol w:w="2449"/>
        <w:gridCol w:w="1801"/>
      </w:tblGrid>
      <w:tr w:rsidR="00CA63AF" w:rsidRPr="00A37244" w14:paraId="7B2505EE" w14:textId="77777777" w:rsidTr="00CA63AF">
        <w:trPr>
          <w:trHeight w:hRule="exact" w:val="263"/>
          <w:jc w:val="center"/>
        </w:trPr>
        <w:tc>
          <w:tcPr>
            <w:tcW w:w="3539" w:type="dxa"/>
            <w:tcBorders>
              <w:bottom w:val="single" w:sz="4" w:space="0" w:color="auto"/>
            </w:tcBorders>
            <w:vAlign w:val="center"/>
          </w:tcPr>
          <w:p w14:paraId="0DBDBFAF" w14:textId="77777777" w:rsidR="00CA63AF" w:rsidRPr="00F048DA" w:rsidRDefault="00CA63AF" w:rsidP="00CA63AF">
            <w:pPr>
              <w:jc w:val="center"/>
              <w:rPr>
                <w:rFonts w:ascii="Cambria" w:hAnsi="Cambria"/>
                <w:b/>
                <w:iCs/>
                <w:sz w:val="20"/>
              </w:rPr>
            </w:pPr>
            <w:r w:rsidRPr="00F048DA">
              <w:rPr>
                <w:rFonts w:ascii="Cambria" w:hAnsi="Cambria"/>
                <w:b/>
                <w:iCs/>
                <w:sz w:val="20"/>
              </w:rPr>
              <w:t>Hipótesis Actuariales</w:t>
            </w:r>
          </w:p>
        </w:tc>
        <w:tc>
          <w:tcPr>
            <w:tcW w:w="1617" w:type="dxa"/>
            <w:tcBorders>
              <w:bottom w:val="single" w:sz="4" w:space="0" w:color="auto"/>
            </w:tcBorders>
          </w:tcPr>
          <w:p w14:paraId="436F452F" w14:textId="1D66282C" w:rsidR="00CA63AF" w:rsidRPr="00F048DA" w:rsidRDefault="00CA63AF" w:rsidP="00CA63AF">
            <w:pPr>
              <w:jc w:val="center"/>
              <w:rPr>
                <w:rFonts w:ascii="Cambria" w:hAnsi="Cambria"/>
                <w:b/>
                <w:iCs/>
                <w:sz w:val="20"/>
              </w:rPr>
            </w:pPr>
            <w:r w:rsidRPr="00F048DA">
              <w:rPr>
                <w:rFonts w:ascii="Cambria" w:hAnsi="Cambria"/>
                <w:b/>
                <w:iCs/>
                <w:sz w:val="20"/>
              </w:rPr>
              <w:t>Ejercicio 20</w:t>
            </w:r>
            <w:r>
              <w:rPr>
                <w:rFonts w:ascii="Cambria" w:hAnsi="Cambria"/>
                <w:b/>
                <w:iCs/>
                <w:sz w:val="20"/>
              </w:rPr>
              <w:t>20</w:t>
            </w:r>
          </w:p>
        </w:tc>
        <w:tc>
          <w:tcPr>
            <w:tcW w:w="1965" w:type="dxa"/>
            <w:tcBorders>
              <w:bottom w:val="single" w:sz="4" w:space="0" w:color="auto"/>
            </w:tcBorders>
          </w:tcPr>
          <w:p w14:paraId="5B083E6B" w14:textId="09F484BA" w:rsidR="00CA63AF" w:rsidRPr="00F048DA" w:rsidRDefault="00CA63AF" w:rsidP="00CA63AF">
            <w:pPr>
              <w:jc w:val="center"/>
              <w:rPr>
                <w:rFonts w:ascii="Cambria" w:hAnsi="Cambria"/>
                <w:b/>
                <w:iCs/>
                <w:sz w:val="20"/>
              </w:rPr>
            </w:pPr>
            <w:r w:rsidRPr="00F048DA">
              <w:rPr>
                <w:rFonts w:ascii="Cambria" w:hAnsi="Cambria"/>
                <w:b/>
                <w:iCs/>
                <w:sz w:val="20"/>
              </w:rPr>
              <w:t>Ejercicio 201</w:t>
            </w:r>
            <w:r>
              <w:rPr>
                <w:rFonts w:ascii="Cambria" w:hAnsi="Cambria"/>
                <w:b/>
                <w:iCs/>
                <w:sz w:val="20"/>
              </w:rPr>
              <w:t>9</w:t>
            </w:r>
          </w:p>
        </w:tc>
      </w:tr>
      <w:tr w:rsidR="00CA63AF" w:rsidRPr="00A37244" w14:paraId="5D02FD28" w14:textId="77777777" w:rsidTr="00CA63AF">
        <w:trPr>
          <w:trHeight w:hRule="exact" w:val="227"/>
          <w:jc w:val="center"/>
        </w:trPr>
        <w:tc>
          <w:tcPr>
            <w:tcW w:w="3539" w:type="dxa"/>
            <w:tcBorders>
              <w:top w:val="single" w:sz="4" w:space="0" w:color="auto"/>
              <w:left w:val="single" w:sz="4" w:space="0" w:color="auto"/>
              <w:bottom w:val="nil"/>
              <w:right w:val="single" w:sz="4" w:space="0" w:color="auto"/>
            </w:tcBorders>
          </w:tcPr>
          <w:p w14:paraId="56618674" w14:textId="77777777" w:rsidR="00CA63AF" w:rsidRPr="008F7215" w:rsidRDefault="00CA63AF" w:rsidP="00CA63AF">
            <w:pPr>
              <w:rPr>
                <w:rFonts w:ascii="Cambria" w:hAnsi="Cambria"/>
                <w:iCs/>
                <w:sz w:val="20"/>
              </w:rPr>
            </w:pPr>
            <w:r w:rsidRPr="008F7215">
              <w:rPr>
                <w:rFonts w:ascii="Cambria" w:hAnsi="Cambria"/>
                <w:iCs/>
                <w:sz w:val="20"/>
              </w:rPr>
              <w:t>Tipo de interés técnico</w:t>
            </w:r>
          </w:p>
        </w:tc>
        <w:tc>
          <w:tcPr>
            <w:tcW w:w="1617" w:type="dxa"/>
            <w:tcBorders>
              <w:top w:val="single" w:sz="4" w:space="0" w:color="auto"/>
              <w:left w:val="single" w:sz="4" w:space="0" w:color="auto"/>
              <w:bottom w:val="nil"/>
              <w:right w:val="single" w:sz="4" w:space="0" w:color="auto"/>
            </w:tcBorders>
          </w:tcPr>
          <w:p w14:paraId="766FE7E1" w14:textId="17B28937" w:rsidR="00CA63AF" w:rsidRPr="00CA63AF" w:rsidRDefault="00CA63AF" w:rsidP="00CA63AF">
            <w:pPr>
              <w:jc w:val="center"/>
              <w:rPr>
                <w:rFonts w:ascii="Cambria" w:hAnsi="Cambria"/>
                <w:iCs/>
                <w:sz w:val="20"/>
                <w:highlight w:val="yellow"/>
              </w:rPr>
            </w:pPr>
            <w:r w:rsidRPr="00D0361F">
              <w:rPr>
                <w:rFonts w:ascii="Cambria" w:hAnsi="Cambria"/>
                <w:iCs/>
                <w:sz w:val="20"/>
              </w:rPr>
              <w:t>0,00%</w:t>
            </w:r>
          </w:p>
        </w:tc>
        <w:tc>
          <w:tcPr>
            <w:tcW w:w="1965" w:type="dxa"/>
            <w:tcBorders>
              <w:top w:val="single" w:sz="4" w:space="0" w:color="auto"/>
              <w:left w:val="single" w:sz="4" w:space="0" w:color="auto"/>
              <w:bottom w:val="nil"/>
              <w:right w:val="single" w:sz="4" w:space="0" w:color="auto"/>
            </w:tcBorders>
          </w:tcPr>
          <w:p w14:paraId="0F12040F" w14:textId="04949211" w:rsidR="00CA63AF" w:rsidRDefault="00CA63AF" w:rsidP="00CA63AF">
            <w:pPr>
              <w:jc w:val="center"/>
              <w:rPr>
                <w:rFonts w:ascii="Cambria" w:hAnsi="Cambria"/>
                <w:iCs/>
                <w:sz w:val="20"/>
              </w:rPr>
            </w:pPr>
            <w:r>
              <w:rPr>
                <w:rFonts w:ascii="Cambria" w:hAnsi="Cambria"/>
                <w:iCs/>
                <w:sz w:val="20"/>
              </w:rPr>
              <w:t>0,00%</w:t>
            </w:r>
          </w:p>
        </w:tc>
      </w:tr>
      <w:tr w:rsidR="00CA63AF" w:rsidRPr="00A37244" w14:paraId="55407C2B" w14:textId="77777777" w:rsidTr="00CA63AF">
        <w:trPr>
          <w:trHeight w:hRule="exact" w:val="227"/>
          <w:jc w:val="center"/>
        </w:trPr>
        <w:tc>
          <w:tcPr>
            <w:tcW w:w="3539" w:type="dxa"/>
            <w:tcBorders>
              <w:top w:val="nil"/>
              <w:left w:val="single" w:sz="4" w:space="0" w:color="auto"/>
              <w:bottom w:val="nil"/>
              <w:right w:val="single" w:sz="4" w:space="0" w:color="auto"/>
            </w:tcBorders>
            <w:shd w:val="clear" w:color="auto" w:fill="FFFFFF" w:themeFill="background1"/>
          </w:tcPr>
          <w:p w14:paraId="56B6DF91" w14:textId="77777777" w:rsidR="00CA63AF" w:rsidRPr="008F7215" w:rsidRDefault="00CA63AF" w:rsidP="00CA63AF">
            <w:pPr>
              <w:rPr>
                <w:rFonts w:ascii="Cambria" w:hAnsi="Cambria"/>
                <w:iCs/>
                <w:sz w:val="20"/>
              </w:rPr>
            </w:pPr>
            <w:r w:rsidRPr="008F7215">
              <w:rPr>
                <w:rFonts w:ascii="Cambria" w:hAnsi="Cambria"/>
                <w:iCs/>
                <w:sz w:val="20"/>
              </w:rPr>
              <w:t>Tablas de mortalidad</w:t>
            </w:r>
          </w:p>
        </w:tc>
        <w:tc>
          <w:tcPr>
            <w:tcW w:w="1617" w:type="dxa"/>
            <w:tcBorders>
              <w:top w:val="nil"/>
              <w:left w:val="single" w:sz="4" w:space="0" w:color="auto"/>
              <w:bottom w:val="nil"/>
              <w:right w:val="single" w:sz="4" w:space="0" w:color="auto"/>
            </w:tcBorders>
            <w:shd w:val="clear" w:color="auto" w:fill="FFFFFF" w:themeFill="background1"/>
          </w:tcPr>
          <w:p w14:paraId="40AB9711" w14:textId="0434C338" w:rsidR="00CA63AF" w:rsidRPr="00CA63AF" w:rsidRDefault="00D0361F" w:rsidP="00CA63AF">
            <w:pPr>
              <w:jc w:val="center"/>
              <w:rPr>
                <w:rFonts w:ascii="Cambria" w:hAnsi="Cambria"/>
                <w:iCs/>
                <w:sz w:val="20"/>
                <w:highlight w:val="yellow"/>
              </w:rPr>
            </w:pPr>
            <w:r w:rsidRPr="00FC7DB5">
              <w:rPr>
                <w:rFonts w:ascii="Cambria" w:hAnsi="Cambria"/>
              </w:rPr>
              <w:t>PER2020_Col_1er.orden.</w:t>
            </w:r>
          </w:p>
        </w:tc>
        <w:tc>
          <w:tcPr>
            <w:tcW w:w="1965" w:type="dxa"/>
            <w:tcBorders>
              <w:top w:val="nil"/>
              <w:left w:val="single" w:sz="4" w:space="0" w:color="auto"/>
              <w:bottom w:val="nil"/>
              <w:right w:val="single" w:sz="4" w:space="0" w:color="auto"/>
            </w:tcBorders>
          </w:tcPr>
          <w:p w14:paraId="48B42077" w14:textId="52B43605" w:rsidR="00CA63AF" w:rsidRPr="008F7215" w:rsidRDefault="00CA63AF" w:rsidP="00CA63AF">
            <w:pPr>
              <w:jc w:val="center"/>
              <w:rPr>
                <w:rFonts w:ascii="Cambria" w:hAnsi="Cambria"/>
                <w:iCs/>
                <w:sz w:val="20"/>
              </w:rPr>
            </w:pPr>
            <w:r w:rsidRPr="008F7215">
              <w:rPr>
                <w:rFonts w:ascii="Cambria" w:hAnsi="Cambria"/>
                <w:iCs/>
                <w:sz w:val="20"/>
              </w:rPr>
              <w:t>PERM/F2000P</w:t>
            </w:r>
          </w:p>
        </w:tc>
      </w:tr>
      <w:tr w:rsidR="00CA63AF" w:rsidRPr="00A37244" w14:paraId="6CC79335" w14:textId="77777777" w:rsidTr="00CA63AF">
        <w:trPr>
          <w:trHeight w:hRule="exact" w:val="227"/>
          <w:jc w:val="center"/>
        </w:trPr>
        <w:tc>
          <w:tcPr>
            <w:tcW w:w="3539" w:type="dxa"/>
            <w:tcBorders>
              <w:top w:val="nil"/>
              <w:left w:val="single" w:sz="4" w:space="0" w:color="auto"/>
              <w:bottom w:val="nil"/>
              <w:right w:val="single" w:sz="4" w:space="0" w:color="auto"/>
            </w:tcBorders>
            <w:shd w:val="clear" w:color="auto" w:fill="FFFFFF" w:themeFill="background1"/>
          </w:tcPr>
          <w:p w14:paraId="25E86FF7" w14:textId="77777777" w:rsidR="00CA63AF" w:rsidRPr="008F7215" w:rsidRDefault="00CA63AF" w:rsidP="00CA63AF">
            <w:pPr>
              <w:rPr>
                <w:rFonts w:ascii="Cambria" w:hAnsi="Cambria"/>
                <w:sz w:val="20"/>
              </w:rPr>
            </w:pPr>
            <w:r w:rsidRPr="008F7215">
              <w:rPr>
                <w:rFonts w:ascii="Cambria" w:hAnsi="Cambria"/>
                <w:sz w:val="20"/>
              </w:rPr>
              <w:t>Incremento del complemento</w:t>
            </w:r>
          </w:p>
        </w:tc>
        <w:tc>
          <w:tcPr>
            <w:tcW w:w="1617" w:type="dxa"/>
            <w:tcBorders>
              <w:top w:val="nil"/>
              <w:left w:val="single" w:sz="4" w:space="0" w:color="auto"/>
              <w:bottom w:val="nil"/>
              <w:right w:val="single" w:sz="4" w:space="0" w:color="auto"/>
            </w:tcBorders>
            <w:shd w:val="clear" w:color="auto" w:fill="FFFFFF" w:themeFill="background1"/>
          </w:tcPr>
          <w:p w14:paraId="611C113F" w14:textId="6D040FE8" w:rsidR="00CA63AF" w:rsidRPr="00CA63AF" w:rsidRDefault="00CA63AF" w:rsidP="00CA63AF">
            <w:pPr>
              <w:jc w:val="center"/>
              <w:rPr>
                <w:rFonts w:ascii="Cambria" w:hAnsi="Cambria"/>
                <w:iCs/>
                <w:sz w:val="20"/>
                <w:highlight w:val="yellow"/>
              </w:rPr>
            </w:pPr>
            <w:r w:rsidRPr="00D0361F">
              <w:rPr>
                <w:rFonts w:ascii="Cambria" w:hAnsi="Cambria"/>
                <w:iCs/>
                <w:sz w:val="20"/>
              </w:rPr>
              <w:t>2,5%</w:t>
            </w:r>
          </w:p>
        </w:tc>
        <w:tc>
          <w:tcPr>
            <w:tcW w:w="1965" w:type="dxa"/>
            <w:tcBorders>
              <w:top w:val="nil"/>
              <w:left w:val="single" w:sz="4" w:space="0" w:color="auto"/>
              <w:bottom w:val="nil"/>
              <w:right w:val="single" w:sz="4" w:space="0" w:color="auto"/>
            </w:tcBorders>
          </w:tcPr>
          <w:p w14:paraId="724AED95" w14:textId="66893F39" w:rsidR="00CA63AF" w:rsidRPr="008F7215" w:rsidRDefault="00CA63AF" w:rsidP="00CA63AF">
            <w:pPr>
              <w:jc w:val="center"/>
              <w:rPr>
                <w:rFonts w:ascii="Cambria" w:hAnsi="Cambria"/>
                <w:iCs/>
                <w:sz w:val="20"/>
              </w:rPr>
            </w:pPr>
            <w:r>
              <w:rPr>
                <w:rFonts w:ascii="Cambria" w:hAnsi="Cambria"/>
                <w:iCs/>
                <w:sz w:val="20"/>
              </w:rPr>
              <w:t>2,5%</w:t>
            </w:r>
          </w:p>
        </w:tc>
      </w:tr>
      <w:tr w:rsidR="00CA63AF" w:rsidRPr="00A37244" w14:paraId="078F79E0" w14:textId="77777777" w:rsidTr="00D0361F">
        <w:trPr>
          <w:trHeight w:hRule="exact" w:val="525"/>
          <w:jc w:val="center"/>
        </w:trPr>
        <w:tc>
          <w:tcPr>
            <w:tcW w:w="3539" w:type="dxa"/>
            <w:tcBorders>
              <w:top w:val="nil"/>
              <w:left w:val="single" w:sz="4" w:space="0" w:color="auto"/>
              <w:bottom w:val="nil"/>
              <w:right w:val="single" w:sz="4" w:space="0" w:color="auto"/>
            </w:tcBorders>
          </w:tcPr>
          <w:p w14:paraId="3F6749B2" w14:textId="77777777" w:rsidR="00CA63AF" w:rsidRPr="008F7215" w:rsidRDefault="00CA63AF" w:rsidP="00CA63AF">
            <w:pPr>
              <w:jc w:val="left"/>
              <w:rPr>
                <w:rFonts w:ascii="Cambria" w:hAnsi="Cambria"/>
                <w:sz w:val="20"/>
              </w:rPr>
            </w:pPr>
            <w:r>
              <w:rPr>
                <w:rFonts w:ascii="Cambria" w:hAnsi="Cambria"/>
                <w:sz w:val="20"/>
              </w:rPr>
              <w:t>C</w:t>
            </w:r>
            <w:r w:rsidRPr="008F7215">
              <w:rPr>
                <w:rFonts w:ascii="Cambria" w:hAnsi="Cambria"/>
                <w:sz w:val="20"/>
              </w:rPr>
              <w:t xml:space="preserve">recimiento de las bases de </w:t>
            </w:r>
            <w:r>
              <w:rPr>
                <w:rFonts w:ascii="Cambria" w:hAnsi="Cambria"/>
                <w:sz w:val="20"/>
              </w:rPr>
              <w:t>c</w:t>
            </w:r>
            <w:r w:rsidRPr="008F7215">
              <w:rPr>
                <w:rFonts w:ascii="Cambria" w:hAnsi="Cambria"/>
                <w:sz w:val="20"/>
              </w:rPr>
              <w:t>otización</w:t>
            </w:r>
            <w:r>
              <w:rPr>
                <w:rFonts w:ascii="Cambria" w:hAnsi="Cambria"/>
                <w:sz w:val="20"/>
              </w:rPr>
              <w:t>:</w:t>
            </w:r>
          </w:p>
        </w:tc>
        <w:tc>
          <w:tcPr>
            <w:tcW w:w="1617" w:type="dxa"/>
            <w:tcBorders>
              <w:top w:val="nil"/>
              <w:left w:val="single" w:sz="4" w:space="0" w:color="auto"/>
              <w:bottom w:val="nil"/>
              <w:right w:val="single" w:sz="4" w:space="0" w:color="auto"/>
            </w:tcBorders>
          </w:tcPr>
          <w:p w14:paraId="78830BCD" w14:textId="77777777" w:rsidR="00CA63AF" w:rsidRPr="00D0361F" w:rsidRDefault="00CA63AF" w:rsidP="00CA63AF">
            <w:pPr>
              <w:jc w:val="center"/>
              <w:rPr>
                <w:rFonts w:ascii="Cambria" w:hAnsi="Cambria"/>
                <w:iCs/>
                <w:sz w:val="20"/>
              </w:rPr>
            </w:pPr>
          </w:p>
        </w:tc>
        <w:tc>
          <w:tcPr>
            <w:tcW w:w="1965" w:type="dxa"/>
            <w:tcBorders>
              <w:top w:val="nil"/>
              <w:left w:val="single" w:sz="4" w:space="0" w:color="auto"/>
              <w:bottom w:val="nil"/>
              <w:right w:val="single" w:sz="4" w:space="0" w:color="auto"/>
            </w:tcBorders>
          </w:tcPr>
          <w:p w14:paraId="13BEA3E0" w14:textId="77777777" w:rsidR="00CA63AF" w:rsidRPr="008F7215" w:rsidRDefault="00CA63AF" w:rsidP="00CA63AF">
            <w:pPr>
              <w:jc w:val="center"/>
              <w:rPr>
                <w:rFonts w:ascii="Cambria" w:hAnsi="Cambria"/>
                <w:iCs/>
                <w:sz w:val="20"/>
              </w:rPr>
            </w:pPr>
          </w:p>
        </w:tc>
      </w:tr>
      <w:tr w:rsidR="00CA63AF" w:rsidRPr="00A37244" w14:paraId="2991A733" w14:textId="77777777" w:rsidTr="00CA63AF">
        <w:trPr>
          <w:trHeight w:hRule="exact" w:val="277"/>
          <w:jc w:val="center"/>
        </w:trPr>
        <w:tc>
          <w:tcPr>
            <w:tcW w:w="3539" w:type="dxa"/>
            <w:tcBorders>
              <w:top w:val="nil"/>
              <w:left w:val="single" w:sz="4" w:space="0" w:color="auto"/>
              <w:bottom w:val="nil"/>
              <w:right w:val="single" w:sz="4" w:space="0" w:color="auto"/>
            </w:tcBorders>
          </w:tcPr>
          <w:p w14:paraId="26433DAD" w14:textId="42E02A84" w:rsidR="00CA63AF" w:rsidRPr="008F7215" w:rsidRDefault="00D0361F" w:rsidP="00CA63AF">
            <w:pPr>
              <w:rPr>
                <w:rFonts w:ascii="Cambria" w:hAnsi="Cambria"/>
                <w:sz w:val="20"/>
              </w:rPr>
            </w:pPr>
            <w:r>
              <w:rPr>
                <w:rFonts w:ascii="Cambria" w:hAnsi="Cambria"/>
                <w:sz w:val="20"/>
              </w:rPr>
              <w:t>2020</w:t>
            </w:r>
          </w:p>
        </w:tc>
        <w:tc>
          <w:tcPr>
            <w:tcW w:w="1617" w:type="dxa"/>
            <w:tcBorders>
              <w:top w:val="nil"/>
              <w:left w:val="single" w:sz="4" w:space="0" w:color="auto"/>
              <w:bottom w:val="nil"/>
              <w:right w:val="single" w:sz="4" w:space="0" w:color="auto"/>
            </w:tcBorders>
          </w:tcPr>
          <w:p w14:paraId="7CA1CB45" w14:textId="3081A4C7" w:rsidR="00CA63AF" w:rsidRPr="00D0361F" w:rsidRDefault="00CA63AF" w:rsidP="00CA63AF">
            <w:pPr>
              <w:jc w:val="center"/>
              <w:rPr>
                <w:rFonts w:ascii="Cambria" w:hAnsi="Cambria"/>
                <w:iCs/>
                <w:sz w:val="20"/>
              </w:rPr>
            </w:pPr>
            <w:r w:rsidRPr="00D0361F">
              <w:rPr>
                <w:rFonts w:ascii="Cambria" w:hAnsi="Cambria"/>
                <w:iCs/>
                <w:sz w:val="20"/>
              </w:rPr>
              <w:t>-</w:t>
            </w:r>
          </w:p>
        </w:tc>
        <w:tc>
          <w:tcPr>
            <w:tcW w:w="1965" w:type="dxa"/>
            <w:tcBorders>
              <w:top w:val="nil"/>
              <w:left w:val="single" w:sz="4" w:space="0" w:color="auto"/>
              <w:bottom w:val="nil"/>
              <w:right w:val="single" w:sz="4" w:space="0" w:color="auto"/>
            </w:tcBorders>
          </w:tcPr>
          <w:p w14:paraId="380D29DB" w14:textId="27126882" w:rsidR="00CA63AF" w:rsidRDefault="00D0361F" w:rsidP="00CA63AF">
            <w:pPr>
              <w:jc w:val="center"/>
              <w:rPr>
                <w:rFonts w:ascii="Cambria" w:hAnsi="Cambria"/>
                <w:iCs/>
                <w:sz w:val="20"/>
              </w:rPr>
            </w:pPr>
            <w:r>
              <w:rPr>
                <w:rFonts w:ascii="Cambria" w:hAnsi="Cambria"/>
                <w:iCs/>
                <w:sz w:val="20"/>
              </w:rPr>
              <w:t>2,50%</w:t>
            </w:r>
          </w:p>
        </w:tc>
      </w:tr>
      <w:tr w:rsidR="00CA63AF" w:rsidRPr="00A37244" w14:paraId="076DA55F" w14:textId="77777777" w:rsidTr="00CA63AF">
        <w:trPr>
          <w:trHeight w:hRule="exact" w:val="285"/>
          <w:jc w:val="center"/>
        </w:trPr>
        <w:tc>
          <w:tcPr>
            <w:tcW w:w="3539" w:type="dxa"/>
            <w:tcBorders>
              <w:top w:val="nil"/>
              <w:bottom w:val="single" w:sz="4" w:space="0" w:color="auto"/>
            </w:tcBorders>
          </w:tcPr>
          <w:p w14:paraId="53C8277E" w14:textId="77777777" w:rsidR="00CA63AF" w:rsidRPr="008F7215" w:rsidRDefault="00CA63AF" w:rsidP="00CA63AF">
            <w:pPr>
              <w:rPr>
                <w:rFonts w:ascii="Cambria" w:hAnsi="Cambria"/>
                <w:sz w:val="20"/>
              </w:rPr>
            </w:pPr>
            <w:r>
              <w:rPr>
                <w:rFonts w:ascii="Cambria" w:hAnsi="Cambria"/>
                <w:sz w:val="20"/>
              </w:rPr>
              <w:t>S</w:t>
            </w:r>
            <w:r w:rsidRPr="008F7215">
              <w:rPr>
                <w:rFonts w:ascii="Cambria" w:hAnsi="Cambria"/>
                <w:sz w:val="20"/>
              </w:rPr>
              <w:t>iguientes</w:t>
            </w:r>
          </w:p>
        </w:tc>
        <w:tc>
          <w:tcPr>
            <w:tcW w:w="1617" w:type="dxa"/>
            <w:tcBorders>
              <w:top w:val="nil"/>
              <w:bottom w:val="single" w:sz="4" w:space="0" w:color="auto"/>
            </w:tcBorders>
          </w:tcPr>
          <w:p w14:paraId="409FF00E" w14:textId="3746C1B2" w:rsidR="00CA63AF" w:rsidRPr="00D0361F" w:rsidRDefault="00CA63AF" w:rsidP="00CA63AF">
            <w:pPr>
              <w:jc w:val="center"/>
              <w:rPr>
                <w:rFonts w:ascii="Cambria" w:hAnsi="Cambria"/>
                <w:iCs/>
                <w:sz w:val="20"/>
              </w:rPr>
            </w:pPr>
            <w:r w:rsidRPr="00D0361F">
              <w:rPr>
                <w:rFonts w:ascii="Cambria" w:hAnsi="Cambria"/>
                <w:iCs/>
                <w:sz w:val="20"/>
              </w:rPr>
              <w:t>2,50%</w:t>
            </w:r>
          </w:p>
        </w:tc>
        <w:tc>
          <w:tcPr>
            <w:tcW w:w="1965" w:type="dxa"/>
            <w:tcBorders>
              <w:top w:val="nil"/>
              <w:bottom w:val="single" w:sz="4" w:space="0" w:color="auto"/>
            </w:tcBorders>
          </w:tcPr>
          <w:p w14:paraId="112B5C30" w14:textId="75C80EBC" w:rsidR="00CA63AF" w:rsidRPr="008F7215" w:rsidRDefault="00CA63AF" w:rsidP="00CA63AF">
            <w:pPr>
              <w:jc w:val="center"/>
              <w:rPr>
                <w:rFonts w:ascii="Cambria" w:hAnsi="Cambria"/>
                <w:iCs/>
                <w:sz w:val="20"/>
              </w:rPr>
            </w:pPr>
            <w:r>
              <w:rPr>
                <w:rFonts w:ascii="Cambria" w:hAnsi="Cambria"/>
                <w:iCs/>
                <w:sz w:val="20"/>
              </w:rPr>
              <w:t>2,50%</w:t>
            </w:r>
          </w:p>
        </w:tc>
      </w:tr>
    </w:tbl>
    <w:p w14:paraId="146DDE38" w14:textId="77777777" w:rsidR="00887D83" w:rsidRDefault="00887D83">
      <w:pPr>
        <w:keepLines w:val="0"/>
        <w:widowControl/>
        <w:jc w:val="left"/>
        <w:rPr>
          <w:rFonts w:ascii="Cambria" w:hAnsi="Cambria"/>
          <w:szCs w:val="22"/>
          <w:highlight w:val="yellow"/>
        </w:rPr>
      </w:pPr>
    </w:p>
    <w:p w14:paraId="55F2C05E" w14:textId="77777777" w:rsidR="005A258B" w:rsidRDefault="005A258B">
      <w:pPr>
        <w:keepLines w:val="0"/>
        <w:widowControl/>
        <w:jc w:val="left"/>
        <w:rPr>
          <w:rFonts w:ascii="Cambria" w:hAnsi="Cambria"/>
          <w:szCs w:val="22"/>
          <w:highlight w:val="yellow"/>
        </w:rPr>
      </w:pPr>
    </w:p>
    <w:p w14:paraId="5CCAAE90" w14:textId="53D9771D" w:rsidR="00817F19" w:rsidRDefault="007B671C" w:rsidP="00E25A8A">
      <w:pPr>
        <w:pStyle w:val="Ttulo1a"/>
        <w:ind w:left="567"/>
        <w:rPr>
          <w:rFonts w:ascii="Cambria" w:hAnsi="Cambria"/>
          <w:sz w:val="24"/>
          <w:szCs w:val="24"/>
        </w:rPr>
      </w:pPr>
      <w:r>
        <w:rPr>
          <w:rFonts w:ascii="Cambria" w:hAnsi="Cambria"/>
          <w:sz w:val="24"/>
          <w:szCs w:val="24"/>
        </w:rPr>
        <w:t>D</w:t>
      </w:r>
      <w:r w:rsidR="00EA5C2D" w:rsidRPr="005103BD">
        <w:rPr>
          <w:rFonts w:ascii="Cambria" w:hAnsi="Cambria"/>
          <w:sz w:val="24"/>
          <w:szCs w:val="24"/>
        </w:rPr>
        <w:t>urante el ejercicio 20</w:t>
      </w:r>
      <w:r w:rsidR="00CA63AF">
        <w:rPr>
          <w:rFonts w:ascii="Cambria" w:hAnsi="Cambria"/>
          <w:sz w:val="24"/>
          <w:szCs w:val="24"/>
        </w:rPr>
        <w:t>20</w:t>
      </w:r>
      <w:r w:rsidR="00EA5C2D" w:rsidRPr="005103BD">
        <w:rPr>
          <w:rFonts w:ascii="Cambria" w:hAnsi="Cambria"/>
          <w:sz w:val="24"/>
          <w:szCs w:val="24"/>
        </w:rPr>
        <w:t xml:space="preserve">, los pagos de los complementos al personal prejubilado de PRESUR </w:t>
      </w:r>
      <w:r w:rsidR="00234E4A" w:rsidRPr="005103BD">
        <w:rPr>
          <w:rFonts w:ascii="Cambria" w:hAnsi="Cambria"/>
          <w:sz w:val="24"/>
          <w:szCs w:val="24"/>
        </w:rPr>
        <w:t>del</w:t>
      </w:r>
      <w:r w:rsidR="00EA5C2D" w:rsidRPr="005103BD">
        <w:rPr>
          <w:rFonts w:ascii="Cambria" w:hAnsi="Cambria"/>
          <w:sz w:val="24"/>
          <w:szCs w:val="24"/>
        </w:rPr>
        <w:t xml:space="preserve"> ERE de 2005 </w:t>
      </w:r>
      <w:r w:rsidR="00635BC2" w:rsidRPr="005103BD">
        <w:rPr>
          <w:rFonts w:ascii="Cambria" w:hAnsi="Cambria"/>
          <w:sz w:val="24"/>
          <w:szCs w:val="24"/>
        </w:rPr>
        <w:t xml:space="preserve">han </w:t>
      </w:r>
      <w:r w:rsidR="00635BC2" w:rsidRPr="007B671C">
        <w:rPr>
          <w:rFonts w:ascii="Cambria" w:hAnsi="Cambria"/>
          <w:sz w:val="24"/>
          <w:szCs w:val="24"/>
          <w:shd w:val="clear" w:color="auto" w:fill="FFFFFF" w:themeFill="background1"/>
        </w:rPr>
        <w:t>ascendido</w:t>
      </w:r>
      <w:r w:rsidR="00EA5C2D" w:rsidRPr="007B671C">
        <w:rPr>
          <w:rFonts w:ascii="Cambria" w:hAnsi="Cambria"/>
          <w:sz w:val="24"/>
          <w:szCs w:val="24"/>
          <w:shd w:val="clear" w:color="auto" w:fill="FFFFFF" w:themeFill="background1"/>
        </w:rPr>
        <w:t xml:space="preserve"> </w:t>
      </w:r>
      <w:r w:rsidR="00EA5C2D" w:rsidRPr="00595DE2">
        <w:rPr>
          <w:rFonts w:ascii="Cambria" w:hAnsi="Cambria"/>
          <w:sz w:val="24"/>
          <w:szCs w:val="24"/>
          <w:shd w:val="clear" w:color="auto" w:fill="FFFFFF" w:themeFill="background1"/>
        </w:rPr>
        <w:t xml:space="preserve">a </w:t>
      </w:r>
      <w:r w:rsidR="007400C4" w:rsidRPr="00595DE2">
        <w:rPr>
          <w:rFonts w:ascii="Cambria" w:hAnsi="Cambria"/>
          <w:sz w:val="24"/>
          <w:szCs w:val="24"/>
          <w:shd w:val="clear" w:color="auto" w:fill="FFFFFF" w:themeFill="background1"/>
        </w:rPr>
        <w:t>1.</w:t>
      </w:r>
      <w:r w:rsidR="00CA63AF">
        <w:rPr>
          <w:rFonts w:ascii="Cambria" w:hAnsi="Cambria"/>
          <w:sz w:val="24"/>
          <w:szCs w:val="24"/>
          <w:shd w:val="clear" w:color="auto" w:fill="FFFFFF" w:themeFill="background1"/>
        </w:rPr>
        <w:t>871</w:t>
      </w:r>
      <w:r w:rsidR="00D0361F">
        <w:rPr>
          <w:rFonts w:ascii="Cambria" w:hAnsi="Cambria"/>
          <w:sz w:val="24"/>
          <w:szCs w:val="24"/>
          <w:shd w:val="clear" w:color="auto" w:fill="FFFFFF" w:themeFill="background1"/>
        </w:rPr>
        <w:t xml:space="preserve"> </w:t>
      </w:r>
      <w:r w:rsidR="00234E4A" w:rsidRPr="00595DE2">
        <w:rPr>
          <w:rFonts w:ascii="Cambria" w:hAnsi="Cambria"/>
          <w:sz w:val="24"/>
          <w:szCs w:val="24"/>
          <w:shd w:val="clear" w:color="auto" w:fill="FFFFFF" w:themeFill="background1"/>
        </w:rPr>
        <w:t>miles de euros</w:t>
      </w:r>
      <w:r w:rsidR="00234E4A" w:rsidRPr="00595DE2">
        <w:rPr>
          <w:rFonts w:ascii="Cambria" w:hAnsi="Cambria"/>
          <w:sz w:val="24"/>
          <w:szCs w:val="24"/>
        </w:rPr>
        <w:t xml:space="preserve"> (</w:t>
      </w:r>
      <w:r w:rsidR="005A7B0B" w:rsidRPr="00595DE2">
        <w:rPr>
          <w:rFonts w:ascii="Cambria" w:hAnsi="Cambria"/>
          <w:sz w:val="24"/>
          <w:szCs w:val="24"/>
        </w:rPr>
        <w:t>1</w:t>
      </w:r>
      <w:r w:rsidR="005103BD" w:rsidRPr="00595DE2">
        <w:rPr>
          <w:rFonts w:ascii="Cambria" w:hAnsi="Cambria"/>
          <w:sz w:val="24"/>
          <w:szCs w:val="24"/>
        </w:rPr>
        <w:t>.</w:t>
      </w:r>
      <w:r w:rsidR="00CA63AF">
        <w:rPr>
          <w:rFonts w:ascii="Cambria" w:hAnsi="Cambria"/>
          <w:sz w:val="24"/>
          <w:szCs w:val="24"/>
        </w:rPr>
        <w:t>956</w:t>
      </w:r>
      <w:r w:rsidR="007400C4" w:rsidRPr="005103BD">
        <w:rPr>
          <w:rFonts w:ascii="Cambria" w:hAnsi="Cambria"/>
          <w:sz w:val="24"/>
          <w:szCs w:val="24"/>
        </w:rPr>
        <w:t xml:space="preserve"> </w:t>
      </w:r>
      <w:r w:rsidR="00EA5C2D" w:rsidRPr="005103BD">
        <w:rPr>
          <w:rFonts w:ascii="Cambria" w:hAnsi="Cambria"/>
          <w:sz w:val="24"/>
          <w:szCs w:val="24"/>
        </w:rPr>
        <w:t>miles de euros</w:t>
      </w:r>
      <w:r w:rsidR="00234E4A" w:rsidRPr="005103BD">
        <w:rPr>
          <w:rFonts w:ascii="Cambria" w:hAnsi="Cambria"/>
          <w:sz w:val="24"/>
          <w:szCs w:val="24"/>
        </w:rPr>
        <w:t xml:space="preserve"> en 201</w:t>
      </w:r>
      <w:r w:rsidR="00CA63AF">
        <w:rPr>
          <w:rFonts w:ascii="Cambria" w:hAnsi="Cambria"/>
          <w:sz w:val="24"/>
          <w:szCs w:val="24"/>
        </w:rPr>
        <w:t>9</w:t>
      </w:r>
      <w:r w:rsidR="00234E4A" w:rsidRPr="005103BD">
        <w:rPr>
          <w:rFonts w:ascii="Cambria" w:hAnsi="Cambria"/>
          <w:sz w:val="24"/>
          <w:szCs w:val="24"/>
        </w:rPr>
        <w:t>)</w:t>
      </w:r>
      <w:r w:rsidR="00EA5C2D" w:rsidRPr="005103BD">
        <w:rPr>
          <w:rFonts w:ascii="Cambria" w:hAnsi="Cambria"/>
          <w:sz w:val="24"/>
          <w:szCs w:val="24"/>
        </w:rPr>
        <w:t xml:space="preserve">. </w:t>
      </w:r>
      <w:r w:rsidR="00FD149E" w:rsidRPr="00595DE2">
        <w:rPr>
          <w:rFonts w:ascii="Cambria" w:hAnsi="Cambria"/>
          <w:sz w:val="24"/>
          <w:szCs w:val="24"/>
        </w:rPr>
        <w:t>De acuerdo con el estudio actuarial efectuado</w:t>
      </w:r>
      <w:r w:rsidR="00234E4A" w:rsidRPr="00595DE2">
        <w:rPr>
          <w:rFonts w:ascii="Cambria" w:hAnsi="Cambria"/>
          <w:sz w:val="24"/>
          <w:szCs w:val="24"/>
        </w:rPr>
        <w:t xml:space="preserve"> al cierre del ejercicio</w:t>
      </w:r>
      <w:r w:rsidR="007400C4" w:rsidRPr="00595DE2">
        <w:rPr>
          <w:rFonts w:ascii="Cambria" w:hAnsi="Cambria"/>
          <w:sz w:val="24"/>
          <w:szCs w:val="24"/>
        </w:rPr>
        <w:t xml:space="preserve"> </w:t>
      </w:r>
      <w:r w:rsidR="00824BAA" w:rsidRPr="00595DE2">
        <w:rPr>
          <w:rFonts w:ascii="Cambria" w:hAnsi="Cambria"/>
          <w:sz w:val="24"/>
          <w:szCs w:val="24"/>
        </w:rPr>
        <w:t>20</w:t>
      </w:r>
      <w:r w:rsidR="00CA63AF">
        <w:rPr>
          <w:rFonts w:ascii="Cambria" w:hAnsi="Cambria"/>
          <w:sz w:val="24"/>
          <w:szCs w:val="24"/>
        </w:rPr>
        <w:t>20</w:t>
      </w:r>
      <w:r w:rsidR="00FD149E" w:rsidRPr="00595DE2">
        <w:rPr>
          <w:rFonts w:ascii="Cambria" w:hAnsi="Cambria"/>
          <w:sz w:val="24"/>
          <w:szCs w:val="24"/>
        </w:rPr>
        <w:t>, se</w:t>
      </w:r>
      <w:r w:rsidR="005103BD" w:rsidRPr="00595DE2">
        <w:rPr>
          <w:rFonts w:ascii="Cambria" w:hAnsi="Cambria"/>
          <w:sz w:val="24"/>
          <w:szCs w:val="24"/>
        </w:rPr>
        <w:t xml:space="preserve"> ha</w:t>
      </w:r>
      <w:r w:rsidR="00FD149E" w:rsidRPr="00595DE2">
        <w:rPr>
          <w:rFonts w:ascii="Cambria" w:hAnsi="Cambria"/>
          <w:sz w:val="24"/>
          <w:szCs w:val="24"/>
        </w:rPr>
        <w:t xml:space="preserve"> </w:t>
      </w:r>
      <w:r w:rsidR="005103BD" w:rsidRPr="00595DE2">
        <w:rPr>
          <w:rFonts w:ascii="Cambria" w:hAnsi="Cambria"/>
          <w:sz w:val="24"/>
          <w:szCs w:val="24"/>
        </w:rPr>
        <w:t>imputado</w:t>
      </w:r>
      <w:r w:rsidR="00234E4A" w:rsidRPr="00595DE2">
        <w:rPr>
          <w:rFonts w:ascii="Cambria" w:hAnsi="Cambria"/>
          <w:sz w:val="24"/>
          <w:szCs w:val="24"/>
        </w:rPr>
        <w:t xml:space="preserve"> directamente a patrimonio un </w:t>
      </w:r>
      <w:r w:rsidR="005A7B0B" w:rsidRPr="00595DE2">
        <w:rPr>
          <w:rFonts w:ascii="Cambria" w:hAnsi="Cambria"/>
          <w:sz w:val="24"/>
          <w:szCs w:val="24"/>
        </w:rPr>
        <w:t>importe</w:t>
      </w:r>
      <w:r w:rsidR="00234E4A" w:rsidRPr="00595DE2">
        <w:rPr>
          <w:rFonts w:ascii="Cambria" w:hAnsi="Cambria"/>
          <w:sz w:val="24"/>
          <w:szCs w:val="24"/>
        </w:rPr>
        <w:t xml:space="preserve"> </w:t>
      </w:r>
      <w:r w:rsidR="00595DE2" w:rsidRPr="00595DE2">
        <w:rPr>
          <w:rFonts w:ascii="Cambria" w:hAnsi="Cambria"/>
          <w:sz w:val="24"/>
          <w:szCs w:val="24"/>
        </w:rPr>
        <w:t xml:space="preserve">negativo </w:t>
      </w:r>
      <w:r w:rsidR="00234E4A" w:rsidRPr="00595DE2">
        <w:rPr>
          <w:rFonts w:ascii="Cambria" w:hAnsi="Cambria"/>
          <w:sz w:val="24"/>
          <w:szCs w:val="24"/>
        </w:rPr>
        <w:t xml:space="preserve">de </w:t>
      </w:r>
      <w:r w:rsidR="00CA63AF">
        <w:rPr>
          <w:rFonts w:ascii="Cambria" w:hAnsi="Cambria"/>
          <w:sz w:val="24"/>
          <w:szCs w:val="24"/>
        </w:rPr>
        <w:t>20</w:t>
      </w:r>
      <w:r w:rsidRPr="00595DE2">
        <w:rPr>
          <w:rFonts w:ascii="Cambria" w:hAnsi="Cambria"/>
          <w:sz w:val="24"/>
          <w:szCs w:val="24"/>
        </w:rPr>
        <w:t xml:space="preserve"> </w:t>
      </w:r>
      <w:r w:rsidR="00234E4A" w:rsidRPr="00595DE2">
        <w:rPr>
          <w:rFonts w:ascii="Cambria" w:hAnsi="Cambria"/>
          <w:sz w:val="24"/>
          <w:szCs w:val="24"/>
        </w:rPr>
        <w:t>mil</w:t>
      </w:r>
      <w:r w:rsidR="00B34974" w:rsidRPr="00595DE2">
        <w:rPr>
          <w:rFonts w:ascii="Cambria" w:hAnsi="Cambria"/>
          <w:sz w:val="24"/>
          <w:szCs w:val="24"/>
        </w:rPr>
        <w:t>es de</w:t>
      </w:r>
      <w:r w:rsidR="00234E4A" w:rsidRPr="00595DE2">
        <w:rPr>
          <w:rFonts w:ascii="Cambria" w:hAnsi="Cambria"/>
          <w:sz w:val="24"/>
          <w:szCs w:val="24"/>
        </w:rPr>
        <w:t xml:space="preserve"> euros</w:t>
      </w:r>
      <w:r w:rsidR="005103BD" w:rsidRPr="00595DE2">
        <w:rPr>
          <w:rFonts w:ascii="Cambria" w:hAnsi="Cambria"/>
          <w:sz w:val="24"/>
          <w:szCs w:val="24"/>
        </w:rPr>
        <w:t xml:space="preserve"> (</w:t>
      </w:r>
      <w:r w:rsidR="00CA63AF">
        <w:rPr>
          <w:rFonts w:ascii="Cambria" w:hAnsi="Cambria"/>
          <w:sz w:val="24"/>
          <w:szCs w:val="24"/>
        </w:rPr>
        <w:t>56</w:t>
      </w:r>
      <w:r w:rsidR="0076456E">
        <w:rPr>
          <w:rFonts w:ascii="Cambria" w:hAnsi="Cambria"/>
          <w:sz w:val="24"/>
          <w:szCs w:val="24"/>
        </w:rPr>
        <w:t xml:space="preserve"> miles de euros </w:t>
      </w:r>
      <w:r w:rsidR="005103BD" w:rsidRPr="007B671C">
        <w:rPr>
          <w:rFonts w:ascii="Cambria" w:hAnsi="Cambria"/>
          <w:sz w:val="24"/>
          <w:szCs w:val="24"/>
        </w:rPr>
        <w:t>en 201</w:t>
      </w:r>
      <w:r w:rsidR="00CA63AF">
        <w:rPr>
          <w:rFonts w:ascii="Cambria" w:hAnsi="Cambria"/>
          <w:sz w:val="24"/>
          <w:szCs w:val="24"/>
        </w:rPr>
        <w:t>9</w:t>
      </w:r>
      <w:r w:rsidR="005103BD" w:rsidRPr="007B671C">
        <w:rPr>
          <w:rFonts w:ascii="Cambria" w:hAnsi="Cambria"/>
          <w:sz w:val="24"/>
          <w:szCs w:val="24"/>
        </w:rPr>
        <w:t>)</w:t>
      </w:r>
      <w:r w:rsidR="00635BC2" w:rsidRPr="007B671C">
        <w:rPr>
          <w:rFonts w:ascii="Cambria" w:hAnsi="Cambria"/>
          <w:sz w:val="24"/>
          <w:szCs w:val="24"/>
        </w:rPr>
        <w:t>, neto del efecto impositivo</w:t>
      </w:r>
      <w:r w:rsidR="007400C4" w:rsidRPr="007B671C">
        <w:rPr>
          <w:rFonts w:ascii="Cambria" w:hAnsi="Cambria"/>
          <w:sz w:val="24"/>
          <w:szCs w:val="24"/>
        </w:rPr>
        <w:t xml:space="preserve"> por variación de las hipótesis actuariales.</w:t>
      </w:r>
    </w:p>
    <w:p w14:paraId="0D536196" w14:textId="52D36293" w:rsidR="00CA63AF" w:rsidRDefault="00CA63AF" w:rsidP="00CA63AF"/>
    <w:p w14:paraId="12798C41" w14:textId="38A13513" w:rsidR="00CA63AF" w:rsidRPr="00CA63AF" w:rsidRDefault="00CA63AF" w:rsidP="00CA63AF">
      <w:pPr>
        <w:pStyle w:val="Ttulo1a"/>
        <w:ind w:left="567"/>
        <w:rPr>
          <w:rFonts w:ascii="Cambria" w:hAnsi="Cambria"/>
          <w:sz w:val="24"/>
          <w:szCs w:val="24"/>
        </w:rPr>
      </w:pPr>
      <w:r w:rsidRPr="00595DE2">
        <w:rPr>
          <w:rFonts w:ascii="Cambria" w:hAnsi="Cambria"/>
          <w:sz w:val="24"/>
          <w:szCs w:val="24"/>
        </w:rPr>
        <w:t>En los ejercicios 20</w:t>
      </w:r>
      <w:r>
        <w:rPr>
          <w:rFonts w:ascii="Cambria" w:hAnsi="Cambria"/>
          <w:sz w:val="24"/>
          <w:szCs w:val="24"/>
        </w:rPr>
        <w:t>20</w:t>
      </w:r>
      <w:r w:rsidRPr="00595DE2">
        <w:rPr>
          <w:rFonts w:ascii="Cambria" w:hAnsi="Cambria"/>
          <w:sz w:val="24"/>
          <w:szCs w:val="24"/>
        </w:rPr>
        <w:t xml:space="preserve"> no ha habido gasto financiero por la actualización de la provisión</w:t>
      </w:r>
      <w:r w:rsidR="00561394">
        <w:rPr>
          <w:rFonts w:ascii="Cambria" w:hAnsi="Cambria"/>
          <w:sz w:val="24"/>
          <w:szCs w:val="24"/>
        </w:rPr>
        <w:t>, (en 2019 hubo un gasto financiero de 5 miles de euros).</w:t>
      </w:r>
    </w:p>
    <w:p w14:paraId="6697B10A" w14:textId="77777777" w:rsidR="005A258B" w:rsidRDefault="005A258B">
      <w:pPr>
        <w:keepLines w:val="0"/>
        <w:widowControl/>
        <w:jc w:val="left"/>
        <w:rPr>
          <w:rFonts w:ascii="Cambria" w:hAnsi="Cambria"/>
          <w:sz w:val="24"/>
          <w:szCs w:val="24"/>
        </w:rPr>
      </w:pPr>
      <w:r>
        <w:rPr>
          <w:rFonts w:ascii="Cambria" w:hAnsi="Cambria"/>
          <w:sz w:val="24"/>
          <w:szCs w:val="24"/>
        </w:rPr>
        <w:br w:type="page"/>
      </w:r>
    </w:p>
    <w:p w14:paraId="646FA798" w14:textId="77777777" w:rsidR="008A1057" w:rsidRPr="005103BD" w:rsidRDefault="008A1057" w:rsidP="00E25A8A">
      <w:pPr>
        <w:pStyle w:val="Ttulo1a"/>
        <w:ind w:left="567"/>
        <w:rPr>
          <w:rFonts w:ascii="Cambria" w:hAnsi="Cambria"/>
          <w:sz w:val="24"/>
          <w:szCs w:val="24"/>
        </w:rPr>
      </w:pPr>
    </w:p>
    <w:p w14:paraId="2A7D5FB1" w14:textId="77777777" w:rsidR="00E573BC" w:rsidRPr="005103BD" w:rsidRDefault="00E573BC" w:rsidP="0060571A">
      <w:pPr>
        <w:pStyle w:val="Ttulo2"/>
        <w:keepNext/>
        <w:numPr>
          <w:ilvl w:val="0"/>
          <w:numId w:val="16"/>
        </w:numPr>
        <w:ind w:left="993" w:hanging="426"/>
        <w:rPr>
          <w:rFonts w:ascii="Cambria" w:hAnsi="Cambria"/>
          <w:b w:val="0"/>
          <w:i/>
          <w:sz w:val="24"/>
          <w:szCs w:val="24"/>
          <w:lang w:val="es-ES"/>
        </w:rPr>
      </w:pPr>
      <w:r w:rsidRPr="005103BD">
        <w:rPr>
          <w:rFonts w:ascii="Cambria" w:hAnsi="Cambria"/>
          <w:b w:val="0"/>
          <w:i/>
          <w:sz w:val="24"/>
          <w:szCs w:val="24"/>
          <w:lang w:val="es-ES"/>
        </w:rPr>
        <w:t>Ayudas previas y cotizaciones adicionales del personal prejubilado de AHV.</w:t>
      </w:r>
    </w:p>
    <w:p w14:paraId="26CCCB3D" w14:textId="77777777" w:rsidR="00E573BC" w:rsidRPr="005103BD" w:rsidRDefault="00E573BC" w:rsidP="00E25A8A">
      <w:pPr>
        <w:pStyle w:val="Ttulo1a"/>
        <w:ind w:left="567"/>
        <w:rPr>
          <w:rFonts w:ascii="Cambria" w:hAnsi="Cambria"/>
          <w:sz w:val="24"/>
          <w:szCs w:val="24"/>
        </w:rPr>
      </w:pPr>
    </w:p>
    <w:p w14:paraId="199DB702" w14:textId="6D70E4C3" w:rsidR="00E25A8A" w:rsidRPr="005103BD" w:rsidRDefault="0096272F" w:rsidP="002D6127">
      <w:pPr>
        <w:pStyle w:val="Ttulo1a"/>
        <w:ind w:left="567"/>
        <w:rPr>
          <w:rFonts w:ascii="Cambria" w:hAnsi="Cambria"/>
          <w:sz w:val="24"/>
          <w:szCs w:val="24"/>
        </w:rPr>
      </w:pPr>
      <w:r w:rsidRPr="005103BD">
        <w:rPr>
          <w:rFonts w:ascii="Cambria" w:hAnsi="Cambria"/>
          <w:sz w:val="24"/>
          <w:szCs w:val="24"/>
        </w:rPr>
        <w:t xml:space="preserve">Esta provisión recoge las cotizaciones adicionales a </w:t>
      </w:r>
      <w:smartTag w:uri="urn:schemas-microsoft-com:office:smarttags" w:element="PersonName">
        <w:smartTagPr>
          <w:attr w:name="ProductID" w:val="la Seguridad Social"/>
        </w:smartTagPr>
        <w:r w:rsidRPr="005103BD">
          <w:rPr>
            <w:rFonts w:ascii="Cambria" w:hAnsi="Cambria"/>
            <w:sz w:val="24"/>
            <w:szCs w:val="24"/>
          </w:rPr>
          <w:t>la Seguridad Social</w:t>
        </w:r>
      </w:smartTag>
      <w:r w:rsidRPr="005103BD">
        <w:rPr>
          <w:rFonts w:ascii="Cambria" w:hAnsi="Cambria"/>
          <w:sz w:val="24"/>
          <w:szCs w:val="24"/>
        </w:rPr>
        <w:t xml:space="preserve"> y las Ayudas Previas a la jubilación ordinaria del</w:t>
      </w:r>
      <w:r w:rsidR="00712D9F" w:rsidRPr="005103BD">
        <w:rPr>
          <w:rFonts w:ascii="Cambria" w:hAnsi="Cambria"/>
          <w:sz w:val="24"/>
          <w:szCs w:val="24"/>
        </w:rPr>
        <w:t xml:space="preserve"> personal prejubilado</w:t>
      </w:r>
      <w:r w:rsidR="00733529" w:rsidRPr="005103BD">
        <w:rPr>
          <w:rFonts w:ascii="Cambria" w:hAnsi="Cambria"/>
          <w:sz w:val="24"/>
          <w:szCs w:val="24"/>
        </w:rPr>
        <w:t xml:space="preserve"> de AHV</w:t>
      </w:r>
      <w:r w:rsidR="00712D9F" w:rsidRPr="005103BD">
        <w:rPr>
          <w:rFonts w:ascii="Cambria" w:hAnsi="Cambria"/>
          <w:sz w:val="24"/>
          <w:szCs w:val="24"/>
        </w:rPr>
        <w:t xml:space="preserve"> asegurado mediante la póliza señalada en </w:t>
      </w:r>
      <w:smartTag w:uri="urn:schemas-microsoft-com:office:smarttags" w:element="PersonName">
        <w:smartTagPr>
          <w:attr w:name="ProductID" w:val="la Nota"/>
        </w:smartTagPr>
        <w:r w:rsidR="00712D9F" w:rsidRPr="005103BD">
          <w:rPr>
            <w:rFonts w:ascii="Cambria" w:hAnsi="Cambria"/>
            <w:sz w:val="24"/>
            <w:szCs w:val="24"/>
          </w:rPr>
          <w:t>la Nota</w:t>
        </w:r>
      </w:smartTag>
      <w:r w:rsidR="00712D9F" w:rsidRPr="005103BD">
        <w:rPr>
          <w:rFonts w:ascii="Cambria" w:hAnsi="Cambria"/>
          <w:sz w:val="24"/>
          <w:szCs w:val="24"/>
        </w:rPr>
        <w:t xml:space="preserve"> 8.2. Durante el ejercicio 20</w:t>
      </w:r>
      <w:r w:rsidR="00CA63AF">
        <w:rPr>
          <w:rFonts w:ascii="Cambria" w:hAnsi="Cambria"/>
          <w:sz w:val="24"/>
          <w:szCs w:val="24"/>
        </w:rPr>
        <w:t>20</w:t>
      </w:r>
      <w:r w:rsidR="00712D9F" w:rsidRPr="005103BD">
        <w:rPr>
          <w:rFonts w:ascii="Cambria" w:hAnsi="Cambria"/>
          <w:sz w:val="24"/>
          <w:szCs w:val="24"/>
        </w:rPr>
        <w:t xml:space="preserve">, los pagos efectuados por la Sociedad por ayudas previas y </w:t>
      </w:r>
      <w:r w:rsidRPr="005103BD">
        <w:rPr>
          <w:rFonts w:ascii="Cambria" w:hAnsi="Cambria"/>
          <w:sz w:val="24"/>
          <w:szCs w:val="24"/>
        </w:rPr>
        <w:t xml:space="preserve">cotizaciones adicionales han </w:t>
      </w:r>
      <w:r w:rsidRPr="00595DE2">
        <w:rPr>
          <w:rFonts w:ascii="Cambria" w:hAnsi="Cambria"/>
          <w:sz w:val="24"/>
          <w:szCs w:val="24"/>
        </w:rPr>
        <w:t xml:space="preserve">ascendido </w:t>
      </w:r>
      <w:r w:rsidR="00712D9F" w:rsidRPr="00595DE2">
        <w:rPr>
          <w:rFonts w:ascii="Cambria" w:hAnsi="Cambria"/>
          <w:sz w:val="24"/>
          <w:szCs w:val="24"/>
        </w:rPr>
        <w:t xml:space="preserve">a </w:t>
      </w:r>
      <w:r w:rsidR="00595DE2" w:rsidRPr="00595DE2">
        <w:rPr>
          <w:rFonts w:ascii="Cambria" w:hAnsi="Cambria"/>
          <w:sz w:val="24"/>
          <w:szCs w:val="24"/>
        </w:rPr>
        <w:t>7</w:t>
      </w:r>
      <w:r w:rsidR="00CA63AF">
        <w:rPr>
          <w:rFonts w:ascii="Cambria" w:hAnsi="Cambria"/>
          <w:sz w:val="24"/>
          <w:szCs w:val="24"/>
        </w:rPr>
        <w:t>0</w:t>
      </w:r>
      <w:r w:rsidR="00712D9F" w:rsidRPr="00595DE2">
        <w:rPr>
          <w:rFonts w:ascii="Cambria" w:hAnsi="Cambria"/>
          <w:sz w:val="24"/>
          <w:szCs w:val="24"/>
        </w:rPr>
        <w:t xml:space="preserve"> miles de euros</w:t>
      </w:r>
      <w:r w:rsidR="00AC7DA3" w:rsidRPr="00595DE2">
        <w:rPr>
          <w:rFonts w:ascii="Cambria" w:hAnsi="Cambria"/>
          <w:sz w:val="24"/>
          <w:szCs w:val="24"/>
        </w:rPr>
        <w:t xml:space="preserve"> (</w:t>
      </w:r>
      <w:r w:rsidR="00CA63AF">
        <w:rPr>
          <w:rFonts w:ascii="Cambria" w:hAnsi="Cambria"/>
          <w:sz w:val="24"/>
          <w:szCs w:val="24"/>
        </w:rPr>
        <w:t>73</w:t>
      </w:r>
      <w:r w:rsidR="00AC7DA3" w:rsidRPr="00595DE2">
        <w:rPr>
          <w:rFonts w:ascii="Cambria" w:hAnsi="Cambria"/>
          <w:sz w:val="24"/>
          <w:szCs w:val="24"/>
        </w:rPr>
        <w:t xml:space="preserve"> miles de euros en 201</w:t>
      </w:r>
      <w:r w:rsidR="00CA63AF">
        <w:rPr>
          <w:rFonts w:ascii="Cambria" w:hAnsi="Cambria"/>
          <w:sz w:val="24"/>
          <w:szCs w:val="24"/>
        </w:rPr>
        <w:t>9</w:t>
      </w:r>
      <w:r w:rsidR="00AC7DA3" w:rsidRPr="00595DE2">
        <w:rPr>
          <w:rFonts w:ascii="Cambria" w:hAnsi="Cambria"/>
          <w:sz w:val="24"/>
          <w:szCs w:val="24"/>
        </w:rPr>
        <w:t>)</w:t>
      </w:r>
      <w:r w:rsidR="00712D9F" w:rsidRPr="00595DE2">
        <w:rPr>
          <w:rFonts w:ascii="Cambria" w:hAnsi="Cambria"/>
          <w:sz w:val="24"/>
          <w:szCs w:val="24"/>
        </w:rPr>
        <w:t>.</w:t>
      </w:r>
    </w:p>
    <w:p w14:paraId="52828504" w14:textId="77777777" w:rsidR="00AC7DA3" w:rsidRPr="00A37244" w:rsidRDefault="00AC7DA3" w:rsidP="00E25A8A">
      <w:pPr>
        <w:pStyle w:val="Ttulo1a"/>
        <w:ind w:left="567"/>
        <w:rPr>
          <w:rFonts w:ascii="Cambria" w:hAnsi="Cambria"/>
          <w:sz w:val="24"/>
          <w:szCs w:val="24"/>
          <w:highlight w:val="yellow"/>
        </w:rPr>
      </w:pPr>
    </w:p>
    <w:p w14:paraId="7435DA9E" w14:textId="77777777" w:rsidR="00AC7DA3" w:rsidRPr="005103BD" w:rsidRDefault="00AC7DA3" w:rsidP="00E25A8A">
      <w:pPr>
        <w:pStyle w:val="Ttulo1a"/>
        <w:ind w:left="567"/>
        <w:rPr>
          <w:rFonts w:ascii="Cambria" w:hAnsi="Cambria"/>
          <w:sz w:val="24"/>
          <w:szCs w:val="24"/>
        </w:rPr>
      </w:pPr>
      <w:r w:rsidRPr="005103BD">
        <w:rPr>
          <w:rFonts w:ascii="Cambria" w:hAnsi="Cambria"/>
          <w:sz w:val="24"/>
          <w:szCs w:val="24"/>
        </w:rPr>
        <w:t>El valor actual de los compromisos ha sido determinado por actuarios cualificados, quienes han aplicado para su cuantificación los siguientes criterios:</w:t>
      </w:r>
    </w:p>
    <w:p w14:paraId="5110DC61" w14:textId="73F007A5" w:rsidR="008A1057" w:rsidRPr="005103BD" w:rsidRDefault="008A1057" w:rsidP="00C43D60">
      <w:pPr>
        <w:pStyle w:val="Ttulo1a"/>
        <w:ind w:left="567"/>
        <w:rPr>
          <w:rFonts w:ascii="Cambria" w:hAnsi="Cambria"/>
          <w:sz w:val="24"/>
          <w:szCs w:val="24"/>
        </w:rPr>
      </w:pPr>
    </w:p>
    <w:p w14:paraId="0EE34E2E" w14:textId="77777777" w:rsidR="00F238B0" w:rsidRPr="005103BD" w:rsidRDefault="00F238B0" w:rsidP="00E25A8A">
      <w:pPr>
        <w:ind w:left="567"/>
        <w:rPr>
          <w:rFonts w:ascii="Cambria" w:hAnsi="Cambria"/>
          <w:sz w:val="24"/>
          <w:u w:val="single"/>
        </w:rPr>
      </w:pPr>
      <w:r w:rsidRPr="005103BD">
        <w:rPr>
          <w:rFonts w:ascii="Cambria" w:hAnsi="Cambria"/>
          <w:sz w:val="24"/>
          <w:u w:val="single"/>
        </w:rPr>
        <w:t>Hipótesis actuariales utilizadas:</w:t>
      </w:r>
    </w:p>
    <w:p w14:paraId="413B057D" w14:textId="77777777" w:rsidR="00F238B0" w:rsidRPr="00A37244" w:rsidRDefault="00F238B0" w:rsidP="00F238B0">
      <w:pPr>
        <w:ind w:left="720"/>
        <w:rPr>
          <w:rFonts w:ascii="Cambria" w:hAnsi="Cambria"/>
          <w:sz w:val="24"/>
          <w:szCs w:val="22"/>
          <w:highlight w:val="yellow"/>
          <w:u w:val="single"/>
        </w:rPr>
      </w:pPr>
    </w:p>
    <w:tbl>
      <w:tblPr>
        <w:tblW w:w="6527"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2449"/>
        <w:gridCol w:w="1528"/>
      </w:tblGrid>
      <w:tr w:rsidR="00CA63AF" w:rsidRPr="00A37244" w14:paraId="02ABB7A6" w14:textId="77777777" w:rsidTr="00366E19">
        <w:trPr>
          <w:trHeight w:hRule="exact" w:val="283"/>
        </w:trPr>
        <w:tc>
          <w:tcPr>
            <w:tcW w:w="2550" w:type="dxa"/>
            <w:tcBorders>
              <w:bottom w:val="single" w:sz="4" w:space="0" w:color="auto"/>
            </w:tcBorders>
            <w:vAlign w:val="bottom"/>
          </w:tcPr>
          <w:p w14:paraId="104E70E4" w14:textId="77777777" w:rsidR="00CA63AF" w:rsidRPr="005103BD" w:rsidRDefault="00CA63AF" w:rsidP="00CA63AF">
            <w:pPr>
              <w:jc w:val="center"/>
              <w:rPr>
                <w:rFonts w:ascii="Cambria" w:hAnsi="Cambria"/>
                <w:b/>
                <w:bCs/>
                <w:sz w:val="20"/>
                <w:szCs w:val="22"/>
              </w:rPr>
            </w:pPr>
            <w:r w:rsidRPr="005103BD">
              <w:rPr>
                <w:rFonts w:ascii="Cambria" w:hAnsi="Cambria"/>
                <w:b/>
                <w:bCs/>
                <w:sz w:val="20"/>
                <w:szCs w:val="22"/>
              </w:rPr>
              <w:t>Hipótesis actuariales</w:t>
            </w:r>
          </w:p>
        </w:tc>
        <w:tc>
          <w:tcPr>
            <w:tcW w:w="2449" w:type="dxa"/>
            <w:tcBorders>
              <w:bottom w:val="single" w:sz="4" w:space="0" w:color="auto"/>
            </w:tcBorders>
          </w:tcPr>
          <w:p w14:paraId="2C4DA48F" w14:textId="7B072681" w:rsidR="00CA63AF" w:rsidRPr="00366E19" w:rsidRDefault="00CA63AF" w:rsidP="00CA63AF">
            <w:pPr>
              <w:jc w:val="center"/>
              <w:rPr>
                <w:rFonts w:ascii="Cambria" w:hAnsi="Cambria"/>
                <w:b/>
                <w:bCs/>
                <w:sz w:val="20"/>
                <w:szCs w:val="22"/>
              </w:rPr>
            </w:pPr>
            <w:r w:rsidRPr="00366E19">
              <w:rPr>
                <w:rFonts w:ascii="Cambria" w:hAnsi="Cambria"/>
                <w:b/>
                <w:bCs/>
                <w:sz w:val="20"/>
                <w:szCs w:val="22"/>
              </w:rPr>
              <w:t>2020</w:t>
            </w:r>
          </w:p>
        </w:tc>
        <w:tc>
          <w:tcPr>
            <w:tcW w:w="1528" w:type="dxa"/>
            <w:tcBorders>
              <w:bottom w:val="single" w:sz="4" w:space="0" w:color="auto"/>
            </w:tcBorders>
          </w:tcPr>
          <w:p w14:paraId="59944C1A" w14:textId="73FBD2AD" w:rsidR="00CA63AF" w:rsidRDefault="00CA63AF" w:rsidP="00CA63AF">
            <w:pPr>
              <w:jc w:val="center"/>
              <w:rPr>
                <w:rFonts w:ascii="Cambria" w:hAnsi="Cambria"/>
                <w:b/>
                <w:bCs/>
                <w:sz w:val="20"/>
                <w:szCs w:val="22"/>
              </w:rPr>
            </w:pPr>
            <w:r>
              <w:rPr>
                <w:rFonts w:ascii="Cambria" w:hAnsi="Cambria"/>
                <w:b/>
                <w:bCs/>
                <w:sz w:val="20"/>
                <w:szCs w:val="22"/>
              </w:rPr>
              <w:t>2019</w:t>
            </w:r>
          </w:p>
        </w:tc>
      </w:tr>
      <w:tr w:rsidR="00CA63AF" w:rsidRPr="00A37244" w14:paraId="6810B42E" w14:textId="77777777" w:rsidTr="00366E19">
        <w:trPr>
          <w:trHeight w:hRule="exact" w:val="227"/>
        </w:trPr>
        <w:tc>
          <w:tcPr>
            <w:tcW w:w="2550" w:type="dxa"/>
            <w:tcBorders>
              <w:top w:val="nil"/>
              <w:bottom w:val="nil"/>
            </w:tcBorders>
            <w:vAlign w:val="bottom"/>
          </w:tcPr>
          <w:p w14:paraId="10B0FF59" w14:textId="77777777" w:rsidR="00CA63AF" w:rsidRPr="000209EF" w:rsidRDefault="00CA63AF" w:rsidP="00CA63AF">
            <w:pPr>
              <w:rPr>
                <w:rFonts w:ascii="Cambria" w:hAnsi="Cambria"/>
                <w:sz w:val="20"/>
                <w:szCs w:val="22"/>
              </w:rPr>
            </w:pPr>
            <w:r w:rsidRPr="000209EF">
              <w:rPr>
                <w:rFonts w:ascii="Cambria" w:hAnsi="Cambria"/>
                <w:sz w:val="20"/>
                <w:szCs w:val="22"/>
              </w:rPr>
              <w:t>Tipo de interés técnico</w:t>
            </w:r>
          </w:p>
        </w:tc>
        <w:tc>
          <w:tcPr>
            <w:tcW w:w="2449" w:type="dxa"/>
            <w:tcBorders>
              <w:top w:val="nil"/>
              <w:bottom w:val="nil"/>
            </w:tcBorders>
            <w:vAlign w:val="bottom"/>
          </w:tcPr>
          <w:p w14:paraId="7140BAF8" w14:textId="2690D7E5" w:rsidR="00CA63AF" w:rsidRPr="00366E19" w:rsidRDefault="00CA63AF" w:rsidP="00CA63AF">
            <w:pPr>
              <w:jc w:val="center"/>
              <w:rPr>
                <w:rFonts w:ascii="Cambria" w:hAnsi="Cambria"/>
                <w:sz w:val="20"/>
                <w:szCs w:val="22"/>
              </w:rPr>
            </w:pPr>
            <w:r w:rsidRPr="00366E19">
              <w:rPr>
                <w:rFonts w:ascii="Cambria" w:hAnsi="Cambria"/>
                <w:sz w:val="20"/>
                <w:szCs w:val="22"/>
              </w:rPr>
              <w:t>0,00%</w:t>
            </w:r>
          </w:p>
        </w:tc>
        <w:tc>
          <w:tcPr>
            <w:tcW w:w="1528" w:type="dxa"/>
            <w:tcBorders>
              <w:top w:val="nil"/>
              <w:bottom w:val="nil"/>
            </w:tcBorders>
            <w:vAlign w:val="bottom"/>
          </w:tcPr>
          <w:p w14:paraId="73BC3E0C" w14:textId="1ECE26AE" w:rsidR="00CA63AF" w:rsidRDefault="00CA63AF" w:rsidP="00CA63AF">
            <w:pPr>
              <w:jc w:val="center"/>
              <w:rPr>
                <w:rFonts w:ascii="Cambria" w:hAnsi="Cambria"/>
                <w:sz w:val="20"/>
                <w:szCs w:val="22"/>
              </w:rPr>
            </w:pPr>
            <w:r>
              <w:rPr>
                <w:rFonts w:ascii="Cambria" w:hAnsi="Cambria"/>
                <w:sz w:val="20"/>
                <w:szCs w:val="22"/>
              </w:rPr>
              <w:t>0,00%</w:t>
            </w:r>
          </w:p>
        </w:tc>
      </w:tr>
      <w:tr w:rsidR="00CA63AF" w:rsidRPr="00A37244" w14:paraId="414CE0AB" w14:textId="77777777" w:rsidTr="00366E19">
        <w:trPr>
          <w:trHeight w:hRule="exact" w:val="227"/>
        </w:trPr>
        <w:tc>
          <w:tcPr>
            <w:tcW w:w="2550" w:type="dxa"/>
            <w:tcBorders>
              <w:top w:val="nil"/>
              <w:bottom w:val="nil"/>
            </w:tcBorders>
            <w:vAlign w:val="bottom"/>
          </w:tcPr>
          <w:p w14:paraId="63DD4624" w14:textId="77777777" w:rsidR="00CA63AF" w:rsidRPr="000209EF" w:rsidRDefault="00CA63AF" w:rsidP="00CA63AF">
            <w:pPr>
              <w:rPr>
                <w:rFonts w:ascii="Cambria" w:hAnsi="Cambria"/>
                <w:sz w:val="20"/>
                <w:szCs w:val="22"/>
              </w:rPr>
            </w:pPr>
            <w:r w:rsidRPr="000209EF">
              <w:rPr>
                <w:rFonts w:ascii="Cambria" w:hAnsi="Cambria"/>
                <w:sz w:val="20"/>
                <w:szCs w:val="22"/>
              </w:rPr>
              <w:t>Tablas de supervivencia</w:t>
            </w:r>
          </w:p>
        </w:tc>
        <w:tc>
          <w:tcPr>
            <w:tcW w:w="2449" w:type="dxa"/>
            <w:tcBorders>
              <w:top w:val="nil"/>
              <w:bottom w:val="nil"/>
            </w:tcBorders>
            <w:vAlign w:val="bottom"/>
          </w:tcPr>
          <w:p w14:paraId="3AD8AF77" w14:textId="0BE3FA8A" w:rsidR="00CA63AF" w:rsidRPr="00CA63AF" w:rsidRDefault="00366E19" w:rsidP="00CA63AF">
            <w:pPr>
              <w:jc w:val="center"/>
              <w:rPr>
                <w:rFonts w:ascii="Cambria" w:hAnsi="Cambria"/>
                <w:sz w:val="20"/>
                <w:szCs w:val="22"/>
                <w:highlight w:val="yellow"/>
              </w:rPr>
            </w:pPr>
            <w:r w:rsidRPr="00B1461A">
              <w:rPr>
                <w:rFonts w:ascii="Cambria" w:hAnsi="Cambria"/>
              </w:rPr>
              <w:t>PER2020_Col_1er.orden.</w:t>
            </w:r>
          </w:p>
        </w:tc>
        <w:tc>
          <w:tcPr>
            <w:tcW w:w="1528" w:type="dxa"/>
            <w:tcBorders>
              <w:top w:val="nil"/>
              <w:bottom w:val="nil"/>
            </w:tcBorders>
            <w:vAlign w:val="bottom"/>
          </w:tcPr>
          <w:p w14:paraId="3CE16A1C" w14:textId="65AEABC3" w:rsidR="00CA63AF" w:rsidRPr="000209EF" w:rsidRDefault="00CA63AF" w:rsidP="00CA63AF">
            <w:pPr>
              <w:jc w:val="center"/>
              <w:rPr>
                <w:rFonts w:ascii="Cambria" w:hAnsi="Cambria"/>
                <w:sz w:val="20"/>
                <w:szCs w:val="22"/>
              </w:rPr>
            </w:pPr>
            <w:r w:rsidRPr="000209EF">
              <w:rPr>
                <w:rFonts w:ascii="Cambria" w:hAnsi="Cambria"/>
                <w:sz w:val="20"/>
                <w:szCs w:val="22"/>
              </w:rPr>
              <w:t>PERM/F2000P</w:t>
            </w:r>
          </w:p>
        </w:tc>
      </w:tr>
      <w:tr w:rsidR="00CA63AF" w:rsidRPr="00A37244" w14:paraId="6A536072" w14:textId="77777777" w:rsidTr="00366E19">
        <w:trPr>
          <w:trHeight w:hRule="exact" w:val="482"/>
        </w:trPr>
        <w:tc>
          <w:tcPr>
            <w:tcW w:w="2550" w:type="dxa"/>
            <w:tcBorders>
              <w:top w:val="nil"/>
              <w:bottom w:val="nil"/>
            </w:tcBorders>
            <w:vAlign w:val="bottom"/>
          </w:tcPr>
          <w:p w14:paraId="3D53DB16" w14:textId="77777777" w:rsidR="00CA63AF" w:rsidRPr="000209EF" w:rsidRDefault="00CA63AF" w:rsidP="00CA63AF">
            <w:pPr>
              <w:rPr>
                <w:rFonts w:ascii="Cambria" w:hAnsi="Cambria"/>
                <w:sz w:val="20"/>
                <w:szCs w:val="22"/>
              </w:rPr>
            </w:pPr>
            <w:r w:rsidRPr="000209EF">
              <w:rPr>
                <w:rFonts w:ascii="Cambria" w:hAnsi="Cambria"/>
                <w:sz w:val="20"/>
                <w:szCs w:val="22"/>
              </w:rPr>
              <w:t>Incremento del I.G.P.C. (sólo ayudas)</w:t>
            </w:r>
          </w:p>
        </w:tc>
        <w:tc>
          <w:tcPr>
            <w:tcW w:w="2449" w:type="dxa"/>
            <w:tcBorders>
              <w:top w:val="nil"/>
              <w:bottom w:val="nil"/>
            </w:tcBorders>
            <w:vAlign w:val="bottom"/>
          </w:tcPr>
          <w:p w14:paraId="5508A219" w14:textId="77777777" w:rsidR="00CA63AF" w:rsidRPr="00CA63AF" w:rsidRDefault="00CA63AF" w:rsidP="00CA63AF">
            <w:pPr>
              <w:jc w:val="center"/>
              <w:rPr>
                <w:rFonts w:ascii="Cambria" w:hAnsi="Cambria"/>
                <w:sz w:val="20"/>
                <w:szCs w:val="22"/>
                <w:highlight w:val="yellow"/>
              </w:rPr>
            </w:pPr>
          </w:p>
        </w:tc>
        <w:tc>
          <w:tcPr>
            <w:tcW w:w="1528" w:type="dxa"/>
            <w:tcBorders>
              <w:top w:val="nil"/>
              <w:bottom w:val="nil"/>
            </w:tcBorders>
            <w:vAlign w:val="bottom"/>
          </w:tcPr>
          <w:p w14:paraId="47952BA1" w14:textId="77777777" w:rsidR="00CA63AF" w:rsidRPr="000209EF" w:rsidRDefault="00CA63AF" w:rsidP="00CA63AF">
            <w:pPr>
              <w:jc w:val="center"/>
              <w:rPr>
                <w:rFonts w:ascii="Cambria" w:hAnsi="Cambria"/>
                <w:sz w:val="20"/>
                <w:szCs w:val="22"/>
              </w:rPr>
            </w:pPr>
          </w:p>
        </w:tc>
      </w:tr>
      <w:tr w:rsidR="00CA63AF" w:rsidRPr="00A37244" w14:paraId="7CBCE74E" w14:textId="77777777" w:rsidTr="00366E19">
        <w:trPr>
          <w:trHeight w:hRule="exact" w:val="245"/>
        </w:trPr>
        <w:tc>
          <w:tcPr>
            <w:tcW w:w="2550" w:type="dxa"/>
            <w:tcBorders>
              <w:top w:val="nil"/>
              <w:bottom w:val="nil"/>
            </w:tcBorders>
            <w:vAlign w:val="bottom"/>
          </w:tcPr>
          <w:p w14:paraId="4D958BD1" w14:textId="77777777" w:rsidR="00CA63AF" w:rsidRPr="00831BC1" w:rsidRDefault="00CA63AF" w:rsidP="00CA63AF">
            <w:pPr>
              <w:ind w:left="590"/>
              <w:rPr>
                <w:rFonts w:ascii="Cambria" w:hAnsi="Cambria"/>
                <w:sz w:val="20"/>
                <w:szCs w:val="22"/>
              </w:rPr>
            </w:pPr>
            <w:r>
              <w:rPr>
                <w:rFonts w:ascii="Cambria" w:hAnsi="Cambria"/>
                <w:sz w:val="20"/>
                <w:szCs w:val="22"/>
              </w:rPr>
              <w:t>2020</w:t>
            </w:r>
          </w:p>
        </w:tc>
        <w:tc>
          <w:tcPr>
            <w:tcW w:w="2449" w:type="dxa"/>
            <w:tcBorders>
              <w:top w:val="nil"/>
              <w:bottom w:val="nil"/>
            </w:tcBorders>
          </w:tcPr>
          <w:p w14:paraId="7D21C1B0" w14:textId="4EC37533" w:rsidR="00CA63AF" w:rsidRPr="00CA63AF" w:rsidRDefault="005B7B1D" w:rsidP="00CA63AF">
            <w:pPr>
              <w:jc w:val="center"/>
              <w:rPr>
                <w:rFonts w:ascii="Cambria" w:hAnsi="Cambria"/>
                <w:sz w:val="20"/>
                <w:szCs w:val="22"/>
                <w:highlight w:val="yellow"/>
              </w:rPr>
            </w:pPr>
            <w:r>
              <w:rPr>
                <w:rFonts w:ascii="Cambria" w:hAnsi="Cambria"/>
                <w:sz w:val="20"/>
                <w:szCs w:val="22"/>
              </w:rPr>
              <w:t>1%</w:t>
            </w:r>
          </w:p>
        </w:tc>
        <w:tc>
          <w:tcPr>
            <w:tcW w:w="1528" w:type="dxa"/>
            <w:tcBorders>
              <w:top w:val="nil"/>
              <w:bottom w:val="nil"/>
            </w:tcBorders>
          </w:tcPr>
          <w:p w14:paraId="60EC0161" w14:textId="79004DC6" w:rsidR="00CA63AF" w:rsidRDefault="00CA63AF" w:rsidP="00CA63AF">
            <w:pPr>
              <w:jc w:val="center"/>
              <w:rPr>
                <w:rFonts w:ascii="Cambria" w:hAnsi="Cambria"/>
                <w:sz w:val="20"/>
                <w:szCs w:val="22"/>
              </w:rPr>
            </w:pPr>
            <w:r>
              <w:rPr>
                <w:rFonts w:ascii="Cambria" w:hAnsi="Cambria"/>
                <w:sz w:val="20"/>
                <w:szCs w:val="22"/>
              </w:rPr>
              <w:t>1,50%</w:t>
            </w:r>
          </w:p>
        </w:tc>
      </w:tr>
      <w:tr w:rsidR="00CA63AF" w:rsidRPr="00A37244" w14:paraId="220D584E" w14:textId="77777777" w:rsidTr="00366E19">
        <w:trPr>
          <w:trHeight w:hRule="exact" w:val="450"/>
        </w:trPr>
        <w:tc>
          <w:tcPr>
            <w:tcW w:w="2550" w:type="dxa"/>
            <w:tcBorders>
              <w:top w:val="nil"/>
              <w:bottom w:val="nil"/>
            </w:tcBorders>
            <w:vAlign w:val="bottom"/>
          </w:tcPr>
          <w:p w14:paraId="76028F79" w14:textId="77777777" w:rsidR="00CA63AF" w:rsidRPr="00831BC1" w:rsidRDefault="00CA63AF" w:rsidP="00CA63AF">
            <w:pPr>
              <w:rPr>
                <w:rFonts w:ascii="Cambria" w:hAnsi="Cambria"/>
                <w:sz w:val="20"/>
                <w:szCs w:val="22"/>
              </w:rPr>
            </w:pPr>
            <w:r w:rsidRPr="00831BC1">
              <w:rPr>
                <w:rFonts w:ascii="Cambria" w:hAnsi="Cambria"/>
                <w:sz w:val="20"/>
                <w:szCs w:val="22"/>
              </w:rPr>
              <w:t>Incremento de las bases de cotización</w:t>
            </w:r>
          </w:p>
        </w:tc>
        <w:tc>
          <w:tcPr>
            <w:tcW w:w="2449" w:type="dxa"/>
            <w:tcBorders>
              <w:top w:val="nil"/>
              <w:bottom w:val="nil"/>
            </w:tcBorders>
          </w:tcPr>
          <w:p w14:paraId="5B4703C6" w14:textId="77777777" w:rsidR="00CA63AF" w:rsidRPr="00CA63AF" w:rsidRDefault="00CA63AF" w:rsidP="00CA63AF">
            <w:pPr>
              <w:jc w:val="center"/>
              <w:rPr>
                <w:rFonts w:ascii="Cambria" w:hAnsi="Cambria"/>
                <w:sz w:val="20"/>
                <w:szCs w:val="22"/>
                <w:highlight w:val="yellow"/>
              </w:rPr>
            </w:pPr>
          </w:p>
        </w:tc>
        <w:tc>
          <w:tcPr>
            <w:tcW w:w="1528" w:type="dxa"/>
            <w:tcBorders>
              <w:top w:val="nil"/>
              <w:bottom w:val="nil"/>
            </w:tcBorders>
          </w:tcPr>
          <w:p w14:paraId="1EE035D6" w14:textId="77777777" w:rsidR="00CA63AF" w:rsidRPr="00831BC1" w:rsidRDefault="00CA63AF" w:rsidP="00CA63AF">
            <w:pPr>
              <w:jc w:val="center"/>
              <w:rPr>
                <w:rFonts w:ascii="Cambria" w:hAnsi="Cambria"/>
                <w:sz w:val="20"/>
                <w:szCs w:val="22"/>
              </w:rPr>
            </w:pPr>
          </w:p>
        </w:tc>
      </w:tr>
      <w:tr w:rsidR="00CA63AF" w:rsidRPr="00A37244" w14:paraId="61A5638F" w14:textId="77777777" w:rsidTr="00366E19">
        <w:trPr>
          <w:trHeight w:hRule="exact" w:val="227"/>
        </w:trPr>
        <w:tc>
          <w:tcPr>
            <w:tcW w:w="2550" w:type="dxa"/>
            <w:tcBorders>
              <w:top w:val="nil"/>
              <w:bottom w:val="nil"/>
            </w:tcBorders>
            <w:vAlign w:val="bottom"/>
          </w:tcPr>
          <w:p w14:paraId="10EA04D4" w14:textId="77777777" w:rsidR="00CA63AF" w:rsidRDefault="00CA63AF" w:rsidP="00CA63AF">
            <w:pPr>
              <w:ind w:left="590"/>
              <w:rPr>
                <w:rFonts w:ascii="Cambria" w:hAnsi="Cambria"/>
                <w:sz w:val="20"/>
                <w:szCs w:val="22"/>
              </w:rPr>
            </w:pPr>
            <w:r>
              <w:rPr>
                <w:rFonts w:ascii="Cambria" w:hAnsi="Cambria"/>
                <w:sz w:val="20"/>
                <w:szCs w:val="22"/>
              </w:rPr>
              <w:t>2020</w:t>
            </w:r>
          </w:p>
        </w:tc>
        <w:tc>
          <w:tcPr>
            <w:tcW w:w="2449" w:type="dxa"/>
            <w:tcBorders>
              <w:top w:val="nil"/>
              <w:bottom w:val="nil"/>
            </w:tcBorders>
          </w:tcPr>
          <w:p w14:paraId="7CC7FFE5" w14:textId="5BD6B03B" w:rsidR="00CA63AF" w:rsidRPr="00366E19" w:rsidRDefault="005B7B1D" w:rsidP="00CA63AF">
            <w:pPr>
              <w:jc w:val="center"/>
              <w:rPr>
                <w:rFonts w:ascii="Cambria" w:hAnsi="Cambria"/>
                <w:sz w:val="20"/>
                <w:szCs w:val="22"/>
              </w:rPr>
            </w:pPr>
            <w:r>
              <w:rPr>
                <w:rFonts w:ascii="Cambria" w:hAnsi="Cambria"/>
                <w:sz w:val="20"/>
                <w:szCs w:val="22"/>
              </w:rPr>
              <w:t>0,6%</w:t>
            </w:r>
          </w:p>
        </w:tc>
        <w:tc>
          <w:tcPr>
            <w:tcW w:w="1528" w:type="dxa"/>
            <w:tcBorders>
              <w:top w:val="nil"/>
              <w:bottom w:val="nil"/>
            </w:tcBorders>
          </w:tcPr>
          <w:p w14:paraId="797AE7C3" w14:textId="7BA02190" w:rsidR="00CA63AF" w:rsidRPr="00366E19" w:rsidRDefault="00CA63AF" w:rsidP="00CA63AF">
            <w:pPr>
              <w:jc w:val="center"/>
              <w:rPr>
                <w:rFonts w:ascii="Cambria" w:hAnsi="Cambria"/>
                <w:sz w:val="20"/>
                <w:szCs w:val="22"/>
              </w:rPr>
            </w:pPr>
            <w:r w:rsidRPr="00366E19">
              <w:rPr>
                <w:rFonts w:ascii="Cambria" w:hAnsi="Cambria"/>
                <w:sz w:val="20"/>
                <w:szCs w:val="22"/>
              </w:rPr>
              <w:t>1,50%</w:t>
            </w:r>
          </w:p>
        </w:tc>
      </w:tr>
      <w:tr w:rsidR="00CA63AF" w:rsidRPr="00A37244" w14:paraId="1D94BFED" w14:textId="77777777" w:rsidTr="00366E19">
        <w:trPr>
          <w:trHeight w:hRule="exact" w:val="227"/>
        </w:trPr>
        <w:tc>
          <w:tcPr>
            <w:tcW w:w="2550" w:type="dxa"/>
            <w:tcBorders>
              <w:top w:val="nil"/>
            </w:tcBorders>
            <w:vAlign w:val="bottom"/>
          </w:tcPr>
          <w:p w14:paraId="20E94E73" w14:textId="77777777" w:rsidR="00CA63AF" w:rsidRPr="00831BC1" w:rsidRDefault="00CA63AF" w:rsidP="00CA63AF">
            <w:pPr>
              <w:rPr>
                <w:rFonts w:ascii="Cambria" w:hAnsi="Cambria"/>
                <w:sz w:val="20"/>
                <w:szCs w:val="22"/>
              </w:rPr>
            </w:pPr>
            <w:r w:rsidRPr="00831BC1">
              <w:rPr>
                <w:rFonts w:ascii="Cambria" w:hAnsi="Cambria"/>
                <w:sz w:val="20"/>
                <w:szCs w:val="22"/>
              </w:rPr>
              <w:t>Edad de jubilación</w:t>
            </w:r>
          </w:p>
        </w:tc>
        <w:tc>
          <w:tcPr>
            <w:tcW w:w="2449" w:type="dxa"/>
            <w:tcBorders>
              <w:top w:val="nil"/>
            </w:tcBorders>
          </w:tcPr>
          <w:p w14:paraId="31736207" w14:textId="2755EDCF" w:rsidR="00CA63AF" w:rsidRPr="00366E19" w:rsidRDefault="00CA63AF" w:rsidP="00CA63AF">
            <w:pPr>
              <w:jc w:val="center"/>
              <w:rPr>
                <w:rFonts w:ascii="Cambria" w:hAnsi="Cambria"/>
                <w:sz w:val="20"/>
                <w:szCs w:val="22"/>
              </w:rPr>
            </w:pPr>
            <w:r w:rsidRPr="00366E19">
              <w:rPr>
                <w:rFonts w:ascii="Cambria" w:hAnsi="Cambria"/>
                <w:sz w:val="20"/>
                <w:szCs w:val="22"/>
              </w:rPr>
              <w:t>65 años</w:t>
            </w:r>
          </w:p>
        </w:tc>
        <w:tc>
          <w:tcPr>
            <w:tcW w:w="1528" w:type="dxa"/>
            <w:tcBorders>
              <w:top w:val="nil"/>
            </w:tcBorders>
          </w:tcPr>
          <w:p w14:paraId="3202CD0E" w14:textId="49347FE8" w:rsidR="00CA63AF" w:rsidRPr="00366E19" w:rsidRDefault="00CA63AF" w:rsidP="00CA63AF">
            <w:pPr>
              <w:jc w:val="center"/>
              <w:rPr>
                <w:rFonts w:ascii="Cambria" w:hAnsi="Cambria"/>
                <w:sz w:val="20"/>
                <w:szCs w:val="22"/>
              </w:rPr>
            </w:pPr>
            <w:r w:rsidRPr="00366E19">
              <w:rPr>
                <w:rFonts w:ascii="Cambria" w:hAnsi="Cambria"/>
                <w:sz w:val="20"/>
                <w:szCs w:val="22"/>
              </w:rPr>
              <w:t>65 años</w:t>
            </w:r>
          </w:p>
        </w:tc>
      </w:tr>
    </w:tbl>
    <w:p w14:paraId="6E93ABBB" w14:textId="77777777" w:rsidR="00F238B0" w:rsidRPr="00A37244" w:rsidRDefault="00F238B0" w:rsidP="00E25A8A">
      <w:pPr>
        <w:pStyle w:val="Ttulo1a"/>
        <w:ind w:left="567"/>
        <w:rPr>
          <w:rFonts w:ascii="Cambria" w:hAnsi="Cambria"/>
          <w:sz w:val="24"/>
          <w:szCs w:val="24"/>
          <w:highlight w:val="yellow"/>
        </w:rPr>
      </w:pPr>
    </w:p>
    <w:p w14:paraId="32300D76" w14:textId="335B5513" w:rsidR="0076456E" w:rsidRPr="00201D7B" w:rsidRDefault="005103BD" w:rsidP="0076456E">
      <w:pPr>
        <w:pStyle w:val="Ttulo1a"/>
        <w:ind w:left="567"/>
        <w:rPr>
          <w:rFonts w:ascii="Cambria" w:hAnsi="Cambria"/>
          <w:sz w:val="24"/>
          <w:szCs w:val="24"/>
        </w:rPr>
      </w:pPr>
      <w:r w:rsidRPr="005B7B1D">
        <w:rPr>
          <w:rFonts w:ascii="Cambria" w:hAnsi="Cambria"/>
          <w:sz w:val="24"/>
          <w:szCs w:val="24"/>
        </w:rPr>
        <w:t xml:space="preserve">En </w:t>
      </w:r>
      <w:r w:rsidR="0076456E" w:rsidRPr="005B7B1D">
        <w:rPr>
          <w:rFonts w:ascii="Cambria" w:hAnsi="Cambria"/>
          <w:sz w:val="24"/>
          <w:szCs w:val="24"/>
        </w:rPr>
        <w:t>los</w:t>
      </w:r>
      <w:r w:rsidRPr="005B7B1D">
        <w:rPr>
          <w:rFonts w:ascii="Cambria" w:hAnsi="Cambria"/>
          <w:sz w:val="24"/>
          <w:szCs w:val="24"/>
        </w:rPr>
        <w:t xml:space="preserve"> ejercicio</w:t>
      </w:r>
      <w:r w:rsidR="0076456E" w:rsidRPr="005B7B1D">
        <w:rPr>
          <w:rFonts w:ascii="Cambria" w:hAnsi="Cambria"/>
          <w:sz w:val="24"/>
          <w:szCs w:val="24"/>
        </w:rPr>
        <w:t>s</w:t>
      </w:r>
      <w:r w:rsidRPr="005B7B1D">
        <w:rPr>
          <w:rFonts w:ascii="Cambria" w:hAnsi="Cambria"/>
          <w:sz w:val="24"/>
          <w:szCs w:val="24"/>
        </w:rPr>
        <w:t xml:space="preserve"> 20</w:t>
      </w:r>
      <w:r w:rsidR="00CA63AF" w:rsidRPr="005B7B1D">
        <w:rPr>
          <w:rFonts w:ascii="Cambria" w:hAnsi="Cambria"/>
          <w:sz w:val="24"/>
          <w:szCs w:val="24"/>
        </w:rPr>
        <w:t>20</w:t>
      </w:r>
      <w:r w:rsidR="0076456E" w:rsidRPr="005B7B1D">
        <w:rPr>
          <w:rFonts w:ascii="Cambria" w:hAnsi="Cambria"/>
          <w:sz w:val="24"/>
          <w:szCs w:val="24"/>
        </w:rPr>
        <w:t xml:space="preserve"> y 201</w:t>
      </w:r>
      <w:r w:rsidR="00CA63AF" w:rsidRPr="005B7B1D">
        <w:rPr>
          <w:rFonts w:ascii="Cambria" w:hAnsi="Cambria"/>
          <w:sz w:val="24"/>
          <w:szCs w:val="24"/>
        </w:rPr>
        <w:t>9</w:t>
      </w:r>
      <w:r w:rsidR="0076456E" w:rsidRPr="005B7B1D">
        <w:rPr>
          <w:rFonts w:ascii="Cambria" w:hAnsi="Cambria"/>
          <w:sz w:val="24"/>
          <w:szCs w:val="24"/>
        </w:rPr>
        <w:t xml:space="preserve"> </w:t>
      </w:r>
      <w:r w:rsidRPr="005B7B1D">
        <w:rPr>
          <w:rFonts w:ascii="Cambria" w:hAnsi="Cambria"/>
          <w:sz w:val="24"/>
          <w:szCs w:val="24"/>
        </w:rPr>
        <w:t>no ha habido gasto financiero por la actualización de la provisión.</w:t>
      </w:r>
      <w:r w:rsidR="0076456E" w:rsidRPr="005B7B1D">
        <w:rPr>
          <w:rFonts w:ascii="Cambria" w:hAnsi="Cambria"/>
          <w:sz w:val="24"/>
          <w:szCs w:val="24"/>
        </w:rPr>
        <w:t xml:space="preserve"> De acuerdo con el estudio actuarial efectuado al cierre del ejercicio 20</w:t>
      </w:r>
      <w:r w:rsidR="00CA63AF" w:rsidRPr="005B7B1D">
        <w:rPr>
          <w:rFonts w:ascii="Cambria" w:hAnsi="Cambria"/>
          <w:sz w:val="24"/>
          <w:szCs w:val="24"/>
        </w:rPr>
        <w:t>20</w:t>
      </w:r>
      <w:r w:rsidR="0076456E" w:rsidRPr="005B7B1D">
        <w:rPr>
          <w:rFonts w:ascii="Cambria" w:hAnsi="Cambria"/>
          <w:sz w:val="24"/>
          <w:szCs w:val="24"/>
        </w:rPr>
        <w:t xml:space="preserve">, </w:t>
      </w:r>
      <w:r w:rsidR="005B7B1D" w:rsidRPr="005B7B1D">
        <w:rPr>
          <w:rFonts w:ascii="Cambria" w:hAnsi="Cambria"/>
          <w:sz w:val="24"/>
          <w:szCs w:val="24"/>
        </w:rPr>
        <w:t>no ha habido imputación</w:t>
      </w:r>
      <w:r w:rsidR="0076456E" w:rsidRPr="005B7B1D">
        <w:rPr>
          <w:rFonts w:ascii="Cambria" w:hAnsi="Cambria"/>
          <w:sz w:val="24"/>
          <w:szCs w:val="24"/>
        </w:rPr>
        <w:t xml:space="preserve"> a patrimonio</w:t>
      </w:r>
      <w:r w:rsidR="005B7B1D">
        <w:rPr>
          <w:rFonts w:ascii="Cambria" w:hAnsi="Cambria"/>
          <w:sz w:val="24"/>
          <w:szCs w:val="24"/>
        </w:rPr>
        <w:t>.</w:t>
      </w:r>
      <w:r w:rsidR="0076456E" w:rsidRPr="005B7B1D">
        <w:rPr>
          <w:rFonts w:ascii="Cambria" w:hAnsi="Cambria"/>
          <w:sz w:val="24"/>
          <w:szCs w:val="24"/>
        </w:rPr>
        <w:t xml:space="preserve"> </w:t>
      </w:r>
      <w:r w:rsidR="005B7B1D" w:rsidRPr="005B7B1D">
        <w:rPr>
          <w:rFonts w:ascii="Cambria" w:hAnsi="Cambria"/>
          <w:sz w:val="24"/>
          <w:szCs w:val="24"/>
        </w:rPr>
        <w:t xml:space="preserve">En 2019 se imputaron </w:t>
      </w:r>
      <w:r w:rsidR="00A46EFA" w:rsidRPr="005B7B1D">
        <w:rPr>
          <w:rFonts w:ascii="Cambria" w:hAnsi="Cambria"/>
          <w:sz w:val="24"/>
          <w:szCs w:val="24"/>
        </w:rPr>
        <w:t>1</w:t>
      </w:r>
      <w:r w:rsidR="0076456E" w:rsidRPr="005B7B1D">
        <w:rPr>
          <w:rFonts w:ascii="Cambria" w:hAnsi="Cambria"/>
          <w:sz w:val="24"/>
          <w:szCs w:val="24"/>
        </w:rPr>
        <w:t xml:space="preserve"> miles de euros neto</w:t>
      </w:r>
      <w:r w:rsidR="005B7B1D">
        <w:rPr>
          <w:rFonts w:ascii="Cambria" w:hAnsi="Cambria"/>
          <w:sz w:val="24"/>
          <w:szCs w:val="24"/>
        </w:rPr>
        <w:t>s</w:t>
      </w:r>
      <w:r w:rsidR="0076456E" w:rsidRPr="005B7B1D">
        <w:rPr>
          <w:rFonts w:ascii="Cambria" w:hAnsi="Cambria"/>
          <w:sz w:val="24"/>
          <w:szCs w:val="24"/>
        </w:rPr>
        <w:t xml:space="preserve"> del efecto impositivo por variación de las hipótesis actuariales.</w:t>
      </w:r>
    </w:p>
    <w:p w14:paraId="78812A53" w14:textId="77777777" w:rsidR="00796462" w:rsidRDefault="00796462" w:rsidP="00796462">
      <w:pPr>
        <w:keepLines w:val="0"/>
        <w:widowControl/>
        <w:jc w:val="left"/>
        <w:rPr>
          <w:rFonts w:ascii="Cambria" w:hAnsi="Cambria"/>
          <w:sz w:val="24"/>
          <w:szCs w:val="24"/>
        </w:rPr>
      </w:pPr>
    </w:p>
    <w:p w14:paraId="0E41B6C7" w14:textId="51DB83B5" w:rsidR="008F74FE" w:rsidRPr="0029277D" w:rsidRDefault="008F74FE" w:rsidP="00796462">
      <w:pPr>
        <w:pStyle w:val="Ttulo1a"/>
        <w:ind w:left="567"/>
        <w:rPr>
          <w:rFonts w:ascii="Cambria" w:hAnsi="Cambria"/>
          <w:sz w:val="24"/>
          <w:szCs w:val="24"/>
        </w:rPr>
      </w:pPr>
      <w:r w:rsidRPr="0029277D">
        <w:rPr>
          <w:rFonts w:ascii="Cambria" w:hAnsi="Cambria"/>
          <w:sz w:val="24"/>
          <w:szCs w:val="24"/>
        </w:rPr>
        <w:t>A continuación</w:t>
      </w:r>
      <w:r w:rsidR="005B7B1D">
        <w:rPr>
          <w:rFonts w:ascii="Cambria" w:hAnsi="Cambria"/>
          <w:sz w:val="24"/>
          <w:szCs w:val="24"/>
        </w:rPr>
        <w:t>,</w:t>
      </w:r>
      <w:r w:rsidRPr="0029277D">
        <w:rPr>
          <w:rFonts w:ascii="Cambria" w:hAnsi="Cambria"/>
          <w:sz w:val="24"/>
          <w:szCs w:val="24"/>
        </w:rPr>
        <w:t xml:space="preserve"> se presenta el detalle del valor razonable de la póliza correspondiente a la exteriorización de estos compromisos con el personal prejubilado de AHV para el ejercicio 20</w:t>
      </w:r>
      <w:r w:rsidR="00CA63AF">
        <w:rPr>
          <w:rFonts w:ascii="Cambria" w:hAnsi="Cambria"/>
          <w:sz w:val="24"/>
          <w:szCs w:val="24"/>
        </w:rPr>
        <w:t>20</w:t>
      </w:r>
      <w:r w:rsidR="003F44C8" w:rsidRPr="0029277D">
        <w:rPr>
          <w:rFonts w:ascii="Cambria" w:hAnsi="Cambria"/>
          <w:sz w:val="24"/>
          <w:szCs w:val="24"/>
        </w:rPr>
        <w:t xml:space="preserve"> y 201</w:t>
      </w:r>
      <w:r w:rsidR="00CA63AF">
        <w:rPr>
          <w:rFonts w:ascii="Cambria" w:hAnsi="Cambria"/>
          <w:sz w:val="24"/>
          <w:szCs w:val="24"/>
        </w:rPr>
        <w:t>9</w:t>
      </w:r>
      <w:r w:rsidRPr="0029277D">
        <w:rPr>
          <w:rFonts w:ascii="Cambria" w:hAnsi="Cambria"/>
          <w:sz w:val="24"/>
          <w:szCs w:val="24"/>
        </w:rPr>
        <w:t>:</w:t>
      </w:r>
    </w:p>
    <w:p w14:paraId="0A0DB741" w14:textId="4965C931" w:rsidR="00146FA8" w:rsidRPr="00A37244" w:rsidRDefault="00146FA8" w:rsidP="002D6127">
      <w:pPr>
        <w:rPr>
          <w:highlight w:val="yellow"/>
        </w:rPr>
      </w:pPr>
    </w:p>
    <w:p w14:paraId="4B3BEC9D" w14:textId="538F2D43" w:rsidR="007713D8" w:rsidRDefault="007713D8" w:rsidP="007713D8">
      <w:pPr>
        <w:ind w:left="567"/>
        <w:rPr>
          <w:rFonts w:ascii="Cambria" w:hAnsi="Cambria"/>
          <w:b/>
          <w:sz w:val="24"/>
          <w:szCs w:val="24"/>
          <w:u w:val="single"/>
        </w:rPr>
      </w:pPr>
      <w:r w:rsidRPr="0029277D">
        <w:rPr>
          <w:rFonts w:ascii="Cambria" w:hAnsi="Cambria"/>
          <w:b/>
          <w:sz w:val="24"/>
          <w:szCs w:val="24"/>
          <w:u w:val="single"/>
        </w:rPr>
        <w:t>Ejercicio 20</w:t>
      </w:r>
      <w:r w:rsidR="00CA63AF">
        <w:rPr>
          <w:rFonts w:ascii="Cambria" w:hAnsi="Cambria"/>
          <w:b/>
          <w:sz w:val="24"/>
          <w:szCs w:val="24"/>
          <w:u w:val="single"/>
        </w:rPr>
        <w:t>20</w:t>
      </w:r>
    </w:p>
    <w:p w14:paraId="54F11F1F" w14:textId="77777777" w:rsidR="00796462" w:rsidRDefault="00796462" w:rsidP="007713D8">
      <w:pPr>
        <w:ind w:left="567"/>
        <w:rPr>
          <w:rFonts w:ascii="Cambria" w:hAnsi="Cambria"/>
          <w:b/>
          <w:sz w:val="24"/>
          <w:szCs w:val="24"/>
          <w:u w:val="single"/>
        </w:rPr>
      </w:pPr>
    </w:p>
    <w:tbl>
      <w:tblPr>
        <w:tblpPr w:leftFromText="141" w:rightFromText="141" w:vertAnchor="text" w:horzAnchor="page" w:tblpX="2310" w:tblpY="33"/>
        <w:tblW w:w="8156" w:type="dxa"/>
        <w:tblCellMar>
          <w:left w:w="70" w:type="dxa"/>
          <w:right w:w="70" w:type="dxa"/>
        </w:tblCellMar>
        <w:tblLook w:val="04A0" w:firstRow="1" w:lastRow="0" w:firstColumn="1" w:lastColumn="0" w:noHBand="0" w:noVBand="1"/>
      </w:tblPr>
      <w:tblGrid>
        <w:gridCol w:w="5125"/>
        <w:gridCol w:w="1472"/>
        <w:gridCol w:w="1559"/>
      </w:tblGrid>
      <w:tr w:rsidR="00796462" w:rsidRPr="00E15852" w14:paraId="0E040794" w14:textId="77777777" w:rsidTr="00B269BB">
        <w:trPr>
          <w:trHeight w:val="418"/>
        </w:trPr>
        <w:tc>
          <w:tcPr>
            <w:tcW w:w="5125" w:type="dxa"/>
            <w:tcBorders>
              <w:top w:val="nil"/>
              <w:left w:val="nil"/>
              <w:bottom w:val="nil"/>
              <w:right w:val="nil"/>
            </w:tcBorders>
            <w:shd w:val="clear" w:color="000000" w:fill="FFFFFF"/>
            <w:noWrap/>
            <w:vAlign w:val="bottom"/>
          </w:tcPr>
          <w:p w14:paraId="4143CB2B" w14:textId="77777777" w:rsidR="00796462" w:rsidRPr="00E15852" w:rsidRDefault="00796462" w:rsidP="00B269BB">
            <w:pPr>
              <w:jc w:val="left"/>
              <w:rPr>
                <w:rFonts w:ascii="Cambria" w:hAnsi="Cambria"/>
                <w:sz w:val="18"/>
                <w:szCs w:val="18"/>
              </w:rPr>
            </w:pPr>
          </w:p>
        </w:tc>
        <w:tc>
          <w:tcPr>
            <w:tcW w:w="1472" w:type="dxa"/>
            <w:vMerge w:val="restart"/>
            <w:tcBorders>
              <w:top w:val="single" w:sz="4" w:space="0" w:color="auto"/>
              <w:left w:val="single" w:sz="4" w:space="0" w:color="auto"/>
              <w:bottom w:val="single" w:sz="4" w:space="0" w:color="auto"/>
              <w:right w:val="nil"/>
            </w:tcBorders>
            <w:shd w:val="clear" w:color="000000" w:fill="FFFFFF"/>
            <w:vAlign w:val="bottom"/>
          </w:tcPr>
          <w:p w14:paraId="60D60178" w14:textId="77777777" w:rsidR="00796462" w:rsidRPr="00E15852" w:rsidRDefault="00796462" w:rsidP="00B269BB">
            <w:pPr>
              <w:jc w:val="center"/>
              <w:rPr>
                <w:rFonts w:ascii="Cambria" w:hAnsi="Cambria"/>
                <w:sz w:val="18"/>
                <w:szCs w:val="18"/>
              </w:rPr>
            </w:pPr>
            <w:r w:rsidRPr="00E15852">
              <w:rPr>
                <w:rFonts w:ascii="Cambria" w:hAnsi="Cambria"/>
                <w:sz w:val="18"/>
                <w:szCs w:val="18"/>
              </w:rPr>
              <w:t>Valor Actual de los Compromisos</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14:paraId="0D033210" w14:textId="77777777" w:rsidR="00796462" w:rsidRPr="00E15852" w:rsidRDefault="00796462" w:rsidP="00B269BB">
            <w:pPr>
              <w:jc w:val="center"/>
              <w:rPr>
                <w:rFonts w:ascii="Cambria" w:hAnsi="Cambria"/>
                <w:sz w:val="18"/>
                <w:szCs w:val="18"/>
              </w:rPr>
            </w:pPr>
            <w:r w:rsidRPr="00E15852">
              <w:rPr>
                <w:rFonts w:ascii="Cambria" w:hAnsi="Cambria"/>
                <w:sz w:val="18"/>
                <w:szCs w:val="18"/>
              </w:rPr>
              <w:t>Valor Razonable del</w:t>
            </w:r>
          </w:p>
          <w:p w14:paraId="4EA43EA4" w14:textId="77777777" w:rsidR="00796462" w:rsidRPr="00E15852" w:rsidRDefault="00796462" w:rsidP="00B269BB">
            <w:pPr>
              <w:jc w:val="center"/>
              <w:rPr>
                <w:rFonts w:ascii="Cambria" w:hAnsi="Cambria"/>
                <w:sz w:val="18"/>
                <w:szCs w:val="18"/>
              </w:rPr>
            </w:pPr>
            <w:r w:rsidRPr="00E15852">
              <w:rPr>
                <w:rFonts w:ascii="Cambria" w:hAnsi="Cambria"/>
                <w:sz w:val="18"/>
                <w:szCs w:val="18"/>
              </w:rPr>
              <w:t>Activo (Nota 8.2)</w:t>
            </w:r>
          </w:p>
        </w:tc>
      </w:tr>
      <w:tr w:rsidR="00796462" w:rsidRPr="00E15852" w14:paraId="4A606450" w14:textId="77777777" w:rsidTr="00B269BB">
        <w:trPr>
          <w:trHeight w:val="240"/>
        </w:trPr>
        <w:tc>
          <w:tcPr>
            <w:tcW w:w="5125" w:type="dxa"/>
            <w:tcBorders>
              <w:top w:val="nil"/>
              <w:left w:val="nil"/>
              <w:bottom w:val="nil"/>
              <w:right w:val="nil"/>
            </w:tcBorders>
            <w:shd w:val="clear" w:color="000000" w:fill="FFFFFF"/>
            <w:noWrap/>
            <w:vAlign w:val="bottom"/>
          </w:tcPr>
          <w:p w14:paraId="4BA35EC1" w14:textId="77777777" w:rsidR="00796462" w:rsidRPr="00E15852" w:rsidRDefault="00796462" w:rsidP="00B269BB">
            <w:pPr>
              <w:jc w:val="left"/>
              <w:rPr>
                <w:rFonts w:ascii="Cambria" w:hAnsi="Cambria"/>
                <w:sz w:val="18"/>
                <w:szCs w:val="18"/>
              </w:rPr>
            </w:pPr>
            <w:r w:rsidRPr="00E15852">
              <w:rPr>
                <w:rFonts w:ascii="Cambria" w:hAnsi="Cambria"/>
                <w:sz w:val="18"/>
                <w:szCs w:val="18"/>
              </w:rPr>
              <w:t> </w:t>
            </w:r>
          </w:p>
        </w:tc>
        <w:tc>
          <w:tcPr>
            <w:tcW w:w="1472" w:type="dxa"/>
            <w:vMerge/>
            <w:tcBorders>
              <w:top w:val="nil"/>
              <w:left w:val="single" w:sz="4" w:space="0" w:color="auto"/>
              <w:bottom w:val="single" w:sz="4" w:space="0" w:color="auto"/>
              <w:right w:val="nil"/>
            </w:tcBorders>
            <w:vAlign w:val="center"/>
          </w:tcPr>
          <w:p w14:paraId="5576EF79" w14:textId="77777777" w:rsidR="00796462" w:rsidRPr="00E15852" w:rsidRDefault="00796462" w:rsidP="00B269BB">
            <w:pPr>
              <w:jc w:val="left"/>
              <w:rPr>
                <w:rFonts w:ascii="Cambria" w:hAnsi="Cambria"/>
                <w:sz w:val="18"/>
                <w:szCs w:val="18"/>
              </w:rPr>
            </w:pPr>
          </w:p>
        </w:tc>
        <w:tc>
          <w:tcPr>
            <w:tcW w:w="1559" w:type="dxa"/>
            <w:vMerge/>
            <w:tcBorders>
              <w:top w:val="nil"/>
              <w:left w:val="single" w:sz="4" w:space="0" w:color="auto"/>
              <w:bottom w:val="single" w:sz="4" w:space="0" w:color="auto"/>
              <w:right w:val="single" w:sz="4" w:space="0" w:color="auto"/>
            </w:tcBorders>
            <w:vAlign w:val="center"/>
          </w:tcPr>
          <w:p w14:paraId="4ECDDB3C" w14:textId="77777777" w:rsidR="00796462" w:rsidRPr="00E15852" w:rsidRDefault="00796462" w:rsidP="00B269BB">
            <w:pPr>
              <w:jc w:val="left"/>
              <w:rPr>
                <w:rFonts w:ascii="Cambria" w:hAnsi="Cambria"/>
                <w:sz w:val="18"/>
                <w:szCs w:val="18"/>
              </w:rPr>
            </w:pPr>
          </w:p>
        </w:tc>
      </w:tr>
      <w:tr w:rsidR="00796462" w:rsidRPr="00E15852" w14:paraId="42BF5A13" w14:textId="77777777" w:rsidTr="00B269BB">
        <w:trPr>
          <w:trHeight w:val="240"/>
        </w:trPr>
        <w:tc>
          <w:tcPr>
            <w:tcW w:w="5125" w:type="dxa"/>
            <w:tcBorders>
              <w:top w:val="nil"/>
              <w:left w:val="nil"/>
              <w:bottom w:val="single" w:sz="4" w:space="0" w:color="auto"/>
              <w:right w:val="nil"/>
            </w:tcBorders>
            <w:shd w:val="clear" w:color="000000" w:fill="FFFFFF"/>
            <w:noWrap/>
            <w:vAlign w:val="bottom"/>
          </w:tcPr>
          <w:p w14:paraId="6EF530E5" w14:textId="77777777" w:rsidR="00796462" w:rsidRPr="00E15852" w:rsidRDefault="00796462" w:rsidP="00B269BB">
            <w:pPr>
              <w:jc w:val="left"/>
              <w:rPr>
                <w:rFonts w:ascii="Cambria" w:hAnsi="Cambria"/>
                <w:sz w:val="18"/>
                <w:szCs w:val="18"/>
              </w:rPr>
            </w:pPr>
            <w:r w:rsidRPr="00E15852">
              <w:rPr>
                <w:rFonts w:ascii="Cambria" w:hAnsi="Cambria"/>
                <w:sz w:val="18"/>
                <w:szCs w:val="18"/>
              </w:rPr>
              <w:t> </w:t>
            </w:r>
          </w:p>
        </w:tc>
        <w:tc>
          <w:tcPr>
            <w:tcW w:w="1472" w:type="dxa"/>
            <w:vMerge/>
            <w:tcBorders>
              <w:top w:val="nil"/>
              <w:left w:val="single" w:sz="4" w:space="0" w:color="auto"/>
              <w:bottom w:val="single" w:sz="4" w:space="0" w:color="auto"/>
              <w:right w:val="nil"/>
            </w:tcBorders>
            <w:vAlign w:val="center"/>
          </w:tcPr>
          <w:p w14:paraId="4F61A73E" w14:textId="77777777" w:rsidR="00796462" w:rsidRPr="00E15852" w:rsidRDefault="00796462" w:rsidP="00B269BB">
            <w:pPr>
              <w:jc w:val="left"/>
              <w:rPr>
                <w:rFonts w:ascii="Cambria" w:hAnsi="Cambria"/>
                <w:sz w:val="18"/>
                <w:szCs w:val="18"/>
              </w:rPr>
            </w:pPr>
          </w:p>
        </w:tc>
        <w:tc>
          <w:tcPr>
            <w:tcW w:w="1559" w:type="dxa"/>
            <w:vMerge/>
            <w:tcBorders>
              <w:top w:val="nil"/>
              <w:left w:val="single" w:sz="4" w:space="0" w:color="auto"/>
              <w:bottom w:val="single" w:sz="4" w:space="0" w:color="auto"/>
              <w:right w:val="single" w:sz="4" w:space="0" w:color="auto"/>
            </w:tcBorders>
            <w:vAlign w:val="center"/>
          </w:tcPr>
          <w:p w14:paraId="7059DEA5" w14:textId="77777777" w:rsidR="00796462" w:rsidRPr="00E15852" w:rsidRDefault="00796462" w:rsidP="00B269BB">
            <w:pPr>
              <w:jc w:val="left"/>
              <w:rPr>
                <w:rFonts w:ascii="Cambria" w:hAnsi="Cambria"/>
                <w:sz w:val="18"/>
                <w:szCs w:val="18"/>
              </w:rPr>
            </w:pPr>
          </w:p>
        </w:tc>
      </w:tr>
      <w:tr w:rsidR="00796462" w:rsidRPr="00E15852" w14:paraId="1B152B6D" w14:textId="77777777" w:rsidTr="00B269BB">
        <w:trPr>
          <w:trHeight w:val="240"/>
        </w:trPr>
        <w:tc>
          <w:tcPr>
            <w:tcW w:w="5125" w:type="dxa"/>
            <w:tcBorders>
              <w:top w:val="single" w:sz="4" w:space="0" w:color="auto"/>
              <w:left w:val="single" w:sz="4" w:space="0" w:color="auto"/>
              <w:right w:val="nil"/>
            </w:tcBorders>
            <w:shd w:val="clear" w:color="000000" w:fill="FFFFFF"/>
            <w:noWrap/>
            <w:vAlign w:val="bottom"/>
          </w:tcPr>
          <w:p w14:paraId="41EF67BD" w14:textId="77777777" w:rsidR="00796462" w:rsidRPr="00E15852" w:rsidRDefault="00796462" w:rsidP="00B269BB">
            <w:pPr>
              <w:jc w:val="left"/>
              <w:rPr>
                <w:rFonts w:ascii="Cambria" w:hAnsi="Cambria"/>
                <w:sz w:val="18"/>
                <w:szCs w:val="18"/>
              </w:rPr>
            </w:pPr>
            <w:r w:rsidRPr="00E15852">
              <w:rPr>
                <w:rFonts w:ascii="Cambria" w:hAnsi="Cambria"/>
                <w:sz w:val="18"/>
                <w:szCs w:val="18"/>
              </w:rPr>
              <w:t>Corriente</w:t>
            </w:r>
          </w:p>
        </w:tc>
        <w:tc>
          <w:tcPr>
            <w:tcW w:w="1472" w:type="dxa"/>
            <w:tcBorders>
              <w:top w:val="nil"/>
              <w:left w:val="single" w:sz="4" w:space="0" w:color="auto"/>
              <w:right w:val="nil"/>
            </w:tcBorders>
            <w:shd w:val="clear" w:color="000000" w:fill="FFFFFF"/>
            <w:noWrap/>
            <w:vAlign w:val="bottom"/>
          </w:tcPr>
          <w:p w14:paraId="186B9986" w14:textId="23A17C40" w:rsidR="00796462" w:rsidRPr="00E15852" w:rsidRDefault="007368C8" w:rsidP="00B269BB">
            <w:pPr>
              <w:jc w:val="right"/>
              <w:rPr>
                <w:rFonts w:ascii="Cambria" w:hAnsi="Cambria"/>
                <w:sz w:val="18"/>
                <w:szCs w:val="18"/>
              </w:rPr>
            </w:pPr>
            <w:r>
              <w:rPr>
                <w:rFonts w:ascii="Cambria" w:hAnsi="Cambria"/>
                <w:sz w:val="18"/>
                <w:szCs w:val="18"/>
              </w:rPr>
              <w:t>61</w:t>
            </w:r>
          </w:p>
        </w:tc>
        <w:tc>
          <w:tcPr>
            <w:tcW w:w="1559" w:type="dxa"/>
            <w:tcBorders>
              <w:top w:val="nil"/>
              <w:left w:val="single" w:sz="4" w:space="0" w:color="auto"/>
              <w:right w:val="single" w:sz="4" w:space="0" w:color="auto"/>
            </w:tcBorders>
            <w:shd w:val="clear" w:color="000000" w:fill="FFFFFF"/>
            <w:noWrap/>
            <w:vAlign w:val="bottom"/>
          </w:tcPr>
          <w:p w14:paraId="72ED77AD" w14:textId="16196546" w:rsidR="00796462" w:rsidRPr="00E15852" w:rsidRDefault="002805C0" w:rsidP="00B269BB">
            <w:pPr>
              <w:jc w:val="right"/>
              <w:rPr>
                <w:rFonts w:ascii="Cambria" w:hAnsi="Cambria"/>
                <w:sz w:val="18"/>
                <w:szCs w:val="18"/>
              </w:rPr>
            </w:pPr>
            <w:r>
              <w:rPr>
                <w:rFonts w:ascii="Cambria" w:hAnsi="Cambria"/>
                <w:sz w:val="18"/>
                <w:szCs w:val="18"/>
              </w:rPr>
              <w:t>5</w:t>
            </w:r>
            <w:r w:rsidR="007368C8">
              <w:rPr>
                <w:rFonts w:ascii="Cambria" w:hAnsi="Cambria"/>
                <w:sz w:val="18"/>
                <w:szCs w:val="18"/>
              </w:rPr>
              <w:t>2</w:t>
            </w:r>
          </w:p>
        </w:tc>
      </w:tr>
      <w:tr w:rsidR="00796462" w:rsidRPr="00831BC1" w14:paraId="2A1D17EB" w14:textId="77777777" w:rsidTr="005E70D1">
        <w:trPr>
          <w:trHeight w:val="274"/>
        </w:trPr>
        <w:tc>
          <w:tcPr>
            <w:tcW w:w="5125" w:type="dxa"/>
            <w:tcBorders>
              <w:top w:val="nil"/>
              <w:left w:val="single" w:sz="4" w:space="0" w:color="auto"/>
              <w:bottom w:val="single" w:sz="4" w:space="0" w:color="auto"/>
              <w:right w:val="nil"/>
            </w:tcBorders>
            <w:shd w:val="clear" w:color="000000" w:fill="FFFFFF"/>
            <w:noWrap/>
            <w:vAlign w:val="bottom"/>
          </w:tcPr>
          <w:p w14:paraId="162FA694" w14:textId="77777777" w:rsidR="00796462" w:rsidRPr="00E15852" w:rsidRDefault="00796462" w:rsidP="00B269BB">
            <w:pPr>
              <w:jc w:val="left"/>
              <w:rPr>
                <w:rFonts w:ascii="Cambria" w:hAnsi="Cambria"/>
                <w:sz w:val="18"/>
                <w:szCs w:val="18"/>
              </w:rPr>
            </w:pPr>
            <w:r w:rsidRPr="00E15852">
              <w:rPr>
                <w:rFonts w:ascii="Cambria" w:hAnsi="Cambria"/>
                <w:sz w:val="18"/>
                <w:szCs w:val="18"/>
              </w:rPr>
              <w:t>No corriente</w:t>
            </w:r>
          </w:p>
        </w:tc>
        <w:tc>
          <w:tcPr>
            <w:tcW w:w="1472" w:type="dxa"/>
            <w:tcBorders>
              <w:top w:val="nil"/>
              <w:left w:val="single" w:sz="4" w:space="0" w:color="auto"/>
              <w:bottom w:val="single" w:sz="4" w:space="0" w:color="auto"/>
              <w:right w:val="nil"/>
            </w:tcBorders>
            <w:shd w:val="clear" w:color="000000" w:fill="FFFFFF"/>
            <w:noWrap/>
            <w:vAlign w:val="bottom"/>
          </w:tcPr>
          <w:p w14:paraId="3D163529" w14:textId="0D92E4DF" w:rsidR="00796462" w:rsidRPr="00831BC1" w:rsidRDefault="007368C8" w:rsidP="00786A3B">
            <w:pPr>
              <w:jc w:val="right"/>
              <w:rPr>
                <w:rFonts w:ascii="Cambria" w:hAnsi="Cambria"/>
                <w:sz w:val="18"/>
                <w:szCs w:val="18"/>
              </w:rPr>
            </w:pPr>
            <w:r>
              <w:rPr>
                <w:rFonts w:ascii="Cambria" w:hAnsi="Cambria"/>
                <w:sz w:val="18"/>
                <w:szCs w:val="18"/>
              </w:rPr>
              <w:t>6</w:t>
            </w:r>
            <w:r w:rsidR="004C4EE6">
              <w:rPr>
                <w:rFonts w:ascii="Cambria" w:hAnsi="Cambria"/>
                <w:sz w:val="18"/>
                <w:szCs w:val="18"/>
              </w:rPr>
              <w:t>1</w:t>
            </w:r>
          </w:p>
        </w:tc>
        <w:tc>
          <w:tcPr>
            <w:tcW w:w="1559" w:type="dxa"/>
            <w:tcBorders>
              <w:top w:val="nil"/>
              <w:left w:val="single" w:sz="4" w:space="0" w:color="auto"/>
              <w:bottom w:val="single" w:sz="4" w:space="0" w:color="auto"/>
              <w:right w:val="single" w:sz="4" w:space="0" w:color="auto"/>
            </w:tcBorders>
            <w:shd w:val="clear" w:color="000000" w:fill="FFFFFF"/>
            <w:noWrap/>
            <w:vAlign w:val="bottom"/>
          </w:tcPr>
          <w:p w14:paraId="180244FB" w14:textId="5CDD0878" w:rsidR="00796462" w:rsidRPr="00831BC1" w:rsidRDefault="002805C0" w:rsidP="00B269BB">
            <w:pPr>
              <w:jc w:val="right"/>
              <w:rPr>
                <w:rFonts w:ascii="Cambria" w:hAnsi="Cambria"/>
                <w:sz w:val="18"/>
                <w:szCs w:val="18"/>
              </w:rPr>
            </w:pPr>
            <w:r>
              <w:rPr>
                <w:rFonts w:ascii="Cambria" w:hAnsi="Cambria"/>
                <w:sz w:val="18"/>
                <w:szCs w:val="18"/>
              </w:rPr>
              <w:t>111</w:t>
            </w:r>
          </w:p>
        </w:tc>
      </w:tr>
      <w:tr w:rsidR="00796462" w:rsidRPr="00E15852" w14:paraId="17FD5181" w14:textId="77777777" w:rsidTr="005E70D1">
        <w:trPr>
          <w:trHeight w:val="97"/>
        </w:trPr>
        <w:tc>
          <w:tcPr>
            <w:tcW w:w="51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92B57D5" w14:textId="1901EDF8" w:rsidR="00796462" w:rsidRPr="00E15852" w:rsidRDefault="00796462" w:rsidP="00B269BB">
            <w:pPr>
              <w:jc w:val="left"/>
              <w:rPr>
                <w:rFonts w:ascii="Cambria" w:hAnsi="Cambria"/>
                <w:b/>
                <w:sz w:val="18"/>
                <w:szCs w:val="18"/>
              </w:rPr>
            </w:pPr>
            <w:r w:rsidRPr="00E15852">
              <w:rPr>
                <w:rFonts w:ascii="Cambria" w:hAnsi="Cambria"/>
                <w:b/>
                <w:sz w:val="18"/>
                <w:szCs w:val="18"/>
              </w:rPr>
              <w:t>Saldos totales al cierre del ejercicio 20</w:t>
            </w:r>
            <w:r w:rsidR="002805C0">
              <w:rPr>
                <w:rFonts w:ascii="Cambria" w:hAnsi="Cambria"/>
                <w:b/>
                <w:sz w:val="18"/>
                <w:szCs w:val="18"/>
              </w:rPr>
              <w:t>20</w:t>
            </w:r>
          </w:p>
        </w:tc>
        <w:tc>
          <w:tcPr>
            <w:tcW w:w="14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ED54877" w14:textId="0A0056F5" w:rsidR="00796462" w:rsidRPr="00E15852" w:rsidRDefault="007368C8" w:rsidP="00B269BB">
            <w:pPr>
              <w:jc w:val="right"/>
              <w:rPr>
                <w:rFonts w:ascii="Cambria" w:hAnsi="Cambria"/>
                <w:b/>
                <w:sz w:val="18"/>
                <w:szCs w:val="18"/>
              </w:rPr>
            </w:pPr>
            <w:r>
              <w:rPr>
                <w:rFonts w:ascii="Cambria" w:hAnsi="Cambria"/>
                <w:b/>
                <w:sz w:val="18"/>
                <w:szCs w:val="18"/>
              </w:rPr>
              <w:t>12</w:t>
            </w:r>
            <w:r w:rsidR="004C4EE6">
              <w:rPr>
                <w:rFonts w:ascii="Cambria" w:hAnsi="Cambria"/>
                <w:b/>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749DF03" w14:textId="0D6CE523" w:rsidR="00796462" w:rsidRPr="00E15852" w:rsidRDefault="007368C8" w:rsidP="00B269BB">
            <w:pPr>
              <w:jc w:val="right"/>
              <w:rPr>
                <w:rFonts w:ascii="Cambria" w:hAnsi="Cambria"/>
                <w:b/>
                <w:sz w:val="18"/>
                <w:szCs w:val="18"/>
              </w:rPr>
            </w:pPr>
            <w:r>
              <w:rPr>
                <w:rFonts w:ascii="Cambria" w:hAnsi="Cambria"/>
                <w:b/>
                <w:sz w:val="18"/>
                <w:szCs w:val="18"/>
              </w:rPr>
              <w:t>163</w:t>
            </w:r>
          </w:p>
        </w:tc>
      </w:tr>
    </w:tbl>
    <w:p w14:paraId="6C2C8C6A" w14:textId="77777777" w:rsidR="00796462" w:rsidRPr="0029277D" w:rsidRDefault="00796462" w:rsidP="007713D8">
      <w:pPr>
        <w:ind w:left="567"/>
        <w:rPr>
          <w:rFonts w:ascii="Cambria" w:hAnsi="Cambria"/>
          <w:b/>
          <w:sz w:val="24"/>
          <w:szCs w:val="24"/>
          <w:u w:val="single"/>
        </w:rPr>
      </w:pPr>
    </w:p>
    <w:p w14:paraId="0413B473" w14:textId="77777777" w:rsidR="00796462" w:rsidRDefault="00796462">
      <w:pPr>
        <w:keepLines w:val="0"/>
        <w:widowControl/>
        <w:jc w:val="left"/>
        <w:rPr>
          <w:highlight w:val="yellow"/>
        </w:rPr>
      </w:pPr>
      <w:r>
        <w:rPr>
          <w:highlight w:val="yellow"/>
        </w:rPr>
        <w:br w:type="page"/>
      </w:r>
    </w:p>
    <w:p w14:paraId="02FE4FA9" w14:textId="7888184E" w:rsidR="00146FA8" w:rsidRPr="00A37244" w:rsidRDefault="00146FA8" w:rsidP="002D6127">
      <w:pPr>
        <w:rPr>
          <w:highlight w:val="yellow"/>
        </w:rPr>
      </w:pPr>
    </w:p>
    <w:p w14:paraId="558F7D38" w14:textId="77777777" w:rsidR="00CA63AF" w:rsidRDefault="00CA63AF" w:rsidP="00CA63AF">
      <w:pPr>
        <w:ind w:left="567"/>
        <w:rPr>
          <w:rFonts w:ascii="Cambria" w:hAnsi="Cambria"/>
          <w:b/>
          <w:sz w:val="24"/>
          <w:szCs w:val="24"/>
          <w:u w:val="single"/>
        </w:rPr>
      </w:pPr>
      <w:r w:rsidRPr="0029277D">
        <w:rPr>
          <w:rFonts w:ascii="Cambria" w:hAnsi="Cambria"/>
          <w:b/>
          <w:sz w:val="24"/>
          <w:szCs w:val="24"/>
          <w:u w:val="single"/>
        </w:rPr>
        <w:t>Ejercicio 201</w:t>
      </w:r>
      <w:r>
        <w:rPr>
          <w:rFonts w:ascii="Cambria" w:hAnsi="Cambria"/>
          <w:b/>
          <w:sz w:val="24"/>
          <w:szCs w:val="24"/>
          <w:u w:val="single"/>
        </w:rPr>
        <w:t>9</w:t>
      </w:r>
    </w:p>
    <w:p w14:paraId="7CC3A874" w14:textId="77777777" w:rsidR="00CA63AF" w:rsidRDefault="00CA63AF" w:rsidP="00CA63AF">
      <w:pPr>
        <w:ind w:left="567"/>
        <w:rPr>
          <w:rFonts w:ascii="Cambria" w:hAnsi="Cambria"/>
          <w:b/>
          <w:sz w:val="24"/>
          <w:szCs w:val="24"/>
          <w:u w:val="single"/>
        </w:rPr>
      </w:pPr>
    </w:p>
    <w:tbl>
      <w:tblPr>
        <w:tblpPr w:leftFromText="141" w:rightFromText="141" w:vertAnchor="text" w:horzAnchor="page" w:tblpX="2310" w:tblpY="33"/>
        <w:tblW w:w="8156" w:type="dxa"/>
        <w:tblCellMar>
          <w:left w:w="70" w:type="dxa"/>
          <w:right w:w="70" w:type="dxa"/>
        </w:tblCellMar>
        <w:tblLook w:val="04A0" w:firstRow="1" w:lastRow="0" w:firstColumn="1" w:lastColumn="0" w:noHBand="0" w:noVBand="1"/>
      </w:tblPr>
      <w:tblGrid>
        <w:gridCol w:w="5125"/>
        <w:gridCol w:w="1472"/>
        <w:gridCol w:w="1559"/>
      </w:tblGrid>
      <w:tr w:rsidR="00CA63AF" w:rsidRPr="00E15852" w14:paraId="5E936B05" w14:textId="77777777" w:rsidTr="00A50FEA">
        <w:trPr>
          <w:trHeight w:val="418"/>
        </w:trPr>
        <w:tc>
          <w:tcPr>
            <w:tcW w:w="5125" w:type="dxa"/>
            <w:tcBorders>
              <w:top w:val="nil"/>
              <w:left w:val="nil"/>
              <w:bottom w:val="nil"/>
              <w:right w:val="nil"/>
            </w:tcBorders>
            <w:shd w:val="clear" w:color="000000" w:fill="FFFFFF"/>
            <w:noWrap/>
            <w:vAlign w:val="bottom"/>
          </w:tcPr>
          <w:p w14:paraId="7922658B" w14:textId="77777777" w:rsidR="00CA63AF" w:rsidRPr="00E15852" w:rsidRDefault="00CA63AF" w:rsidP="00A50FEA">
            <w:pPr>
              <w:jc w:val="left"/>
              <w:rPr>
                <w:rFonts w:ascii="Cambria" w:hAnsi="Cambria"/>
                <w:sz w:val="18"/>
                <w:szCs w:val="18"/>
              </w:rPr>
            </w:pPr>
          </w:p>
        </w:tc>
        <w:tc>
          <w:tcPr>
            <w:tcW w:w="1472" w:type="dxa"/>
            <w:vMerge w:val="restart"/>
            <w:tcBorders>
              <w:top w:val="single" w:sz="4" w:space="0" w:color="auto"/>
              <w:left w:val="single" w:sz="4" w:space="0" w:color="auto"/>
              <w:bottom w:val="single" w:sz="4" w:space="0" w:color="auto"/>
              <w:right w:val="nil"/>
            </w:tcBorders>
            <w:shd w:val="clear" w:color="000000" w:fill="FFFFFF"/>
            <w:vAlign w:val="bottom"/>
          </w:tcPr>
          <w:p w14:paraId="379E8BFE" w14:textId="77777777" w:rsidR="00CA63AF" w:rsidRPr="00E15852" w:rsidRDefault="00CA63AF" w:rsidP="00A50FEA">
            <w:pPr>
              <w:jc w:val="center"/>
              <w:rPr>
                <w:rFonts w:ascii="Cambria" w:hAnsi="Cambria"/>
                <w:sz w:val="18"/>
                <w:szCs w:val="18"/>
              </w:rPr>
            </w:pPr>
            <w:r w:rsidRPr="00E15852">
              <w:rPr>
                <w:rFonts w:ascii="Cambria" w:hAnsi="Cambria"/>
                <w:sz w:val="18"/>
                <w:szCs w:val="18"/>
              </w:rPr>
              <w:t>Valor Actual de los Compromisos</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14:paraId="586D6AE9" w14:textId="77777777" w:rsidR="00CA63AF" w:rsidRPr="00E15852" w:rsidRDefault="00CA63AF" w:rsidP="00A50FEA">
            <w:pPr>
              <w:jc w:val="center"/>
              <w:rPr>
                <w:rFonts w:ascii="Cambria" w:hAnsi="Cambria"/>
                <w:sz w:val="18"/>
                <w:szCs w:val="18"/>
              </w:rPr>
            </w:pPr>
            <w:r w:rsidRPr="00E15852">
              <w:rPr>
                <w:rFonts w:ascii="Cambria" w:hAnsi="Cambria"/>
                <w:sz w:val="18"/>
                <w:szCs w:val="18"/>
              </w:rPr>
              <w:t>Valor Razonable del</w:t>
            </w:r>
          </w:p>
          <w:p w14:paraId="78AB4C1A" w14:textId="77777777" w:rsidR="00CA63AF" w:rsidRPr="00E15852" w:rsidRDefault="00CA63AF" w:rsidP="00A50FEA">
            <w:pPr>
              <w:jc w:val="center"/>
              <w:rPr>
                <w:rFonts w:ascii="Cambria" w:hAnsi="Cambria"/>
                <w:sz w:val="18"/>
                <w:szCs w:val="18"/>
              </w:rPr>
            </w:pPr>
            <w:r w:rsidRPr="00E15852">
              <w:rPr>
                <w:rFonts w:ascii="Cambria" w:hAnsi="Cambria"/>
                <w:sz w:val="18"/>
                <w:szCs w:val="18"/>
              </w:rPr>
              <w:t>Activo (Nota 8.2)</w:t>
            </w:r>
          </w:p>
        </w:tc>
      </w:tr>
      <w:tr w:rsidR="00CA63AF" w:rsidRPr="00E15852" w14:paraId="79392FFC" w14:textId="77777777" w:rsidTr="00A50FEA">
        <w:trPr>
          <w:trHeight w:val="240"/>
        </w:trPr>
        <w:tc>
          <w:tcPr>
            <w:tcW w:w="5125" w:type="dxa"/>
            <w:tcBorders>
              <w:top w:val="nil"/>
              <w:left w:val="nil"/>
              <w:bottom w:val="nil"/>
              <w:right w:val="nil"/>
            </w:tcBorders>
            <w:shd w:val="clear" w:color="000000" w:fill="FFFFFF"/>
            <w:noWrap/>
            <w:vAlign w:val="bottom"/>
          </w:tcPr>
          <w:p w14:paraId="587D761B" w14:textId="77777777" w:rsidR="00CA63AF" w:rsidRPr="00E15852" w:rsidRDefault="00CA63AF" w:rsidP="00A50FEA">
            <w:pPr>
              <w:jc w:val="left"/>
              <w:rPr>
                <w:rFonts w:ascii="Cambria" w:hAnsi="Cambria"/>
                <w:sz w:val="18"/>
                <w:szCs w:val="18"/>
              </w:rPr>
            </w:pPr>
            <w:r w:rsidRPr="00E15852">
              <w:rPr>
                <w:rFonts w:ascii="Cambria" w:hAnsi="Cambria"/>
                <w:sz w:val="18"/>
                <w:szCs w:val="18"/>
              </w:rPr>
              <w:t> </w:t>
            </w:r>
          </w:p>
        </w:tc>
        <w:tc>
          <w:tcPr>
            <w:tcW w:w="1472" w:type="dxa"/>
            <w:vMerge/>
            <w:tcBorders>
              <w:top w:val="nil"/>
              <w:left w:val="single" w:sz="4" w:space="0" w:color="auto"/>
              <w:bottom w:val="single" w:sz="4" w:space="0" w:color="auto"/>
              <w:right w:val="nil"/>
            </w:tcBorders>
            <w:vAlign w:val="center"/>
          </w:tcPr>
          <w:p w14:paraId="6028DB19" w14:textId="77777777" w:rsidR="00CA63AF" w:rsidRPr="00E15852" w:rsidRDefault="00CA63AF" w:rsidP="00A50FEA">
            <w:pPr>
              <w:jc w:val="left"/>
              <w:rPr>
                <w:rFonts w:ascii="Cambria" w:hAnsi="Cambria"/>
                <w:sz w:val="18"/>
                <w:szCs w:val="18"/>
              </w:rPr>
            </w:pPr>
          </w:p>
        </w:tc>
        <w:tc>
          <w:tcPr>
            <w:tcW w:w="1559" w:type="dxa"/>
            <w:vMerge/>
            <w:tcBorders>
              <w:top w:val="nil"/>
              <w:left w:val="single" w:sz="4" w:space="0" w:color="auto"/>
              <w:bottom w:val="single" w:sz="4" w:space="0" w:color="auto"/>
              <w:right w:val="single" w:sz="4" w:space="0" w:color="auto"/>
            </w:tcBorders>
            <w:vAlign w:val="center"/>
          </w:tcPr>
          <w:p w14:paraId="1A6A4080" w14:textId="77777777" w:rsidR="00CA63AF" w:rsidRPr="00E15852" w:rsidRDefault="00CA63AF" w:rsidP="00A50FEA">
            <w:pPr>
              <w:jc w:val="left"/>
              <w:rPr>
                <w:rFonts w:ascii="Cambria" w:hAnsi="Cambria"/>
                <w:sz w:val="18"/>
                <w:szCs w:val="18"/>
              </w:rPr>
            </w:pPr>
          </w:p>
        </w:tc>
      </w:tr>
      <w:tr w:rsidR="00CA63AF" w:rsidRPr="00E15852" w14:paraId="06A85DB2" w14:textId="77777777" w:rsidTr="00A50FEA">
        <w:trPr>
          <w:trHeight w:val="240"/>
        </w:trPr>
        <w:tc>
          <w:tcPr>
            <w:tcW w:w="5125" w:type="dxa"/>
            <w:tcBorders>
              <w:top w:val="nil"/>
              <w:left w:val="nil"/>
              <w:bottom w:val="single" w:sz="4" w:space="0" w:color="auto"/>
              <w:right w:val="nil"/>
            </w:tcBorders>
            <w:shd w:val="clear" w:color="000000" w:fill="FFFFFF"/>
            <w:noWrap/>
            <w:vAlign w:val="bottom"/>
          </w:tcPr>
          <w:p w14:paraId="21F2CD4F" w14:textId="77777777" w:rsidR="00CA63AF" w:rsidRPr="00E15852" w:rsidRDefault="00CA63AF" w:rsidP="00A50FEA">
            <w:pPr>
              <w:jc w:val="left"/>
              <w:rPr>
                <w:rFonts w:ascii="Cambria" w:hAnsi="Cambria"/>
                <w:sz w:val="18"/>
                <w:szCs w:val="18"/>
              </w:rPr>
            </w:pPr>
            <w:r w:rsidRPr="00E15852">
              <w:rPr>
                <w:rFonts w:ascii="Cambria" w:hAnsi="Cambria"/>
                <w:sz w:val="18"/>
                <w:szCs w:val="18"/>
              </w:rPr>
              <w:t> </w:t>
            </w:r>
          </w:p>
        </w:tc>
        <w:tc>
          <w:tcPr>
            <w:tcW w:w="1472" w:type="dxa"/>
            <w:vMerge/>
            <w:tcBorders>
              <w:top w:val="nil"/>
              <w:left w:val="single" w:sz="4" w:space="0" w:color="auto"/>
              <w:bottom w:val="single" w:sz="4" w:space="0" w:color="auto"/>
              <w:right w:val="nil"/>
            </w:tcBorders>
            <w:vAlign w:val="center"/>
          </w:tcPr>
          <w:p w14:paraId="7ABB25CA" w14:textId="77777777" w:rsidR="00CA63AF" w:rsidRPr="00E15852" w:rsidRDefault="00CA63AF" w:rsidP="00A50FEA">
            <w:pPr>
              <w:jc w:val="left"/>
              <w:rPr>
                <w:rFonts w:ascii="Cambria" w:hAnsi="Cambria"/>
                <w:sz w:val="18"/>
                <w:szCs w:val="18"/>
              </w:rPr>
            </w:pPr>
          </w:p>
        </w:tc>
        <w:tc>
          <w:tcPr>
            <w:tcW w:w="1559" w:type="dxa"/>
            <w:vMerge/>
            <w:tcBorders>
              <w:top w:val="nil"/>
              <w:left w:val="single" w:sz="4" w:space="0" w:color="auto"/>
              <w:bottom w:val="single" w:sz="4" w:space="0" w:color="auto"/>
              <w:right w:val="single" w:sz="4" w:space="0" w:color="auto"/>
            </w:tcBorders>
            <w:vAlign w:val="center"/>
          </w:tcPr>
          <w:p w14:paraId="78A5AB45" w14:textId="77777777" w:rsidR="00CA63AF" w:rsidRPr="00E15852" w:rsidRDefault="00CA63AF" w:rsidP="00A50FEA">
            <w:pPr>
              <w:jc w:val="left"/>
              <w:rPr>
                <w:rFonts w:ascii="Cambria" w:hAnsi="Cambria"/>
                <w:sz w:val="18"/>
                <w:szCs w:val="18"/>
              </w:rPr>
            </w:pPr>
          </w:p>
        </w:tc>
      </w:tr>
      <w:tr w:rsidR="00CA63AF" w:rsidRPr="00E15852" w14:paraId="3FCAFF34" w14:textId="77777777" w:rsidTr="00A50FEA">
        <w:trPr>
          <w:trHeight w:val="240"/>
        </w:trPr>
        <w:tc>
          <w:tcPr>
            <w:tcW w:w="5125" w:type="dxa"/>
            <w:tcBorders>
              <w:top w:val="single" w:sz="4" w:space="0" w:color="auto"/>
              <w:left w:val="single" w:sz="4" w:space="0" w:color="auto"/>
              <w:right w:val="nil"/>
            </w:tcBorders>
            <w:shd w:val="clear" w:color="000000" w:fill="FFFFFF"/>
            <w:noWrap/>
            <w:vAlign w:val="bottom"/>
          </w:tcPr>
          <w:p w14:paraId="041F313C" w14:textId="77777777" w:rsidR="00CA63AF" w:rsidRPr="00E15852" w:rsidRDefault="00CA63AF" w:rsidP="00A50FEA">
            <w:pPr>
              <w:jc w:val="left"/>
              <w:rPr>
                <w:rFonts w:ascii="Cambria" w:hAnsi="Cambria"/>
                <w:sz w:val="18"/>
                <w:szCs w:val="18"/>
              </w:rPr>
            </w:pPr>
            <w:r w:rsidRPr="00E15852">
              <w:rPr>
                <w:rFonts w:ascii="Cambria" w:hAnsi="Cambria"/>
                <w:sz w:val="18"/>
                <w:szCs w:val="18"/>
              </w:rPr>
              <w:t>Corriente</w:t>
            </w:r>
          </w:p>
        </w:tc>
        <w:tc>
          <w:tcPr>
            <w:tcW w:w="1472" w:type="dxa"/>
            <w:tcBorders>
              <w:top w:val="nil"/>
              <w:left w:val="single" w:sz="4" w:space="0" w:color="auto"/>
              <w:right w:val="nil"/>
            </w:tcBorders>
            <w:shd w:val="clear" w:color="000000" w:fill="FFFFFF"/>
            <w:noWrap/>
            <w:vAlign w:val="bottom"/>
          </w:tcPr>
          <w:p w14:paraId="3BB08DC9" w14:textId="77777777" w:rsidR="00CA63AF" w:rsidRPr="00E15852" w:rsidRDefault="00CA63AF" w:rsidP="00A50FEA">
            <w:pPr>
              <w:jc w:val="right"/>
              <w:rPr>
                <w:rFonts w:ascii="Cambria" w:hAnsi="Cambria"/>
                <w:sz w:val="18"/>
                <w:szCs w:val="18"/>
              </w:rPr>
            </w:pPr>
            <w:r>
              <w:rPr>
                <w:rFonts w:ascii="Cambria" w:hAnsi="Cambria"/>
                <w:sz w:val="18"/>
                <w:szCs w:val="18"/>
              </w:rPr>
              <w:t>70</w:t>
            </w:r>
          </w:p>
        </w:tc>
        <w:tc>
          <w:tcPr>
            <w:tcW w:w="1559" w:type="dxa"/>
            <w:tcBorders>
              <w:top w:val="nil"/>
              <w:left w:val="single" w:sz="4" w:space="0" w:color="auto"/>
              <w:right w:val="single" w:sz="4" w:space="0" w:color="auto"/>
            </w:tcBorders>
            <w:shd w:val="clear" w:color="000000" w:fill="FFFFFF"/>
            <w:noWrap/>
            <w:vAlign w:val="bottom"/>
          </w:tcPr>
          <w:p w14:paraId="7F3C1A54" w14:textId="77777777" w:rsidR="00CA63AF" w:rsidRPr="00E15852" w:rsidRDefault="00CA63AF" w:rsidP="00A50FEA">
            <w:pPr>
              <w:jc w:val="right"/>
              <w:rPr>
                <w:rFonts w:ascii="Cambria" w:hAnsi="Cambria"/>
                <w:sz w:val="18"/>
                <w:szCs w:val="18"/>
              </w:rPr>
            </w:pPr>
            <w:r>
              <w:rPr>
                <w:rFonts w:ascii="Cambria" w:hAnsi="Cambria"/>
                <w:sz w:val="18"/>
                <w:szCs w:val="18"/>
              </w:rPr>
              <w:t>86</w:t>
            </w:r>
          </w:p>
        </w:tc>
      </w:tr>
      <w:tr w:rsidR="00CA63AF" w:rsidRPr="00831BC1" w14:paraId="4ECD9D0E" w14:textId="77777777" w:rsidTr="00A50FEA">
        <w:trPr>
          <w:trHeight w:val="274"/>
        </w:trPr>
        <w:tc>
          <w:tcPr>
            <w:tcW w:w="5125" w:type="dxa"/>
            <w:tcBorders>
              <w:top w:val="nil"/>
              <w:left w:val="single" w:sz="4" w:space="0" w:color="auto"/>
              <w:bottom w:val="single" w:sz="4" w:space="0" w:color="auto"/>
              <w:right w:val="nil"/>
            </w:tcBorders>
            <w:shd w:val="clear" w:color="000000" w:fill="FFFFFF"/>
            <w:noWrap/>
            <w:vAlign w:val="bottom"/>
          </w:tcPr>
          <w:p w14:paraId="69AD3CF0" w14:textId="77777777" w:rsidR="00CA63AF" w:rsidRPr="00E15852" w:rsidRDefault="00CA63AF" w:rsidP="00A50FEA">
            <w:pPr>
              <w:jc w:val="left"/>
              <w:rPr>
                <w:rFonts w:ascii="Cambria" w:hAnsi="Cambria"/>
                <w:sz w:val="18"/>
                <w:szCs w:val="18"/>
              </w:rPr>
            </w:pPr>
            <w:r w:rsidRPr="00E15852">
              <w:rPr>
                <w:rFonts w:ascii="Cambria" w:hAnsi="Cambria"/>
                <w:sz w:val="18"/>
                <w:szCs w:val="18"/>
              </w:rPr>
              <w:t>No corriente</w:t>
            </w:r>
          </w:p>
        </w:tc>
        <w:tc>
          <w:tcPr>
            <w:tcW w:w="1472" w:type="dxa"/>
            <w:tcBorders>
              <w:top w:val="nil"/>
              <w:left w:val="single" w:sz="4" w:space="0" w:color="auto"/>
              <w:bottom w:val="single" w:sz="4" w:space="0" w:color="auto"/>
              <w:right w:val="nil"/>
            </w:tcBorders>
            <w:shd w:val="clear" w:color="000000" w:fill="FFFFFF"/>
            <w:noWrap/>
            <w:vAlign w:val="bottom"/>
          </w:tcPr>
          <w:p w14:paraId="3607B53B" w14:textId="77777777" w:rsidR="00CA63AF" w:rsidRPr="00831BC1" w:rsidRDefault="00CA63AF" w:rsidP="00A50FEA">
            <w:pPr>
              <w:jc w:val="right"/>
              <w:rPr>
                <w:rFonts w:ascii="Cambria" w:hAnsi="Cambria"/>
                <w:sz w:val="18"/>
                <w:szCs w:val="18"/>
              </w:rPr>
            </w:pPr>
            <w:r>
              <w:rPr>
                <w:rFonts w:ascii="Cambria" w:hAnsi="Cambria"/>
                <w:sz w:val="18"/>
                <w:szCs w:val="18"/>
              </w:rPr>
              <w:t>122</w:t>
            </w:r>
          </w:p>
        </w:tc>
        <w:tc>
          <w:tcPr>
            <w:tcW w:w="1559" w:type="dxa"/>
            <w:tcBorders>
              <w:top w:val="nil"/>
              <w:left w:val="single" w:sz="4" w:space="0" w:color="auto"/>
              <w:bottom w:val="single" w:sz="4" w:space="0" w:color="auto"/>
              <w:right w:val="single" w:sz="4" w:space="0" w:color="auto"/>
            </w:tcBorders>
            <w:shd w:val="clear" w:color="000000" w:fill="FFFFFF"/>
            <w:noWrap/>
            <w:vAlign w:val="bottom"/>
          </w:tcPr>
          <w:p w14:paraId="60C05D71" w14:textId="77777777" w:rsidR="00CA63AF" w:rsidRPr="00831BC1" w:rsidRDefault="00CA63AF" w:rsidP="00A50FEA">
            <w:pPr>
              <w:jc w:val="right"/>
              <w:rPr>
                <w:rFonts w:ascii="Cambria" w:hAnsi="Cambria"/>
                <w:sz w:val="18"/>
                <w:szCs w:val="18"/>
              </w:rPr>
            </w:pPr>
            <w:r>
              <w:rPr>
                <w:rFonts w:ascii="Cambria" w:hAnsi="Cambria"/>
                <w:sz w:val="18"/>
                <w:szCs w:val="18"/>
              </w:rPr>
              <w:t>163</w:t>
            </w:r>
          </w:p>
        </w:tc>
      </w:tr>
      <w:tr w:rsidR="00CA63AF" w:rsidRPr="00E15852" w14:paraId="15F87FE6" w14:textId="77777777" w:rsidTr="00A50FEA">
        <w:trPr>
          <w:trHeight w:val="97"/>
        </w:trPr>
        <w:tc>
          <w:tcPr>
            <w:tcW w:w="51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0EF63B" w14:textId="77777777" w:rsidR="00CA63AF" w:rsidRPr="00E15852" w:rsidRDefault="00CA63AF" w:rsidP="00A50FEA">
            <w:pPr>
              <w:jc w:val="left"/>
              <w:rPr>
                <w:rFonts w:ascii="Cambria" w:hAnsi="Cambria"/>
                <w:b/>
                <w:sz w:val="18"/>
                <w:szCs w:val="18"/>
              </w:rPr>
            </w:pPr>
            <w:r w:rsidRPr="00E15852">
              <w:rPr>
                <w:rFonts w:ascii="Cambria" w:hAnsi="Cambria"/>
                <w:b/>
                <w:sz w:val="18"/>
                <w:szCs w:val="18"/>
              </w:rPr>
              <w:t>Saldos totales al cierre del ejercicio 201</w:t>
            </w:r>
            <w:r>
              <w:rPr>
                <w:rFonts w:ascii="Cambria" w:hAnsi="Cambria"/>
                <w:b/>
                <w:sz w:val="18"/>
                <w:szCs w:val="18"/>
              </w:rPr>
              <w:t>9</w:t>
            </w:r>
          </w:p>
        </w:tc>
        <w:tc>
          <w:tcPr>
            <w:tcW w:w="14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6090E98" w14:textId="77777777" w:rsidR="00CA63AF" w:rsidRPr="00E15852" w:rsidRDefault="00CA63AF" w:rsidP="00A50FEA">
            <w:pPr>
              <w:jc w:val="right"/>
              <w:rPr>
                <w:rFonts w:ascii="Cambria" w:hAnsi="Cambria"/>
                <w:b/>
                <w:sz w:val="18"/>
                <w:szCs w:val="18"/>
              </w:rPr>
            </w:pPr>
            <w:r>
              <w:rPr>
                <w:rFonts w:ascii="Cambria" w:hAnsi="Cambria"/>
                <w:b/>
                <w:sz w:val="18"/>
                <w:szCs w:val="18"/>
              </w:rPr>
              <w:t>192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81E344" w14:textId="77777777" w:rsidR="00CA63AF" w:rsidRPr="00E15852" w:rsidRDefault="00CA63AF" w:rsidP="00A50FEA">
            <w:pPr>
              <w:jc w:val="right"/>
              <w:rPr>
                <w:rFonts w:ascii="Cambria" w:hAnsi="Cambria"/>
                <w:b/>
                <w:sz w:val="18"/>
                <w:szCs w:val="18"/>
              </w:rPr>
            </w:pPr>
            <w:r>
              <w:rPr>
                <w:rFonts w:ascii="Cambria" w:hAnsi="Cambria"/>
                <w:b/>
                <w:sz w:val="18"/>
                <w:szCs w:val="18"/>
              </w:rPr>
              <w:t>249</w:t>
            </w:r>
          </w:p>
        </w:tc>
      </w:tr>
    </w:tbl>
    <w:p w14:paraId="1F8DD740" w14:textId="77777777" w:rsidR="00146FA8" w:rsidRPr="00E15852" w:rsidRDefault="00146FA8" w:rsidP="002D6127"/>
    <w:p w14:paraId="1F878233" w14:textId="77777777" w:rsidR="008A1057" w:rsidRPr="00E15852" w:rsidRDefault="008A1057" w:rsidP="00E25A8A">
      <w:pPr>
        <w:pStyle w:val="Ttulo1a"/>
        <w:ind w:left="567"/>
        <w:rPr>
          <w:rFonts w:ascii="Cambria" w:hAnsi="Cambria"/>
          <w:sz w:val="24"/>
          <w:szCs w:val="24"/>
        </w:rPr>
      </w:pPr>
    </w:p>
    <w:p w14:paraId="4588EC5D" w14:textId="77777777" w:rsidR="003F44C8" w:rsidRPr="001940D5" w:rsidRDefault="003F44C8" w:rsidP="003F44C8">
      <w:pPr>
        <w:pStyle w:val="Listaconnmeros"/>
        <w:ind w:left="720" w:firstLine="0"/>
        <w:rPr>
          <w:rFonts w:ascii="Cambria" w:hAnsi="Cambria"/>
          <w:szCs w:val="24"/>
        </w:rPr>
      </w:pPr>
    </w:p>
    <w:p w14:paraId="30E09549" w14:textId="77777777" w:rsidR="00E573BC" w:rsidRPr="001940D5" w:rsidRDefault="00E573BC" w:rsidP="0060571A">
      <w:pPr>
        <w:pStyle w:val="Ttulo2"/>
        <w:keepNext/>
        <w:numPr>
          <w:ilvl w:val="0"/>
          <w:numId w:val="16"/>
        </w:numPr>
        <w:ind w:left="993" w:hanging="426"/>
        <w:rPr>
          <w:rFonts w:ascii="Cambria" w:hAnsi="Cambria"/>
          <w:b w:val="0"/>
          <w:i/>
          <w:sz w:val="24"/>
          <w:szCs w:val="24"/>
          <w:lang w:val="es-ES"/>
        </w:rPr>
      </w:pPr>
      <w:r w:rsidRPr="001940D5">
        <w:rPr>
          <w:rFonts w:ascii="Cambria" w:hAnsi="Cambria"/>
          <w:b w:val="0"/>
          <w:i/>
          <w:sz w:val="24"/>
          <w:szCs w:val="24"/>
          <w:lang w:val="es-ES"/>
        </w:rPr>
        <w:t>Costes de ampliación del ERE de AHV.</w:t>
      </w:r>
    </w:p>
    <w:p w14:paraId="32CBE1C5" w14:textId="77777777" w:rsidR="00D96E62" w:rsidRPr="001940D5" w:rsidRDefault="00D96E62" w:rsidP="00E25A8A">
      <w:pPr>
        <w:pStyle w:val="Ttulo1a"/>
        <w:ind w:left="567"/>
        <w:rPr>
          <w:rFonts w:ascii="Cambria" w:hAnsi="Cambria"/>
          <w:sz w:val="24"/>
          <w:szCs w:val="24"/>
        </w:rPr>
      </w:pPr>
    </w:p>
    <w:p w14:paraId="52A10AA6" w14:textId="017A5750" w:rsidR="00493CBC" w:rsidRPr="001940D5" w:rsidRDefault="00D96E62" w:rsidP="00E25A8A">
      <w:pPr>
        <w:pStyle w:val="Ttulo1a"/>
        <w:ind w:left="567"/>
        <w:rPr>
          <w:rFonts w:ascii="Cambria" w:hAnsi="Cambria"/>
          <w:sz w:val="24"/>
          <w:szCs w:val="24"/>
        </w:rPr>
      </w:pPr>
      <w:smartTag w:uri="urn:schemas-microsoft-com:office:smarttags" w:element="PersonName">
        <w:smartTagPr>
          <w:attr w:name="ProductID" w:val="la Direcci￳n General"/>
        </w:smartTagPr>
        <w:r w:rsidRPr="001940D5">
          <w:rPr>
            <w:rFonts w:ascii="Cambria" w:hAnsi="Cambria"/>
            <w:sz w:val="24"/>
            <w:szCs w:val="24"/>
          </w:rPr>
          <w:t>La Dirección General</w:t>
        </w:r>
      </w:smartTag>
      <w:r w:rsidRPr="001940D5">
        <w:rPr>
          <w:rFonts w:ascii="Cambria" w:hAnsi="Cambria"/>
          <w:sz w:val="24"/>
          <w:szCs w:val="24"/>
        </w:rPr>
        <w:t xml:space="preserve"> de Trabajo aprobó en 2010 la ampliación del ERE para los trabajadores de </w:t>
      </w:r>
      <w:smartTag w:uri="urn:schemas-microsoft-com:office:smarttags" w:element="PersonName">
        <w:smartTagPr>
          <w:attr w:name="ProductID" w:val="la filial AEC"/>
        </w:smartTagPr>
        <w:r w:rsidRPr="001940D5">
          <w:rPr>
            <w:rFonts w:ascii="Cambria" w:hAnsi="Cambria"/>
            <w:sz w:val="24"/>
            <w:szCs w:val="24"/>
          </w:rPr>
          <w:t xml:space="preserve">la </w:t>
        </w:r>
        <w:r w:rsidR="002D228F" w:rsidRPr="001940D5">
          <w:rPr>
            <w:rFonts w:ascii="Cambria" w:hAnsi="Cambria"/>
            <w:sz w:val="24"/>
            <w:szCs w:val="24"/>
          </w:rPr>
          <w:t>filial</w:t>
        </w:r>
        <w:r w:rsidRPr="001940D5">
          <w:rPr>
            <w:rFonts w:ascii="Cambria" w:hAnsi="Cambria"/>
            <w:sz w:val="24"/>
            <w:szCs w:val="24"/>
          </w:rPr>
          <w:t xml:space="preserve"> AEC</w:t>
        </w:r>
      </w:smartTag>
      <w:r w:rsidRPr="001940D5">
        <w:rPr>
          <w:rFonts w:ascii="Cambria" w:hAnsi="Cambria"/>
          <w:sz w:val="24"/>
          <w:szCs w:val="24"/>
        </w:rPr>
        <w:t xml:space="preserve">, procedentes de AHV, que a fecha de 30 de noviembre de 2012 tuvieran 52 o más años. Dicha ampliación </w:t>
      </w:r>
      <w:r w:rsidR="003033B1" w:rsidRPr="001940D5">
        <w:rPr>
          <w:rFonts w:ascii="Cambria" w:hAnsi="Cambria"/>
          <w:sz w:val="24"/>
          <w:szCs w:val="24"/>
        </w:rPr>
        <w:t>no se ha</w:t>
      </w:r>
      <w:r w:rsidR="003A4CAF">
        <w:rPr>
          <w:rFonts w:ascii="Cambria" w:hAnsi="Cambria"/>
          <w:sz w:val="24"/>
          <w:szCs w:val="24"/>
        </w:rPr>
        <w:t xml:space="preserve"> exteriorizado, y por tanto la S</w:t>
      </w:r>
      <w:r w:rsidR="003033B1" w:rsidRPr="001940D5">
        <w:rPr>
          <w:rFonts w:ascii="Cambria" w:hAnsi="Cambria"/>
          <w:sz w:val="24"/>
          <w:szCs w:val="24"/>
        </w:rPr>
        <w:t>ociedad no ha dado de alta a estos</w:t>
      </w:r>
      <w:r w:rsidRPr="001940D5">
        <w:rPr>
          <w:rFonts w:ascii="Cambria" w:hAnsi="Cambria"/>
          <w:sz w:val="24"/>
          <w:szCs w:val="24"/>
        </w:rPr>
        <w:t xml:space="preserve"> trabajadores en las pól</w:t>
      </w:r>
      <w:r w:rsidR="003033B1" w:rsidRPr="001940D5">
        <w:rPr>
          <w:rFonts w:ascii="Cambria" w:hAnsi="Cambria"/>
          <w:sz w:val="24"/>
          <w:szCs w:val="24"/>
        </w:rPr>
        <w:t>izas de complementos</w:t>
      </w:r>
      <w:r w:rsidR="00493CBC" w:rsidRPr="001940D5">
        <w:rPr>
          <w:rFonts w:ascii="Cambria" w:hAnsi="Cambria"/>
          <w:sz w:val="24"/>
          <w:szCs w:val="24"/>
        </w:rPr>
        <w:t xml:space="preserve"> </w:t>
      </w:r>
      <w:r w:rsidR="00F87783" w:rsidRPr="001940D5">
        <w:rPr>
          <w:rFonts w:ascii="Cambria" w:hAnsi="Cambria"/>
          <w:sz w:val="24"/>
          <w:szCs w:val="24"/>
        </w:rPr>
        <w:t>procedentes de la filial AHV.</w:t>
      </w:r>
    </w:p>
    <w:p w14:paraId="0722521B" w14:textId="77777777" w:rsidR="00493CBC" w:rsidRPr="00A37244" w:rsidRDefault="00493CBC" w:rsidP="00E25A8A">
      <w:pPr>
        <w:pStyle w:val="Ttulo1a"/>
        <w:ind w:left="567"/>
        <w:rPr>
          <w:rFonts w:ascii="Cambria" w:hAnsi="Cambria"/>
          <w:sz w:val="24"/>
          <w:szCs w:val="24"/>
          <w:highlight w:val="yellow"/>
        </w:rPr>
      </w:pPr>
    </w:p>
    <w:p w14:paraId="4AB49A71" w14:textId="3DE7401F" w:rsidR="00D96E62" w:rsidRPr="001940D5" w:rsidRDefault="00493CBC" w:rsidP="00E25A8A">
      <w:pPr>
        <w:pStyle w:val="Ttulo1a"/>
        <w:ind w:left="567"/>
        <w:rPr>
          <w:rFonts w:ascii="Cambria" w:hAnsi="Cambria"/>
          <w:sz w:val="24"/>
          <w:szCs w:val="24"/>
        </w:rPr>
      </w:pPr>
      <w:r w:rsidRPr="001940D5">
        <w:rPr>
          <w:rFonts w:ascii="Cambria" w:hAnsi="Cambria"/>
          <w:sz w:val="24"/>
          <w:szCs w:val="24"/>
        </w:rPr>
        <w:t>Al cierre de los ejercicios 20</w:t>
      </w:r>
      <w:r w:rsidR="007368C8">
        <w:rPr>
          <w:rFonts w:ascii="Cambria" w:hAnsi="Cambria"/>
          <w:sz w:val="24"/>
          <w:szCs w:val="24"/>
        </w:rPr>
        <w:t>20</w:t>
      </w:r>
      <w:r w:rsidRPr="001940D5">
        <w:rPr>
          <w:rFonts w:ascii="Cambria" w:hAnsi="Cambria"/>
          <w:sz w:val="24"/>
          <w:szCs w:val="24"/>
        </w:rPr>
        <w:t xml:space="preserve"> y 201</w:t>
      </w:r>
      <w:r w:rsidR="007368C8">
        <w:rPr>
          <w:rFonts w:ascii="Cambria" w:hAnsi="Cambria"/>
          <w:sz w:val="24"/>
          <w:szCs w:val="24"/>
        </w:rPr>
        <w:t>9</w:t>
      </w:r>
      <w:r w:rsidRPr="001940D5">
        <w:rPr>
          <w:rFonts w:ascii="Cambria" w:hAnsi="Cambria"/>
          <w:sz w:val="24"/>
          <w:szCs w:val="24"/>
        </w:rPr>
        <w:t xml:space="preserve">, se han realizado por </w:t>
      </w:r>
      <w:r w:rsidR="00DB5774" w:rsidRPr="001940D5">
        <w:rPr>
          <w:rFonts w:ascii="Cambria" w:hAnsi="Cambria"/>
          <w:sz w:val="24"/>
          <w:szCs w:val="24"/>
        </w:rPr>
        <w:t>actuarios cualificados</w:t>
      </w:r>
      <w:r w:rsidRPr="001940D5">
        <w:rPr>
          <w:rFonts w:ascii="Cambria" w:hAnsi="Cambria"/>
          <w:sz w:val="24"/>
          <w:szCs w:val="24"/>
        </w:rPr>
        <w:t xml:space="preserve">, los estudios actuariales necesarios para valorar estos complementos. </w:t>
      </w:r>
    </w:p>
    <w:p w14:paraId="0D95C994" w14:textId="16875FC4" w:rsidR="002D228F" w:rsidRPr="00A37244" w:rsidRDefault="002D228F" w:rsidP="00E25A8A">
      <w:pPr>
        <w:pStyle w:val="Ttulo1a"/>
        <w:ind w:left="567"/>
        <w:rPr>
          <w:rFonts w:ascii="Cambria" w:hAnsi="Cambria"/>
          <w:sz w:val="24"/>
          <w:szCs w:val="24"/>
          <w:highlight w:val="yellow"/>
        </w:rPr>
      </w:pPr>
    </w:p>
    <w:p w14:paraId="4662F527" w14:textId="77777777" w:rsidR="002D228F" w:rsidRPr="001940D5" w:rsidRDefault="002D228F" w:rsidP="00E25A8A">
      <w:pPr>
        <w:ind w:left="567"/>
        <w:rPr>
          <w:rFonts w:ascii="Cambria" w:hAnsi="Cambria"/>
          <w:sz w:val="24"/>
          <w:u w:val="single"/>
        </w:rPr>
      </w:pPr>
      <w:r w:rsidRPr="001940D5">
        <w:rPr>
          <w:rFonts w:ascii="Cambria" w:hAnsi="Cambria"/>
          <w:sz w:val="24"/>
          <w:u w:val="single"/>
        </w:rPr>
        <w:t>Hipótesis actuariales utilizadas:</w:t>
      </w:r>
    </w:p>
    <w:p w14:paraId="5D63B075" w14:textId="77777777" w:rsidR="002D228F" w:rsidRPr="00A37244" w:rsidRDefault="002D228F" w:rsidP="002D228F">
      <w:pPr>
        <w:ind w:left="720"/>
        <w:rPr>
          <w:rFonts w:ascii="Cambria" w:hAnsi="Cambria"/>
          <w:sz w:val="24"/>
          <w:szCs w:val="22"/>
          <w:highlight w:val="yellow"/>
          <w:u w:val="single"/>
        </w:rPr>
      </w:pPr>
    </w:p>
    <w:tbl>
      <w:tblPr>
        <w:tblW w:w="66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2"/>
        <w:gridCol w:w="2449"/>
        <w:gridCol w:w="1641"/>
      </w:tblGrid>
      <w:tr w:rsidR="007368C8" w:rsidRPr="00A37244" w14:paraId="2BA2A6C9" w14:textId="77777777" w:rsidTr="007368C8">
        <w:trPr>
          <w:trHeight w:hRule="exact" w:val="283"/>
        </w:trPr>
        <w:tc>
          <w:tcPr>
            <w:tcW w:w="3379" w:type="dxa"/>
            <w:tcBorders>
              <w:bottom w:val="single" w:sz="4" w:space="0" w:color="auto"/>
            </w:tcBorders>
            <w:shd w:val="clear" w:color="auto" w:fill="auto"/>
            <w:vAlign w:val="bottom"/>
          </w:tcPr>
          <w:p w14:paraId="547569CB" w14:textId="77777777" w:rsidR="007368C8" w:rsidRPr="001940D5" w:rsidRDefault="007368C8" w:rsidP="007368C8">
            <w:pPr>
              <w:jc w:val="center"/>
              <w:rPr>
                <w:rFonts w:ascii="Cambria" w:hAnsi="Cambria"/>
                <w:b/>
                <w:bCs/>
                <w:color w:val="000000"/>
                <w:sz w:val="20"/>
                <w:szCs w:val="22"/>
              </w:rPr>
            </w:pPr>
            <w:r w:rsidRPr="001940D5">
              <w:rPr>
                <w:rFonts w:ascii="Cambria" w:hAnsi="Cambria"/>
                <w:b/>
                <w:bCs/>
                <w:color w:val="000000"/>
                <w:sz w:val="20"/>
                <w:szCs w:val="22"/>
              </w:rPr>
              <w:t>Hipótesis actuariales</w:t>
            </w:r>
          </w:p>
        </w:tc>
        <w:tc>
          <w:tcPr>
            <w:tcW w:w="1418" w:type="dxa"/>
            <w:tcBorders>
              <w:bottom w:val="single" w:sz="4" w:space="0" w:color="auto"/>
            </w:tcBorders>
            <w:vAlign w:val="bottom"/>
          </w:tcPr>
          <w:p w14:paraId="3768832A" w14:textId="235D37A0" w:rsidR="007368C8" w:rsidRPr="001940D5" w:rsidRDefault="007368C8" w:rsidP="007368C8">
            <w:pPr>
              <w:jc w:val="center"/>
              <w:rPr>
                <w:rFonts w:ascii="Cambria" w:hAnsi="Cambria"/>
                <w:b/>
                <w:bCs/>
                <w:color w:val="000000"/>
                <w:sz w:val="20"/>
                <w:szCs w:val="22"/>
              </w:rPr>
            </w:pPr>
            <w:r>
              <w:rPr>
                <w:rFonts w:ascii="Cambria" w:hAnsi="Cambria"/>
                <w:b/>
                <w:bCs/>
                <w:color w:val="000000"/>
                <w:sz w:val="20"/>
                <w:szCs w:val="22"/>
              </w:rPr>
              <w:t>2020</w:t>
            </w:r>
          </w:p>
        </w:tc>
        <w:tc>
          <w:tcPr>
            <w:tcW w:w="1805" w:type="dxa"/>
            <w:tcBorders>
              <w:bottom w:val="single" w:sz="4" w:space="0" w:color="auto"/>
            </w:tcBorders>
            <w:vAlign w:val="bottom"/>
          </w:tcPr>
          <w:p w14:paraId="4BB9F5CC" w14:textId="5EAD4329" w:rsidR="007368C8" w:rsidRDefault="007368C8" w:rsidP="007368C8">
            <w:pPr>
              <w:jc w:val="center"/>
              <w:rPr>
                <w:rFonts w:ascii="Cambria" w:hAnsi="Cambria"/>
                <w:b/>
                <w:bCs/>
                <w:color w:val="000000"/>
                <w:sz w:val="20"/>
                <w:szCs w:val="22"/>
              </w:rPr>
            </w:pPr>
            <w:r>
              <w:rPr>
                <w:rFonts w:ascii="Cambria" w:hAnsi="Cambria"/>
                <w:b/>
                <w:bCs/>
                <w:color w:val="000000"/>
                <w:sz w:val="20"/>
                <w:szCs w:val="22"/>
              </w:rPr>
              <w:t>2019</w:t>
            </w:r>
          </w:p>
        </w:tc>
      </w:tr>
      <w:tr w:rsidR="007368C8" w:rsidRPr="00A37244" w14:paraId="0623838F" w14:textId="77777777" w:rsidTr="005B7B1D">
        <w:trPr>
          <w:trHeight w:hRule="exact" w:val="227"/>
        </w:trPr>
        <w:tc>
          <w:tcPr>
            <w:tcW w:w="3379" w:type="dxa"/>
            <w:tcBorders>
              <w:top w:val="nil"/>
              <w:bottom w:val="nil"/>
            </w:tcBorders>
            <w:shd w:val="clear" w:color="auto" w:fill="auto"/>
            <w:vAlign w:val="bottom"/>
          </w:tcPr>
          <w:p w14:paraId="19E5430A" w14:textId="77777777" w:rsidR="007368C8" w:rsidRPr="00831BC1" w:rsidRDefault="007368C8" w:rsidP="007368C8">
            <w:pPr>
              <w:rPr>
                <w:rFonts w:ascii="Cambria" w:hAnsi="Cambria"/>
                <w:color w:val="000000"/>
                <w:sz w:val="20"/>
                <w:szCs w:val="22"/>
              </w:rPr>
            </w:pPr>
            <w:r w:rsidRPr="00831BC1">
              <w:rPr>
                <w:rFonts w:ascii="Cambria" w:hAnsi="Cambria"/>
                <w:color w:val="000000"/>
                <w:sz w:val="20"/>
                <w:szCs w:val="22"/>
              </w:rPr>
              <w:t>Tipo de interés técnico</w:t>
            </w:r>
          </w:p>
        </w:tc>
        <w:tc>
          <w:tcPr>
            <w:tcW w:w="1418" w:type="dxa"/>
            <w:tcBorders>
              <w:top w:val="nil"/>
              <w:bottom w:val="nil"/>
            </w:tcBorders>
            <w:vAlign w:val="bottom"/>
          </w:tcPr>
          <w:p w14:paraId="0B499E31" w14:textId="1C999CC5" w:rsidR="007368C8" w:rsidRPr="007368C8" w:rsidRDefault="007368C8" w:rsidP="007368C8">
            <w:pPr>
              <w:jc w:val="center"/>
              <w:rPr>
                <w:rFonts w:ascii="Cambria" w:hAnsi="Cambria"/>
                <w:sz w:val="20"/>
                <w:szCs w:val="22"/>
                <w:highlight w:val="yellow"/>
              </w:rPr>
            </w:pPr>
            <w:r w:rsidRPr="00325E77">
              <w:rPr>
                <w:rFonts w:ascii="Cambria" w:hAnsi="Cambria"/>
                <w:sz w:val="20"/>
                <w:szCs w:val="22"/>
              </w:rPr>
              <w:t>0,00%</w:t>
            </w:r>
          </w:p>
        </w:tc>
        <w:tc>
          <w:tcPr>
            <w:tcW w:w="1805" w:type="dxa"/>
            <w:tcBorders>
              <w:top w:val="nil"/>
              <w:bottom w:val="nil"/>
            </w:tcBorders>
            <w:vAlign w:val="bottom"/>
          </w:tcPr>
          <w:p w14:paraId="7587BA46" w14:textId="37F671D5" w:rsidR="007368C8" w:rsidRPr="00831BC1" w:rsidRDefault="007368C8" w:rsidP="007368C8">
            <w:pPr>
              <w:jc w:val="center"/>
              <w:rPr>
                <w:rFonts w:ascii="Cambria" w:hAnsi="Cambria"/>
                <w:sz w:val="20"/>
                <w:szCs w:val="22"/>
              </w:rPr>
            </w:pPr>
            <w:r>
              <w:rPr>
                <w:rFonts w:ascii="Cambria" w:hAnsi="Cambria"/>
                <w:sz w:val="20"/>
                <w:szCs w:val="22"/>
              </w:rPr>
              <w:t>0,00%</w:t>
            </w:r>
          </w:p>
        </w:tc>
      </w:tr>
      <w:tr w:rsidR="007368C8" w:rsidRPr="00A37244" w14:paraId="707D6E5F" w14:textId="77777777" w:rsidTr="005B7B1D">
        <w:trPr>
          <w:trHeight w:hRule="exact" w:val="227"/>
        </w:trPr>
        <w:tc>
          <w:tcPr>
            <w:tcW w:w="3379" w:type="dxa"/>
            <w:tcBorders>
              <w:top w:val="nil"/>
              <w:bottom w:val="single" w:sz="4" w:space="0" w:color="auto"/>
            </w:tcBorders>
            <w:shd w:val="clear" w:color="auto" w:fill="auto"/>
            <w:vAlign w:val="bottom"/>
          </w:tcPr>
          <w:p w14:paraId="1B7AC47E" w14:textId="77777777" w:rsidR="007368C8" w:rsidRPr="00831BC1" w:rsidRDefault="007368C8" w:rsidP="007368C8">
            <w:pPr>
              <w:rPr>
                <w:rFonts w:ascii="Cambria" w:hAnsi="Cambria"/>
                <w:color w:val="000000"/>
                <w:sz w:val="20"/>
                <w:szCs w:val="22"/>
              </w:rPr>
            </w:pPr>
            <w:r w:rsidRPr="00831BC1">
              <w:rPr>
                <w:rFonts w:ascii="Cambria" w:hAnsi="Cambria"/>
                <w:color w:val="000000"/>
                <w:sz w:val="20"/>
                <w:szCs w:val="22"/>
              </w:rPr>
              <w:t>Tablas de supervivencia</w:t>
            </w:r>
          </w:p>
        </w:tc>
        <w:tc>
          <w:tcPr>
            <w:tcW w:w="1418" w:type="dxa"/>
            <w:tcBorders>
              <w:top w:val="nil"/>
              <w:bottom w:val="single" w:sz="4" w:space="0" w:color="auto"/>
            </w:tcBorders>
            <w:vAlign w:val="bottom"/>
          </w:tcPr>
          <w:p w14:paraId="4FD0CA73" w14:textId="0ABD5B5C" w:rsidR="007368C8" w:rsidRPr="007368C8" w:rsidRDefault="00325E77" w:rsidP="007368C8">
            <w:pPr>
              <w:jc w:val="center"/>
              <w:rPr>
                <w:rFonts w:ascii="Cambria" w:hAnsi="Cambria"/>
                <w:sz w:val="20"/>
                <w:szCs w:val="22"/>
                <w:highlight w:val="yellow"/>
              </w:rPr>
            </w:pPr>
            <w:r w:rsidRPr="00B1461A">
              <w:rPr>
                <w:rFonts w:ascii="Cambria" w:hAnsi="Cambria"/>
              </w:rPr>
              <w:t>PER2020_Col_1er.orden.</w:t>
            </w:r>
          </w:p>
        </w:tc>
        <w:tc>
          <w:tcPr>
            <w:tcW w:w="1805" w:type="dxa"/>
            <w:tcBorders>
              <w:top w:val="nil"/>
              <w:bottom w:val="single" w:sz="4" w:space="0" w:color="auto"/>
            </w:tcBorders>
            <w:vAlign w:val="bottom"/>
          </w:tcPr>
          <w:p w14:paraId="30AB90C6" w14:textId="0479CE7A" w:rsidR="007368C8" w:rsidRPr="00831BC1" w:rsidRDefault="007368C8" w:rsidP="007368C8">
            <w:pPr>
              <w:jc w:val="center"/>
              <w:rPr>
                <w:rFonts w:ascii="Cambria" w:hAnsi="Cambria"/>
                <w:sz w:val="20"/>
                <w:szCs w:val="22"/>
              </w:rPr>
            </w:pPr>
            <w:r w:rsidRPr="00831BC1">
              <w:rPr>
                <w:rFonts w:ascii="Cambria" w:hAnsi="Cambria"/>
                <w:sz w:val="20"/>
                <w:szCs w:val="22"/>
              </w:rPr>
              <w:t>PERM/F2000P</w:t>
            </w:r>
          </w:p>
        </w:tc>
      </w:tr>
    </w:tbl>
    <w:p w14:paraId="399A339F" w14:textId="77777777" w:rsidR="005C6F90" w:rsidRDefault="005C6F90" w:rsidP="005E70D1">
      <w:pPr>
        <w:keepLines w:val="0"/>
        <w:widowControl/>
        <w:jc w:val="left"/>
        <w:rPr>
          <w:rFonts w:ascii="Cambria" w:hAnsi="Cambria"/>
          <w:sz w:val="24"/>
          <w:szCs w:val="24"/>
        </w:rPr>
      </w:pPr>
    </w:p>
    <w:p w14:paraId="6BBB2A1C" w14:textId="0EEBF197" w:rsidR="00E25A8A" w:rsidRPr="00201D7B" w:rsidRDefault="002D228F" w:rsidP="005C6F90">
      <w:pPr>
        <w:pStyle w:val="Ttulo1a"/>
        <w:ind w:left="567"/>
        <w:rPr>
          <w:rFonts w:ascii="Cambria" w:hAnsi="Cambria"/>
          <w:sz w:val="24"/>
          <w:szCs w:val="24"/>
        </w:rPr>
      </w:pPr>
      <w:r w:rsidRPr="00201D7B">
        <w:rPr>
          <w:rFonts w:ascii="Cambria" w:hAnsi="Cambria"/>
          <w:sz w:val="24"/>
          <w:szCs w:val="24"/>
        </w:rPr>
        <w:t>Durante el ejercicio 20</w:t>
      </w:r>
      <w:r w:rsidR="007368C8">
        <w:rPr>
          <w:rFonts w:ascii="Cambria" w:hAnsi="Cambria"/>
          <w:sz w:val="24"/>
          <w:szCs w:val="24"/>
        </w:rPr>
        <w:t>20</w:t>
      </w:r>
      <w:r w:rsidRPr="00201D7B">
        <w:rPr>
          <w:rFonts w:ascii="Cambria" w:hAnsi="Cambria"/>
          <w:sz w:val="24"/>
          <w:szCs w:val="24"/>
        </w:rPr>
        <w:t xml:space="preserve">, los pagos de los complementos </w:t>
      </w:r>
      <w:r w:rsidR="00DB5774" w:rsidRPr="00201D7B">
        <w:rPr>
          <w:rFonts w:ascii="Cambria" w:hAnsi="Cambria"/>
          <w:sz w:val="24"/>
          <w:szCs w:val="24"/>
        </w:rPr>
        <w:t>al</w:t>
      </w:r>
      <w:r w:rsidRPr="00201D7B">
        <w:rPr>
          <w:rFonts w:ascii="Cambria" w:hAnsi="Cambria"/>
          <w:sz w:val="24"/>
          <w:szCs w:val="24"/>
        </w:rPr>
        <w:t xml:space="preserve"> personal prejubilado han ascendido </w:t>
      </w:r>
      <w:r w:rsidRPr="00B457A7">
        <w:rPr>
          <w:rFonts w:ascii="Cambria" w:hAnsi="Cambria"/>
          <w:sz w:val="24"/>
          <w:szCs w:val="24"/>
        </w:rPr>
        <w:t xml:space="preserve">a </w:t>
      </w:r>
      <w:r w:rsidR="007368C8">
        <w:rPr>
          <w:rFonts w:ascii="Cambria" w:hAnsi="Cambria"/>
          <w:sz w:val="24"/>
          <w:szCs w:val="24"/>
        </w:rPr>
        <w:t>241</w:t>
      </w:r>
      <w:r w:rsidR="008C71C3" w:rsidRPr="00B457A7">
        <w:rPr>
          <w:rFonts w:ascii="Cambria" w:hAnsi="Cambria"/>
          <w:sz w:val="24"/>
          <w:szCs w:val="24"/>
        </w:rPr>
        <w:t xml:space="preserve"> miles de euros (</w:t>
      </w:r>
      <w:r w:rsidR="007368C8">
        <w:rPr>
          <w:rFonts w:ascii="Cambria" w:hAnsi="Cambria"/>
          <w:sz w:val="24"/>
          <w:szCs w:val="24"/>
        </w:rPr>
        <w:t>390</w:t>
      </w:r>
      <w:r w:rsidR="00201D7B" w:rsidRPr="00B457A7">
        <w:rPr>
          <w:rFonts w:ascii="Cambria" w:hAnsi="Cambria"/>
          <w:sz w:val="24"/>
          <w:szCs w:val="24"/>
        </w:rPr>
        <w:t xml:space="preserve"> </w:t>
      </w:r>
      <w:r w:rsidRPr="00B457A7">
        <w:rPr>
          <w:rFonts w:ascii="Cambria" w:hAnsi="Cambria"/>
          <w:sz w:val="24"/>
          <w:szCs w:val="24"/>
        </w:rPr>
        <w:t>miles de euros</w:t>
      </w:r>
      <w:r w:rsidR="008C71C3" w:rsidRPr="00B457A7">
        <w:rPr>
          <w:rFonts w:ascii="Cambria" w:hAnsi="Cambria"/>
          <w:sz w:val="24"/>
          <w:szCs w:val="24"/>
        </w:rPr>
        <w:t xml:space="preserve"> en 201</w:t>
      </w:r>
      <w:r w:rsidR="007368C8">
        <w:rPr>
          <w:rFonts w:ascii="Cambria" w:hAnsi="Cambria"/>
          <w:sz w:val="24"/>
          <w:szCs w:val="24"/>
        </w:rPr>
        <w:t>9</w:t>
      </w:r>
      <w:r w:rsidR="008C71C3" w:rsidRPr="00B457A7">
        <w:rPr>
          <w:rFonts w:ascii="Cambria" w:hAnsi="Cambria"/>
          <w:sz w:val="24"/>
          <w:szCs w:val="24"/>
        </w:rPr>
        <w:t>)</w:t>
      </w:r>
      <w:r w:rsidRPr="00B457A7">
        <w:rPr>
          <w:rFonts w:ascii="Cambria" w:hAnsi="Cambria"/>
          <w:sz w:val="24"/>
          <w:szCs w:val="24"/>
        </w:rPr>
        <w:t>.</w:t>
      </w:r>
      <w:r w:rsidRPr="00201D7B">
        <w:rPr>
          <w:rFonts w:ascii="Cambria" w:hAnsi="Cambria"/>
          <w:sz w:val="24"/>
          <w:szCs w:val="24"/>
        </w:rPr>
        <w:t xml:space="preserve"> </w:t>
      </w:r>
      <w:r w:rsidR="00B42729" w:rsidRPr="00595DE2">
        <w:rPr>
          <w:rFonts w:ascii="Cambria" w:hAnsi="Cambria"/>
          <w:sz w:val="24"/>
          <w:szCs w:val="24"/>
        </w:rPr>
        <w:t>En el ejercicio 20</w:t>
      </w:r>
      <w:r w:rsidR="007368C8">
        <w:rPr>
          <w:rFonts w:ascii="Cambria" w:hAnsi="Cambria"/>
          <w:sz w:val="24"/>
          <w:szCs w:val="24"/>
        </w:rPr>
        <w:t>20</w:t>
      </w:r>
      <w:r w:rsidR="00B42729" w:rsidRPr="00595DE2">
        <w:rPr>
          <w:rFonts w:ascii="Cambria" w:hAnsi="Cambria"/>
          <w:sz w:val="24"/>
          <w:szCs w:val="24"/>
        </w:rPr>
        <w:t xml:space="preserve"> </w:t>
      </w:r>
      <w:r w:rsidR="007368C8" w:rsidRPr="00595DE2">
        <w:rPr>
          <w:rFonts w:ascii="Cambria" w:hAnsi="Cambria"/>
          <w:sz w:val="24"/>
          <w:szCs w:val="24"/>
        </w:rPr>
        <w:t>no h</w:t>
      </w:r>
      <w:r w:rsidR="007368C8">
        <w:rPr>
          <w:rFonts w:ascii="Cambria" w:hAnsi="Cambria"/>
          <w:sz w:val="24"/>
          <w:szCs w:val="24"/>
        </w:rPr>
        <w:t xml:space="preserve">a habido </w:t>
      </w:r>
      <w:r w:rsidR="007368C8" w:rsidRPr="00595DE2">
        <w:rPr>
          <w:rFonts w:ascii="Cambria" w:hAnsi="Cambria"/>
          <w:sz w:val="24"/>
          <w:szCs w:val="24"/>
        </w:rPr>
        <w:t>gasto financiero por la actualización de la provisión</w:t>
      </w:r>
      <w:r w:rsidR="007368C8">
        <w:rPr>
          <w:rFonts w:ascii="Cambria" w:hAnsi="Cambria"/>
          <w:sz w:val="24"/>
          <w:szCs w:val="24"/>
        </w:rPr>
        <w:t xml:space="preserve">, </w:t>
      </w:r>
      <w:r w:rsidR="00B42729" w:rsidRPr="00595DE2">
        <w:rPr>
          <w:rFonts w:ascii="Cambria" w:hAnsi="Cambria"/>
          <w:sz w:val="24"/>
          <w:szCs w:val="24"/>
        </w:rPr>
        <w:t>(en 201</w:t>
      </w:r>
      <w:r w:rsidR="007368C8">
        <w:rPr>
          <w:rFonts w:ascii="Cambria" w:hAnsi="Cambria"/>
          <w:sz w:val="24"/>
          <w:szCs w:val="24"/>
        </w:rPr>
        <w:t>9 hubo un gasto financiero de 5 miles de euros)</w:t>
      </w:r>
      <w:r w:rsidR="00201D7B">
        <w:rPr>
          <w:rFonts w:ascii="Cambria" w:hAnsi="Cambria"/>
          <w:sz w:val="24"/>
          <w:szCs w:val="24"/>
        </w:rPr>
        <w:t>.</w:t>
      </w:r>
      <w:r w:rsidRPr="00201D7B">
        <w:rPr>
          <w:rFonts w:ascii="Cambria" w:hAnsi="Cambria"/>
          <w:sz w:val="24"/>
          <w:szCs w:val="24"/>
        </w:rPr>
        <w:t xml:space="preserve"> </w:t>
      </w:r>
      <w:r w:rsidR="00551509" w:rsidRPr="00201D7B">
        <w:rPr>
          <w:rFonts w:ascii="Cambria" w:hAnsi="Cambria"/>
          <w:sz w:val="24"/>
          <w:szCs w:val="24"/>
        </w:rPr>
        <w:t>De acuerdo con el estudio actuarial efectuado al cierre del ejercicio 20</w:t>
      </w:r>
      <w:r w:rsidR="007368C8">
        <w:rPr>
          <w:rFonts w:ascii="Cambria" w:hAnsi="Cambria"/>
          <w:sz w:val="24"/>
          <w:szCs w:val="24"/>
        </w:rPr>
        <w:t>20</w:t>
      </w:r>
      <w:r w:rsidR="00551509" w:rsidRPr="00201D7B">
        <w:rPr>
          <w:rFonts w:ascii="Cambria" w:hAnsi="Cambria"/>
          <w:sz w:val="24"/>
          <w:szCs w:val="24"/>
        </w:rPr>
        <w:t xml:space="preserve">, se </w:t>
      </w:r>
      <w:r w:rsidR="0074098B" w:rsidRPr="00201D7B">
        <w:rPr>
          <w:rFonts w:ascii="Cambria" w:hAnsi="Cambria"/>
          <w:sz w:val="24"/>
          <w:szCs w:val="24"/>
        </w:rPr>
        <w:t>ha imputado</w:t>
      </w:r>
      <w:r w:rsidR="00551509" w:rsidRPr="00201D7B">
        <w:rPr>
          <w:rFonts w:ascii="Cambria" w:hAnsi="Cambria"/>
          <w:sz w:val="24"/>
          <w:szCs w:val="24"/>
        </w:rPr>
        <w:t xml:space="preserve"> directament</w:t>
      </w:r>
      <w:r w:rsidR="0074098B" w:rsidRPr="00201D7B">
        <w:rPr>
          <w:rFonts w:ascii="Cambria" w:hAnsi="Cambria"/>
          <w:sz w:val="24"/>
          <w:szCs w:val="24"/>
        </w:rPr>
        <w:t xml:space="preserve">e a </w:t>
      </w:r>
      <w:r w:rsidR="0074098B" w:rsidRPr="00B42729">
        <w:rPr>
          <w:rFonts w:ascii="Cambria" w:hAnsi="Cambria"/>
          <w:sz w:val="24"/>
          <w:szCs w:val="24"/>
        </w:rPr>
        <w:t xml:space="preserve">patrimonio un importe </w:t>
      </w:r>
      <w:r w:rsidR="00B42729">
        <w:rPr>
          <w:rFonts w:ascii="Cambria" w:hAnsi="Cambria"/>
          <w:sz w:val="24"/>
          <w:szCs w:val="24"/>
        </w:rPr>
        <w:t xml:space="preserve">positivo </w:t>
      </w:r>
      <w:r w:rsidR="0074098B" w:rsidRPr="00B42729">
        <w:rPr>
          <w:rFonts w:ascii="Cambria" w:hAnsi="Cambria"/>
          <w:sz w:val="24"/>
          <w:szCs w:val="24"/>
        </w:rPr>
        <w:t xml:space="preserve">de </w:t>
      </w:r>
      <w:r w:rsidR="007368C8">
        <w:rPr>
          <w:rFonts w:ascii="Cambria" w:hAnsi="Cambria"/>
          <w:sz w:val="24"/>
          <w:szCs w:val="24"/>
        </w:rPr>
        <w:t>1</w:t>
      </w:r>
      <w:r w:rsidR="00B42729" w:rsidRPr="00B42729">
        <w:rPr>
          <w:rFonts w:ascii="Cambria" w:hAnsi="Cambria"/>
          <w:sz w:val="24"/>
          <w:szCs w:val="24"/>
        </w:rPr>
        <w:t>4</w:t>
      </w:r>
      <w:r w:rsidR="00201D7B" w:rsidRPr="00B42729">
        <w:rPr>
          <w:rFonts w:ascii="Cambria" w:hAnsi="Cambria"/>
          <w:sz w:val="24"/>
          <w:szCs w:val="24"/>
        </w:rPr>
        <w:t xml:space="preserve"> </w:t>
      </w:r>
      <w:r w:rsidR="00551509" w:rsidRPr="00B42729">
        <w:rPr>
          <w:rFonts w:ascii="Cambria" w:hAnsi="Cambria"/>
          <w:sz w:val="24"/>
          <w:szCs w:val="24"/>
        </w:rPr>
        <w:t>miles de euros</w:t>
      </w:r>
      <w:r w:rsidR="00201D7B" w:rsidRPr="00B42729">
        <w:rPr>
          <w:rFonts w:ascii="Cambria" w:hAnsi="Cambria"/>
          <w:sz w:val="24"/>
          <w:szCs w:val="24"/>
        </w:rPr>
        <w:t xml:space="preserve"> (</w:t>
      </w:r>
      <w:r w:rsidR="007368C8">
        <w:rPr>
          <w:rFonts w:ascii="Cambria" w:hAnsi="Cambria"/>
          <w:sz w:val="24"/>
          <w:szCs w:val="24"/>
        </w:rPr>
        <w:t>24</w:t>
      </w:r>
      <w:r w:rsidR="00201D7B" w:rsidRPr="00B42729">
        <w:rPr>
          <w:rFonts w:ascii="Cambria" w:hAnsi="Cambria"/>
          <w:sz w:val="24"/>
          <w:szCs w:val="24"/>
        </w:rPr>
        <w:t xml:space="preserve"> miles de euros </w:t>
      </w:r>
      <w:r w:rsidR="00201D7B" w:rsidRPr="00201D7B">
        <w:rPr>
          <w:rFonts w:ascii="Cambria" w:hAnsi="Cambria"/>
          <w:sz w:val="24"/>
          <w:szCs w:val="24"/>
        </w:rPr>
        <w:t>en 201</w:t>
      </w:r>
      <w:r w:rsidR="007368C8">
        <w:rPr>
          <w:rFonts w:ascii="Cambria" w:hAnsi="Cambria"/>
          <w:sz w:val="24"/>
          <w:szCs w:val="24"/>
        </w:rPr>
        <w:t>9</w:t>
      </w:r>
      <w:r w:rsidR="00201D7B" w:rsidRPr="00201D7B">
        <w:rPr>
          <w:rFonts w:ascii="Cambria" w:hAnsi="Cambria"/>
          <w:sz w:val="24"/>
          <w:szCs w:val="24"/>
        </w:rPr>
        <w:t>)</w:t>
      </w:r>
      <w:r w:rsidR="00551509" w:rsidRPr="00201D7B">
        <w:rPr>
          <w:rFonts w:ascii="Cambria" w:hAnsi="Cambria"/>
          <w:sz w:val="24"/>
          <w:szCs w:val="24"/>
        </w:rPr>
        <w:t>, neto del efecto impositivo por variación de las hipótesis actuariales.</w:t>
      </w:r>
    </w:p>
    <w:p w14:paraId="064B5BBA" w14:textId="77777777" w:rsidR="005C6F90" w:rsidRDefault="005C6F90">
      <w:pPr>
        <w:keepLines w:val="0"/>
        <w:widowControl/>
        <w:jc w:val="left"/>
        <w:rPr>
          <w:rFonts w:ascii="Cambria" w:hAnsi="Cambria"/>
          <w:sz w:val="24"/>
          <w:szCs w:val="24"/>
          <w:highlight w:val="yellow"/>
        </w:rPr>
      </w:pPr>
      <w:r>
        <w:rPr>
          <w:rFonts w:ascii="Cambria" w:hAnsi="Cambria"/>
          <w:sz w:val="24"/>
          <w:szCs w:val="24"/>
          <w:highlight w:val="yellow"/>
        </w:rPr>
        <w:br w:type="page"/>
      </w:r>
    </w:p>
    <w:p w14:paraId="140AA33F" w14:textId="77777777" w:rsidR="008A1057" w:rsidRPr="00A37244" w:rsidRDefault="008A1057" w:rsidP="00E25A8A">
      <w:pPr>
        <w:pStyle w:val="Ttulo1a"/>
        <w:ind w:left="567"/>
        <w:rPr>
          <w:rFonts w:ascii="Cambria" w:hAnsi="Cambria"/>
          <w:sz w:val="24"/>
          <w:szCs w:val="24"/>
          <w:highlight w:val="yellow"/>
        </w:rPr>
      </w:pPr>
    </w:p>
    <w:p w14:paraId="772575F5" w14:textId="77777777" w:rsidR="00E573BC" w:rsidRPr="00463578" w:rsidRDefault="00E573BC" w:rsidP="0060571A">
      <w:pPr>
        <w:pStyle w:val="Ttulo2"/>
        <w:keepNext/>
        <w:numPr>
          <w:ilvl w:val="0"/>
          <w:numId w:val="16"/>
        </w:numPr>
        <w:ind w:left="993" w:hanging="426"/>
        <w:rPr>
          <w:rFonts w:ascii="Cambria" w:hAnsi="Cambria"/>
          <w:b w:val="0"/>
          <w:i/>
          <w:sz w:val="24"/>
          <w:szCs w:val="24"/>
          <w:lang w:val="es-ES"/>
        </w:rPr>
      </w:pPr>
      <w:r w:rsidRPr="00463578">
        <w:rPr>
          <w:rFonts w:ascii="Cambria" w:hAnsi="Cambria"/>
          <w:b w:val="0"/>
          <w:i/>
          <w:sz w:val="24"/>
          <w:szCs w:val="24"/>
          <w:lang w:val="es-ES"/>
        </w:rPr>
        <w:t>Gastos médicos y economato de Ensidesa.</w:t>
      </w:r>
    </w:p>
    <w:p w14:paraId="732B428B" w14:textId="77777777" w:rsidR="003F6E2C" w:rsidRPr="00673590" w:rsidRDefault="003F6E2C" w:rsidP="003F6E2C">
      <w:pPr>
        <w:pStyle w:val="Listaconnmeros"/>
        <w:ind w:left="426" w:firstLine="0"/>
        <w:rPr>
          <w:rFonts w:ascii="Cambria" w:hAnsi="Cambria"/>
          <w:sz w:val="24"/>
          <w:szCs w:val="24"/>
          <w:highlight w:val="cyan"/>
        </w:rPr>
      </w:pPr>
    </w:p>
    <w:p w14:paraId="5DA4C927" w14:textId="6D6CB6C0" w:rsidR="003F6E2C" w:rsidRPr="00201D7B" w:rsidRDefault="003F6E2C" w:rsidP="00E25A8A">
      <w:pPr>
        <w:pStyle w:val="Ttulo1a"/>
        <w:ind w:left="567"/>
        <w:rPr>
          <w:rFonts w:ascii="Cambria" w:hAnsi="Cambria"/>
          <w:sz w:val="24"/>
          <w:szCs w:val="24"/>
        </w:rPr>
      </w:pPr>
      <w:r w:rsidRPr="00366E19">
        <w:rPr>
          <w:rFonts w:ascii="Cambria" w:hAnsi="Cambria"/>
          <w:sz w:val="24"/>
          <w:szCs w:val="24"/>
        </w:rPr>
        <w:t>La Sociedad ha obtenido, al 31 de diciembre de 20</w:t>
      </w:r>
      <w:r w:rsidR="00A50FEA" w:rsidRPr="00366E19">
        <w:rPr>
          <w:rFonts w:ascii="Cambria" w:hAnsi="Cambria"/>
          <w:sz w:val="24"/>
          <w:szCs w:val="24"/>
        </w:rPr>
        <w:t>20</w:t>
      </w:r>
      <w:r w:rsidR="008C71C3" w:rsidRPr="00366E19">
        <w:rPr>
          <w:rFonts w:ascii="Cambria" w:hAnsi="Cambria"/>
          <w:sz w:val="24"/>
          <w:szCs w:val="24"/>
        </w:rPr>
        <w:t xml:space="preserve"> y 201</w:t>
      </w:r>
      <w:r w:rsidR="00A50FEA" w:rsidRPr="00366E19">
        <w:rPr>
          <w:rFonts w:ascii="Cambria" w:hAnsi="Cambria"/>
          <w:sz w:val="24"/>
          <w:szCs w:val="24"/>
        </w:rPr>
        <w:t>9</w:t>
      </w:r>
      <w:r w:rsidRPr="00366E19">
        <w:rPr>
          <w:rFonts w:ascii="Cambria" w:hAnsi="Cambria"/>
          <w:sz w:val="24"/>
          <w:szCs w:val="24"/>
        </w:rPr>
        <w:t xml:space="preserve">, </w:t>
      </w:r>
      <w:r w:rsidR="00892FC2" w:rsidRPr="00366E19">
        <w:rPr>
          <w:rFonts w:ascii="Cambria" w:hAnsi="Cambria"/>
          <w:sz w:val="24"/>
          <w:szCs w:val="24"/>
        </w:rPr>
        <w:t>estimaciones</w:t>
      </w:r>
      <w:r w:rsidR="00892FC2" w:rsidRPr="00201D7B">
        <w:rPr>
          <w:rFonts w:ascii="Cambria" w:hAnsi="Cambria"/>
          <w:sz w:val="24"/>
          <w:szCs w:val="24"/>
        </w:rPr>
        <w:t xml:space="preserve"> </w:t>
      </w:r>
      <w:r w:rsidRPr="00201D7B">
        <w:rPr>
          <w:rFonts w:ascii="Cambria" w:hAnsi="Cambria"/>
          <w:sz w:val="24"/>
          <w:szCs w:val="24"/>
        </w:rPr>
        <w:t>actuarial</w:t>
      </w:r>
      <w:r w:rsidR="008C71C3" w:rsidRPr="00201D7B">
        <w:rPr>
          <w:rFonts w:ascii="Cambria" w:hAnsi="Cambria"/>
          <w:sz w:val="24"/>
          <w:szCs w:val="24"/>
        </w:rPr>
        <w:t>es</w:t>
      </w:r>
      <w:r w:rsidRPr="00201D7B">
        <w:rPr>
          <w:rFonts w:ascii="Cambria" w:hAnsi="Cambria"/>
          <w:sz w:val="24"/>
          <w:szCs w:val="24"/>
        </w:rPr>
        <w:t xml:space="preserve"> realizada</w:t>
      </w:r>
      <w:r w:rsidR="008C71C3" w:rsidRPr="00201D7B">
        <w:rPr>
          <w:rFonts w:ascii="Cambria" w:hAnsi="Cambria"/>
          <w:sz w:val="24"/>
          <w:szCs w:val="24"/>
        </w:rPr>
        <w:t>s</w:t>
      </w:r>
      <w:r w:rsidR="00CA2C66" w:rsidRPr="00201D7B">
        <w:rPr>
          <w:rFonts w:ascii="Cambria" w:hAnsi="Cambria"/>
          <w:sz w:val="24"/>
          <w:szCs w:val="24"/>
        </w:rPr>
        <w:t xml:space="preserve"> por </w:t>
      </w:r>
      <w:r w:rsidR="00C76634" w:rsidRPr="00201D7B">
        <w:rPr>
          <w:rFonts w:ascii="Cambria" w:hAnsi="Cambria"/>
          <w:sz w:val="24"/>
          <w:szCs w:val="24"/>
        </w:rPr>
        <w:t>actuario</w:t>
      </w:r>
      <w:r w:rsidR="00DB5774" w:rsidRPr="00201D7B">
        <w:rPr>
          <w:rFonts w:ascii="Cambria" w:hAnsi="Cambria"/>
          <w:sz w:val="24"/>
          <w:szCs w:val="24"/>
        </w:rPr>
        <w:t>s profesionales</w:t>
      </w:r>
      <w:r w:rsidRPr="00201D7B">
        <w:rPr>
          <w:rFonts w:ascii="Cambria" w:hAnsi="Cambria"/>
          <w:sz w:val="24"/>
          <w:szCs w:val="24"/>
        </w:rPr>
        <w:t xml:space="preserve"> que recoge</w:t>
      </w:r>
      <w:r w:rsidR="008C71C3" w:rsidRPr="00201D7B">
        <w:rPr>
          <w:rFonts w:ascii="Cambria" w:hAnsi="Cambria"/>
          <w:sz w:val="24"/>
          <w:szCs w:val="24"/>
        </w:rPr>
        <w:t>n</w:t>
      </w:r>
      <w:r w:rsidRPr="00201D7B">
        <w:rPr>
          <w:rFonts w:ascii="Cambria" w:hAnsi="Cambria"/>
          <w:sz w:val="24"/>
          <w:szCs w:val="24"/>
        </w:rPr>
        <w:t xml:space="preserve"> el valor actual de los costes </w:t>
      </w:r>
      <w:r w:rsidR="00A0336A" w:rsidRPr="00201D7B">
        <w:rPr>
          <w:rFonts w:ascii="Cambria" w:hAnsi="Cambria"/>
          <w:sz w:val="24"/>
          <w:szCs w:val="24"/>
        </w:rPr>
        <w:t>d</w:t>
      </w:r>
      <w:r w:rsidR="008C71C3" w:rsidRPr="00201D7B">
        <w:rPr>
          <w:rFonts w:ascii="Cambria" w:hAnsi="Cambria"/>
          <w:sz w:val="24"/>
          <w:szCs w:val="24"/>
        </w:rPr>
        <w:t xml:space="preserve">el </w:t>
      </w:r>
      <w:r w:rsidRPr="00201D7B">
        <w:rPr>
          <w:rFonts w:ascii="Cambria" w:hAnsi="Cambria"/>
          <w:sz w:val="24"/>
          <w:szCs w:val="24"/>
        </w:rPr>
        <w:t xml:space="preserve">economato </w:t>
      </w:r>
      <w:r w:rsidR="008C71C3" w:rsidRPr="00201D7B">
        <w:rPr>
          <w:rFonts w:ascii="Cambria" w:hAnsi="Cambria"/>
          <w:sz w:val="24"/>
          <w:szCs w:val="24"/>
        </w:rPr>
        <w:t xml:space="preserve">de </w:t>
      </w:r>
      <w:r w:rsidR="00A0336A" w:rsidRPr="00201D7B">
        <w:rPr>
          <w:rFonts w:ascii="Cambria" w:hAnsi="Cambria"/>
          <w:sz w:val="24"/>
          <w:szCs w:val="24"/>
        </w:rPr>
        <w:t xml:space="preserve">Ensidesa </w:t>
      </w:r>
      <w:r w:rsidRPr="00201D7B">
        <w:rPr>
          <w:rFonts w:ascii="Cambria" w:hAnsi="Cambria"/>
          <w:sz w:val="24"/>
          <w:szCs w:val="24"/>
        </w:rPr>
        <w:t>de acuerdo a la esperanza de vida del colectivo beneficiario.</w:t>
      </w:r>
    </w:p>
    <w:p w14:paraId="15C5C459" w14:textId="2B60B658" w:rsidR="008A1057" w:rsidRPr="00201D7B" w:rsidRDefault="008A1057" w:rsidP="00892FC2">
      <w:pPr>
        <w:ind w:left="720"/>
        <w:rPr>
          <w:rFonts w:ascii="Cambria" w:hAnsi="Cambria"/>
          <w:sz w:val="24"/>
          <w:u w:val="single"/>
        </w:rPr>
      </w:pPr>
    </w:p>
    <w:p w14:paraId="5F0A4260" w14:textId="77777777" w:rsidR="00892FC2" w:rsidRPr="00201D7B" w:rsidRDefault="00892FC2" w:rsidP="00E25A8A">
      <w:pPr>
        <w:ind w:left="567"/>
        <w:rPr>
          <w:rFonts w:ascii="Cambria" w:hAnsi="Cambria"/>
          <w:sz w:val="24"/>
          <w:u w:val="single"/>
        </w:rPr>
      </w:pPr>
      <w:r w:rsidRPr="00201D7B">
        <w:rPr>
          <w:rFonts w:ascii="Cambria" w:hAnsi="Cambria"/>
          <w:sz w:val="24"/>
          <w:u w:val="single"/>
        </w:rPr>
        <w:t>Hipótesis actuariales utilizadas:</w:t>
      </w:r>
    </w:p>
    <w:p w14:paraId="27A157FC" w14:textId="77777777" w:rsidR="00892FC2" w:rsidRPr="00A37244" w:rsidRDefault="00892FC2" w:rsidP="00892FC2">
      <w:pPr>
        <w:ind w:left="720"/>
        <w:rPr>
          <w:rFonts w:ascii="Cambria" w:hAnsi="Cambria"/>
          <w:sz w:val="24"/>
          <w:szCs w:val="22"/>
          <w:highlight w:val="yellow"/>
          <w:u w:val="single"/>
        </w:rPr>
      </w:pPr>
    </w:p>
    <w:tbl>
      <w:tblPr>
        <w:tblW w:w="66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2"/>
        <w:gridCol w:w="2449"/>
        <w:gridCol w:w="1641"/>
      </w:tblGrid>
      <w:tr w:rsidR="00A50FEA" w:rsidRPr="00A37244" w14:paraId="314E02CE" w14:textId="77777777" w:rsidTr="0011789B">
        <w:trPr>
          <w:trHeight w:hRule="exact" w:val="283"/>
        </w:trPr>
        <w:tc>
          <w:tcPr>
            <w:tcW w:w="2512" w:type="dxa"/>
            <w:tcBorders>
              <w:bottom w:val="single" w:sz="4" w:space="0" w:color="auto"/>
            </w:tcBorders>
            <w:vAlign w:val="bottom"/>
          </w:tcPr>
          <w:p w14:paraId="73B922BB" w14:textId="77777777" w:rsidR="00A50FEA" w:rsidRPr="00201D7B" w:rsidRDefault="00A50FEA" w:rsidP="00A50FEA">
            <w:pPr>
              <w:jc w:val="center"/>
              <w:rPr>
                <w:rFonts w:ascii="Cambria" w:hAnsi="Cambria"/>
                <w:b/>
                <w:bCs/>
                <w:color w:val="000000"/>
                <w:sz w:val="20"/>
                <w:szCs w:val="22"/>
              </w:rPr>
            </w:pPr>
            <w:r w:rsidRPr="00201D7B">
              <w:rPr>
                <w:rFonts w:ascii="Cambria" w:hAnsi="Cambria"/>
                <w:b/>
                <w:bCs/>
                <w:color w:val="000000"/>
                <w:sz w:val="20"/>
                <w:szCs w:val="22"/>
              </w:rPr>
              <w:t>Hipótesis actuariales</w:t>
            </w:r>
          </w:p>
        </w:tc>
        <w:tc>
          <w:tcPr>
            <w:tcW w:w="2449" w:type="dxa"/>
            <w:tcBorders>
              <w:bottom w:val="single" w:sz="4" w:space="0" w:color="auto"/>
            </w:tcBorders>
            <w:vAlign w:val="bottom"/>
          </w:tcPr>
          <w:p w14:paraId="20764504" w14:textId="3DB18934" w:rsidR="00A50FEA" w:rsidRPr="00201D7B" w:rsidRDefault="00A50FEA" w:rsidP="00A50FEA">
            <w:pPr>
              <w:jc w:val="center"/>
              <w:rPr>
                <w:rFonts w:ascii="Cambria" w:hAnsi="Cambria"/>
                <w:b/>
                <w:bCs/>
                <w:color w:val="000000"/>
                <w:sz w:val="20"/>
                <w:szCs w:val="22"/>
              </w:rPr>
            </w:pPr>
            <w:r>
              <w:rPr>
                <w:rFonts w:ascii="Cambria" w:hAnsi="Cambria"/>
                <w:b/>
                <w:bCs/>
                <w:color w:val="000000"/>
                <w:sz w:val="20"/>
                <w:szCs w:val="22"/>
              </w:rPr>
              <w:t>2020</w:t>
            </w:r>
          </w:p>
        </w:tc>
        <w:tc>
          <w:tcPr>
            <w:tcW w:w="1641" w:type="dxa"/>
            <w:tcBorders>
              <w:bottom w:val="single" w:sz="4" w:space="0" w:color="auto"/>
            </w:tcBorders>
            <w:vAlign w:val="bottom"/>
          </w:tcPr>
          <w:p w14:paraId="3D986F0E" w14:textId="6AFF7828" w:rsidR="00A50FEA" w:rsidRDefault="00A50FEA" w:rsidP="00A50FEA">
            <w:pPr>
              <w:jc w:val="center"/>
              <w:rPr>
                <w:rFonts w:ascii="Cambria" w:hAnsi="Cambria"/>
                <w:b/>
                <w:bCs/>
                <w:color w:val="000000"/>
                <w:sz w:val="20"/>
                <w:szCs w:val="22"/>
              </w:rPr>
            </w:pPr>
            <w:r>
              <w:rPr>
                <w:rFonts w:ascii="Cambria" w:hAnsi="Cambria"/>
                <w:b/>
                <w:bCs/>
                <w:color w:val="000000"/>
                <w:sz w:val="20"/>
                <w:szCs w:val="22"/>
              </w:rPr>
              <w:t>2019</w:t>
            </w:r>
          </w:p>
        </w:tc>
      </w:tr>
      <w:tr w:rsidR="00A50FEA" w:rsidRPr="00A37244" w14:paraId="18BC66A9" w14:textId="77777777" w:rsidTr="0011789B">
        <w:trPr>
          <w:trHeight w:hRule="exact" w:val="227"/>
        </w:trPr>
        <w:tc>
          <w:tcPr>
            <w:tcW w:w="2512" w:type="dxa"/>
            <w:tcBorders>
              <w:top w:val="single" w:sz="4" w:space="0" w:color="auto"/>
              <w:bottom w:val="nil"/>
            </w:tcBorders>
            <w:vAlign w:val="bottom"/>
          </w:tcPr>
          <w:p w14:paraId="18CE74C7" w14:textId="77777777" w:rsidR="00A50FEA" w:rsidRPr="00536D8D" w:rsidRDefault="00A50FEA" w:rsidP="00A50FEA">
            <w:pPr>
              <w:rPr>
                <w:rFonts w:ascii="Cambria" w:hAnsi="Cambria"/>
                <w:color w:val="000000"/>
                <w:sz w:val="20"/>
                <w:szCs w:val="22"/>
              </w:rPr>
            </w:pPr>
            <w:r w:rsidRPr="00536D8D">
              <w:rPr>
                <w:rFonts w:ascii="Cambria" w:hAnsi="Cambria"/>
                <w:color w:val="000000"/>
                <w:sz w:val="20"/>
                <w:szCs w:val="22"/>
              </w:rPr>
              <w:t>Tipo de interés técnico</w:t>
            </w:r>
          </w:p>
        </w:tc>
        <w:tc>
          <w:tcPr>
            <w:tcW w:w="2449" w:type="dxa"/>
            <w:tcBorders>
              <w:top w:val="single" w:sz="4" w:space="0" w:color="auto"/>
              <w:bottom w:val="nil"/>
            </w:tcBorders>
            <w:vAlign w:val="bottom"/>
          </w:tcPr>
          <w:p w14:paraId="4362A4E6" w14:textId="353D48CC" w:rsidR="00A50FEA" w:rsidRPr="00366E19" w:rsidRDefault="00A50FEA" w:rsidP="00A50FEA">
            <w:pPr>
              <w:jc w:val="center"/>
              <w:rPr>
                <w:rFonts w:ascii="Cambria" w:hAnsi="Cambria"/>
                <w:sz w:val="20"/>
                <w:szCs w:val="22"/>
              </w:rPr>
            </w:pPr>
            <w:r w:rsidRPr="00366E19">
              <w:rPr>
                <w:rFonts w:ascii="Cambria" w:hAnsi="Cambria"/>
                <w:sz w:val="20"/>
                <w:szCs w:val="22"/>
              </w:rPr>
              <w:t>0,</w:t>
            </w:r>
            <w:r w:rsidR="00366E19" w:rsidRPr="00366E19">
              <w:rPr>
                <w:rFonts w:ascii="Cambria" w:hAnsi="Cambria"/>
                <w:sz w:val="20"/>
                <w:szCs w:val="22"/>
              </w:rPr>
              <w:t>14</w:t>
            </w:r>
            <w:r w:rsidRPr="00366E19">
              <w:rPr>
                <w:rFonts w:ascii="Cambria" w:hAnsi="Cambria"/>
                <w:sz w:val="20"/>
                <w:szCs w:val="22"/>
              </w:rPr>
              <w:t>%</w:t>
            </w:r>
          </w:p>
        </w:tc>
        <w:tc>
          <w:tcPr>
            <w:tcW w:w="1641" w:type="dxa"/>
            <w:tcBorders>
              <w:top w:val="single" w:sz="4" w:space="0" w:color="auto"/>
              <w:bottom w:val="nil"/>
            </w:tcBorders>
            <w:vAlign w:val="bottom"/>
          </w:tcPr>
          <w:p w14:paraId="5FEFDDF9" w14:textId="65B183B3" w:rsidR="00A50FEA" w:rsidRPr="00366E19" w:rsidRDefault="00A50FEA" w:rsidP="00A50FEA">
            <w:pPr>
              <w:jc w:val="center"/>
              <w:rPr>
                <w:rFonts w:ascii="Cambria" w:hAnsi="Cambria"/>
                <w:sz w:val="20"/>
                <w:szCs w:val="22"/>
              </w:rPr>
            </w:pPr>
            <w:r w:rsidRPr="00366E19">
              <w:rPr>
                <w:rFonts w:ascii="Cambria" w:hAnsi="Cambria"/>
                <w:sz w:val="20"/>
                <w:szCs w:val="22"/>
              </w:rPr>
              <w:t>0,52%</w:t>
            </w:r>
          </w:p>
        </w:tc>
      </w:tr>
      <w:tr w:rsidR="00A50FEA" w:rsidRPr="00A37244" w14:paraId="5979E271" w14:textId="77777777" w:rsidTr="00366E19">
        <w:trPr>
          <w:trHeight w:hRule="exact" w:val="227"/>
        </w:trPr>
        <w:tc>
          <w:tcPr>
            <w:tcW w:w="2512" w:type="dxa"/>
            <w:tcBorders>
              <w:top w:val="nil"/>
              <w:bottom w:val="nil"/>
            </w:tcBorders>
            <w:vAlign w:val="bottom"/>
          </w:tcPr>
          <w:p w14:paraId="0EBB1745" w14:textId="77777777" w:rsidR="00A50FEA" w:rsidRPr="00536D8D" w:rsidRDefault="00A50FEA" w:rsidP="00A50FEA">
            <w:pPr>
              <w:rPr>
                <w:rFonts w:ascii="Cambria" w:hAnsi="Cambria"/>
                <w:color w:val="000000"/>
                <w:sz w:val="20"/>
                <w:szCs w:val="22"/>
              </w:rPr>
            </w:pPr>
            <w:r w:rsidRPr="00536D8D">
              <w:rPr>
                <w:rFonts w:ascii="Cambria" w:hAnsi="Cambria"/>
                <w:color w:val="000000"/>
                <w:sz w:val="20"/>
                <w:szCs w:val="22"/>
              </w:rPr>
              <w:t>Tablas de supervivencia</w:t>
            </w:r>
          </w:p>
        </w:tc>
        <w:tc>
          <w:tcPr>
            <w:tcW w:w="2449" w:type="dxa"/>
            <w:tcBorders>
              <w:top w:val="nil"/>
              <w:bottom w:val="nil"/>
            </w:tcBorders>
            <w:vAlign w:val="bottom"/>
          </w:tcPr>
          <w:p w14:paraId="3A787C8C" w14:textId="78A8E489" w:rsidR="00A50FEA" w:rsidRPr="00A50FEA" w:rsidRDefault="00366E19" w:rsidP="00A50FEA">
            <w:pPr>
              <w:jc w:val="center"/>
              <w:rPr>
                <w:rFonts w:ascii="Cambria" w:hAnsi="Cambria"/>
                <w:sz w:val="20"/>
                <w:szCs w:val="22"/>
                <w:highlight w:val="yellow"/>
              </w:rPr>
            </w:pPr>
            <w:r>
              <w:rPr>
                <w:rFonts w:ascii="Cambria" w:hAnsi="Cambria"/>
              </w:rPr>
              <w:t>PER2020_Col_1er.orden.</w:t>
            </w:r>
          </w:p>
        </w:tc>
        <w:tc>
          <w:tcPr>
            <w:tcW w:w="1641" w:type="dxa"/>
            <w:tcBorders>
              <w:top w:val="nil"/>
              <w:bottom w:val="nil"/>
            </w:tcBorders>
            <w:vAlign w:val="bottom"/>
          </w:tcPr>
          <w:p w14:paraId="3EF90F04" w14:textId="66165CE4" w:rsidR="00A50FEA" w:rsidRPr="00536D8D" w:rsidRDefault="00A50FEA" w:rsidP="00A50FEA">
            <w:pPr>
              <w:jc w:val="center"/>
              <w:rPr>
                <w:rFonts w:ascii="Cambria" w:hAnsi="Cambria"/>
                <w:sz w:val="20"/>
                <w:szCs w:val="22"/>
              </w:rPr>
            </w:pPr>
            <w:r w:rsidRPr="00536D8D">
              <w:rPr>
                <w:rFonts w:ascii="Cambria" w:hAnsi="Cambria"/>
                <w:sz w:val="20"/>
                <w:szCs w:val="22"/>
              </w:rPr>
              <w:t>PERM/F2000P</w:t>
            </w:r>
          </w:p>
        </w:tc>
      </w:tr>
      <w:tr w:rsidR="00A50FEA" w:rsidRPr="00A37244" w14:paraId="532F523D" w14:textId="77777777" w:rsidTr="00366E19">
        <w:trPr>
          <w:trHeight w:hRule="exact" w:val="227"/>
        </w:trPr>
        <w:tc>
          <w:tcPr>
            <w:tcW w:w="2512" w:type="dxa"/>
            <w:tcBorders>
              <w:top w:val="nil"/>
              <w:bottom w:val="nil"/>
            </w:tcBorders>
            <w:vAlign w:val="bottom"/>
          </w:tcPr>
          <w:p w14:paraId="33F0FD91" w14:textId="77777777" w:rsidR="00A50FEA" w:rsidRPr="00536D8D" w:rsidRDefault="00A50FEA" w:rsidP="00A50FEA">
            <w:pPr>
              <w:rPr>
                <w:rFonts w:ascii="Cambria" w:hAnsi="Cambria"/>
                <w:color w:val="000000"/>
                <w:sz w:val="20"/>
                <w:szCs w:val="22"/>
              </w:rPr>
            </w:pPr>
            <w:r w:rsidRPr="00536D8D">
              <w:rPr>
                <w:rFonts w:ascii="Cambria" w:hAnsi="Cambria"/>
                <w:color w:val="000000"/>
                <w:sz w:val="20"/>
                <w:szCs w:val="22"/>
              </w:rPr>
              <w:t>Incremento del IPC</w:t>
            </w:r>
          </w:p>
        </w:tc>
        <w:tc>
          <w:tcPr>
            <w:tcW w:w="2449" w:type="dxa"/>
            <w:tcBorders>
              <w:top w:val="nil"/>
              <w:bottom w:val="nil"/>
            </w:tcBorders>
            <w:vAlign w:val="bottom"/>
          </w:tcPr>
          <w:p w14:paraId="3F3C6876" w14:textId="77777777" w:rsidR="00A50FEA" w:rsidRPr="00A50FEA" w:rsidRDefault="00A50FEA" w:rsidP="00A50FEA">
            <w:pPr>
              <w:jc w:val="center"/>
              <w:rPr>
                <w:rFonts w:ascii="Cambria" w:hAnsi="Cambria"/>
                <w:sz w:val="20"/>
                <w:szCs w:val="22"/>
                <w:highlight w:val="yellow"/>
              </w:rPr>
            </w:pPr>
          </w:p>
        </w:tc>
        <w:tc>
          <w:tcPr>
            <w:tcW w:w="1641" w:type="dxa"/>
            <w:tcBorders>
              <w:top w:val="nil"/>
              <w:bottom w:val="nil"/>
            </w:tcBorders>
            <w:vAlign w:val="bottom"/>
          </w:tcPr>
          <w:p w14:paraId="72EB830D" w14:textId="77777777" w:rsidR="00A50FEA" w:rsidRPr="00536D8D" w:rsidRDefault="00A50FEA" w:rsidP="00A50FEA">
            <w:pPr>
              <w:jc w:val="center"/>
              <w:rPr>
                <w:rFonts w:ascii="Cambria" w:hAnsi="Cambria"/>
                <w:sz w:val="20"/>
                <w:szCs w:val="22"/>
              </w:rPr>
            </w:pPr>
          </w:p>
        </w:tc>
      </w:tr>
      <w:tr w:rsidR="00A50FEA" w:rsidRPr="00A37244" w14:paraId="20A41BBD" w14:textId="77777777" w:rsidTr="0011789B">
        <w:trPr>
          <w:trHeight w:hRule="exact" w:val="227"/>
        </w:trPr>
        <w:tc>
          <w:tcPr>
            <w:tcW w:w="2512" w:type="dxa"/>
            <w:tcBorders>
              <w:top w:val="nil"/>
              <w:bottom w:val="single" w:sz="4" w:space="0" w:color="auto"/>
            </w:tcBorders>
            <w:vAlign w:val="bottom"/>
          </w:tcPr>
          <w:p w14:paraId="47450147" w14:textId="435A6280" w:rsidR="00A50FEA" w:rsidRPr="00536D8D" w:rsidRDefault="00A50FEA" w:rsidP="00A50FEA">
            <w:pPr>
              <w:ind w:left="170"/>
              <w:rPr>
                <w:rFonts w:ascii="Cambria" w:hAnsi="Cambria"/>
                <w:color w:val="000000"/>
                <w:sz w:val="20"/>
                <w:szCs w:val="22"/>
              </w:rPr>
            </w:pPr>
            <w:r>
              <w:rPr>
                <w:rFonts w:ascii="Cambria" w:hAnsi="Cambria"/>
                <w:color w:val="000000"/>
                <w:sz w:val="20"/>
                <w:szCs w:val="22"/>
              </w:rPr>
              <w:t xml:space="preserve">2020 </w:t>
            </w:r>
            <w:r w:rsidR="0011789B">
              <w:rPr>
                <w:rFonts w:ascii="Cambria" w:hAnsi="Cambria"/>
                <w:color w:val="000000"/>
                <w:sz w:val="20"/>
                <w:szCs w:val="22"/>
              </w:rPr>
              <w:t>en adelante</w:t>
            </w:r>
          </w:p>
        </w:tc>
        <w:tc>
          <w:tcPr>
            <w:tcW w:w="2449" w:type="dxa"/>
            <w:tcBorders>
              <w:top w:val="nil"/>
              <w:bottom w:val="single" w:sz="4" w:space="0" w:color="auto"/>
            </w:tcBorders>
          </w:tcPr>
          <w:p w14:paraId="3D4ED144" w14:textId="14D25327" w:rsidR="00A50FEA" w:rsidRPr="0011789B" w:rsidRDefault="0011789B" w:rsidP="00A50FEA">
            <w:pPr>
              <w:jc w:val="center"/>
              <w:rPr>
                <w:rFonts w:ascii="Cambria" w:hAnsi="Cambria"/>
                <w:sz w:val="20"/>
                <w:szCs w:val="22"/>
              </w:rPr>
            </w:pPr>
            <w:r w:rsidRPr="0011789B">
              <w:rPr>
                <w:rFonts w:ascii="Cambria" w:hAnsi="Cambria"/>
                <w:sz w:val="20"/>
                <w:szCs w:val="22"/>
              </w:rPr>
              <w:t>1%</w:t>
            </w:r>
          </w:p>
        </w:tc>
        <w:tc>
          <w:tcPr>
            <w:tcW w:w="1641" w:type="dxa"/>
            <w:tcBorders>
              <w:top w:val="nil"/>
              <w:bottom w:val="single" w:sz="4" w:space="0" w:color="auto"/>
            </w:tcBorders>
          </w:tcPr>
          <w:p w14:paraId="03BA8C2D" w14:textId="45EAE3A9" w:rsidR="00A50FEA" w:rsidRPr="0011789B" w:rsidRDefault="00A50FEA" w:rsidP="00A50FEA">
            <w:pPr>
              <w:jc w:val="center"/>
              <w:rPr>
                <w:rFonts w:ascii="Cambria" w:hAnsi="Cambria"/>
                <w:sz w:val="20"/>
                <w:szCs w:val="22"/>
              </w:rPr>
            </w:pPr>
            <w:r w:rsidRPr="0011789B">
              <w:rPr>
                <w:rFonts w:ascii="Cambria" w:hAnsi="Cambria"/>
                <w:sz w:val="20"/>
                <w:szCs w:val="22"/>
              </w:rPr>
              <w:t>1,50%</w:t>
            </w:r>
          </w:p>
        </w:tc>
      </w:tr>
    </w:tbl>
    <w:p w14:paraId="52C8E76B" w14:textId="77777777" w:rsidR="00892FC2" w:rsidRPr="00A37244" w:rsidRDefault="00892FC2" w:rsidP="003F6E2C">
      <w:pPr>
        <w:pStyle w:val="Listaconnmeros"/>
        <w:ind w:left="426" w:firstLine="0"/>
        <w:rPr>
          <w:rFonts w:ascii="Cambria" w:hAnsi="Cambria"/>
          <w:sz w:val="24"/>
          <w:szCs w:val="24"/>
          <w:highlight w:val="yellow"/>
        </w:rPr>
      </w:pPr>
    </w:p>
    <w:p w14:paraId="5FFCFA63" w14:textId="5F4780B7" w:rsidR="00A50FEA" w:rsidRDefault="0043323C" w:rsidP="00A50FEA">
      <w:pPr>
        <w:pStyle w:val="Ttulo1a"/>
        <w:shd w:val="clear" w:color="auto" w:fill="FFFFFF" w:themeFill="background1"/>
        <w:ind w:left="567"/>
        <w:rPr>
          <w:rFonts w:ascii="Cambria" w:hAnsi="Cambria"/>
          <w:sz w:val="24"/>
          <w:szCs w:val="24"/>
        </w:rPr>
      </w:pPr>
      <w:r w:rsidRPr="0039134A">
        <w:rPr>
          <w:rFonts w:ascii="Cambria" w:hAnsi="Cambria"/>
          <w:sz w:val="24"/>
          <w:szCs w:val="24"/>
        </w:rPr>
        <w:t>De acuerdo con el estudio actuarial efectuado al cier</w:t>
      </w:r>
      <w:r w:rsidR="00216D4E" w:rsidRPr="0039134A">
        <w:rPr>
          <w:rFonts w:ascii="Cambria" w:hAnsi="Cambria"/>
          <w:sz w:val="24"/>
          <w:szCs w:val="24"/>
        </w:rPr>
        <w:t>re del ejercicio 20</w:t>
      </w:r>
      <w:r w:rsidR="00A50FEA">
        <w:rPr>
          <w:rFonts w:ascii="Cambria" w:hAnsi="Cambria"/>
          <w:sz w:val="24"/>
          <w:szCs w:val="24"/>
        </w:rPr>
        <w:t>20</w:t>
      </w:r>
      <w:r w:rsidR="00216D4E" w:rsidRPr="0039134A">
        <w:rPr>
          <w:rFonts w:ascii="Cambria" w:hAnsi="Cambria"/>
          <w:sz w:val="24"/>
          <w:szCs w:val="24"/>
        </w:rPr>
        <w:t xml:space="preserve">, </w:t>
      </w:r>
      <w:r w:rsidR="009121C7" w:rsidRPr="0039134A">
        <w:rPr>
          <w:rFonts w:ascii="Cambria" w:hAnsi="Cambria"/>
          <w:sz w:val="24"/>
          <w:szCs w:val="24"/>
        </w:rPr>
        <w:t>se ha imputado direc</w:t>
      </w:r>
      <w:r w:rsidR="000D3540" w:rsidRPr="0039134A">
        <w:rPr>
          <w:rFonts w:ascii="Cambria" w:hAnsi="Cambria"/>
          <w:sz w:val="24"/>
          <w:szCs w:val="24"/>
        </w:rPr>
        <w:t xml:space="preserve">tamente a patrimonio un </w:t>
      </w:r>
      <w:r w:rsidR="000D3540" w:rsidRPr="005C40DE">
        <w:rPr>
          <w:rFonts w:ascii="Cambria" w:hAnsi="Cambria"/>
          <w:sz w:val="24"/>
          <w:szCs w:val="24"/>
        </w:rPr>
        <w:t xml:space="preserve">importe </w:t>
      </w:r>
      <w:r w:rsidR="00A50FEA" w:rsidRPr="00463578">
        <w:rPr>
          <w:rFonts w:ascii="Cambria" w:hAnsi="Cambria"/>
          <w:sz w:val="24"/>
          <w:szCs w:val="24"/>
        </w:rPr>
        <w:t xml:space="preserve">negativo </w:t>
      </w:r>
      <w:r w:rsidR="0039134A" w:rsidRPr="00463578">
        <w:rPr>
          <w:rFonts w:ascii="Cambria" w:hAnsi="Cambria"/>
          <w:sz w:val="24"/>
          <w:szCs w:val="24"/>
        </w:rPr>
        <w:t xml:space="preserve">de </w:t>
      </w:r>
      <w:r w:rsidR="00A50FEA" w:rsidRPr="00463578">
        <w:rPr>
          <w:rFonts w:ascii="Cambria" w:hAnsi="Cambria"/>
          <w:sz w:val="24"/>
          <w:szCs w:val="24"/>
        </w:rPr>
        <w:t>7</w:t>
      </w:r>
      <w:r w:rsidR="00216D4E" w:rsidRPr="00463578">
        <w:rPr>
          <w:rFonts w:ascii="Cambria" w:hAnsi="Cambria"/>
          <w:sz w:val="24"/>
          <w:szCs w:val="24"/>
        </w:rPr>
        <w:t xml:space="preserve"> miles</w:t>
      </w:r>
      <w:r w:rsidR="00216D4E" w:rsidRPr="005C40DE">
        <w:rPr>
          <w:rFonts w:ascii="Cambria" w:hAnsi="Cambria"/>
          <w:sz w:val="24"/>
          <w:szCs w:val="24"/>
        </w:rPr>
        <w:t xml:space="preserve"> de euros</w:t>
      </w:r>
      <w:r w:rsidR="0039134A" w:rsidRPr="005C40DE">
        <w:rPr>
          <w:rFonts w:ascii="Cambria" w:hAnsi="Cambria"/>
          <w:sz w:val="24"/>
          <w:szCs w:val="24"/>
        </w:rPr>
        <w:t>, (</w:t>
      </w:r>
      <w:r w:rsidR="00A50FEA">
        <w:rPr>
          <w:rFonts w:ascii="Cambria" w:hAnsi="Cambria"/>
          <w:sz w:val="24"/>
          <w:szCs w:val="24"/>
        </w:rPr>
        <w:t>24</w:t>
      </w:r>
      <w:r w:rsidR="0039134A" w:rsidRPr="005C40DE">
        <w:rPr>
          <w:rFonts w:ascii="Cambria" w:hAnsi="Cambria"/>
          <w:sz w:val="24"/>
          <w:szCs w:val="24"/>
        </w:rPr>
        <w:t xml:space="preserve"> miles</w:t>
      </w:r>
      <w:r w:rsidR="0039134A" w:rsidRPr="0039134A">
        <w:rPr>
          <w:rFonts w:ascii="Cambria" w:hAnsi="Cambria"/>
          <w:sz w:val="24"/>
          <w:szCs w:val="24"/>
        </w:rPr>
        <w:t xml:space="preserve"> de euros </w:t>
      </w:r>
      <w:r w:rsidR="00A50FEA">
        <w:rPr>
          <w:rFonts w:ascii="Cambria" w:hAnsi="Cambria"/>
          <w:sz w:val="24"/>
          <w:szCs w:val="24"/>
        </w:rPr>
        <w:t xml:space="preserve">positivos </w:t>
      </w:r>
      <w:r w:rsidR="0039134A" w:rsidRPr="0039134A">
        <w:rPr>
          <w:rFonts w:ascii="Cambria" w:hAnsi="Cambria"/>
          <w:sz w:val="24"/>
          <w:szCs w:val="24"/>
        </w:rPr>
        <w:t>en 201</w:t>
      </w:r>
      <w:r w:rsidR="00A50FEA">
        <w:rPr>
          <w:rFonts w:ascii="Cambria" w:hAnsi="Cambria"/>
          <w:sz w:val="24"/>
          <w:szCs w:val="24"/>
        </w:rPr>
        <w:t>9</w:t>
      </w:r>
      <w:r w:rsidR="0039134A">
        <w:rPr>
          <w:rFonts w:ascii="Cambria" w:hAnsi="Cambria"/>
          <w:sz w:val="24"/>
          <w:szCs w:val="24"/>
        </w:rPr>
        <w:t>)</w:t>
      </w:r>
      <w:r w:rsidRPr="0039134A">
        <w:rPr>
          <w:rFonts w:ascii="Cambria" w:hAnsi="Cambria"/>
          <w:sz w:val="24"/>
          <w:szCs w:val="24"/>
        </w:rPr>
        <w:t>, neto del efecto impositivo</w:t>
      </w:r>
      <w:r w:rsidR="009121C7" w:rsidRPr="0039134A">
        <w:rPr>
          <w:rFonts w:ascii="Cambria" w:hAnsi="Cambria"/>
          <w:sz w:val="24"/>
          <w:szCs w:val="24"/>
        </w:rPr>
        <w:t>, por variación de las hipótesis actuariales</w:t>
      </w:r>
      <w:r w:rsidR="0039134A">
        <w:rPr>
          <w:rFonts w:ascii="Cambria" w:hAnsi="Cambria"/>
          <w:sz w:val="24"/>
          <w:szCs w:val="24"/>
        </w:rPr>
        <w:t xml:space="preserve">. </w:t>
      </w:r>
      <w:r w:rsidR="00A50FEA" w:rsidRPr="00595DE2">
        <w:rPr>
          <w:rFonts w:ascii="Cambria" w:hAnsi="Cambria"/>
          <w:sz w:val="24"/>
          <w:szCs w:val="24"/>
        </w:rPr>
        <w:t>En los ejercicios 20</w:t>
      </w:r>
      <w:r w:rsidR="00A50FEA">
        <w:rPr>
          <w:rFonts w:ascii="Cambria" w:hAnsi="Cambria"/>
          <w:sz w:val="24"/>
          <w:szCs w:val="24"/>
        </w:rPr>
        <w:t>20</w:t>
      </w:r>
      <w:r w:rsidR="00A50FEA" w:rsidRPr="00595DE2">
        <w:rPr>
          <w:rFonts w:ascii="Cambria" w:hAnsi="Cambria"/>
          <w:sz w:val="24"/>
          <w:szCs w:val="24"/>
        </w:rPr>
        <w:t xml:space="preserve"> y 201</w:t>
      </w:r>
      <w:r w:rsidR="00A50FEA">
        <w:rPr>
          <w:rFonts w:ascii="Cambria" w:hAnsi="Cambria"/>
          <w:sz w:val="24"/>
          <w:szCs w:val="24"/>
        </w:rPr>
        <w:t>9</w:t>
      </w:r>
      <w:r w:rsidR="00A50FEA" w:rsidRPr="00595DE2">
        <w:rPr>
          <w:rFonts w:ascii="Cambria" w:hAnsi="Cambria"/>
          <w:sz w:val="24"/>
          <w:szCs w:val="24"/>
        </w:rPr>
        <w:t xml:space="preserve"> no ha habido gasto financiero por la actualización de la provisión</w:t>
      </w:r>
      <w:r w:rsidR="00A50FEA">
        <w:rPr>
          <w:rFonts w:ascii="Cambria" w:hAnsi="Cambria"/>
          <w:sz w:val="24"/>
          <w:szCs w:val="24"/>
        </w:rPr>
        <w:t>.</w:t>
      </w:r>
    </w:p>
    <w:p w14:paraId="38440F0F" w14:textId="77777777" w:rsidR="00A50FEA" w:rsidRDefault="00A50FEA" w:rsidP="00A50FEA">
      <w:pPr>
        <w:pStyle w:val="Ttulo1a"/>
        <w:shd w:val="clear" w:color="auto" w:fill="FFFFFF" w:themeFill="background1"/>
        <w:ind w:left="567"/>
        <w:rPr>
          <w:rFonts w:ascii="Cambria" w:hAnsi="Cambria"/>
          <w:sz w:val="24"/>
          <w:szCs w:val="24"/>
        </w:rPr>
      </w:pPr>
    </w:p>
    <w:p w14:paraId="2741FDE0" w14:textId="72AEB45C" w:rsidR="004D1091" w:rsidRDefault="004223C8" w:rsidP="00E9648F">
      <w:pPr>
        <w:pStyle w:val="Ttulo1a"/>
        <w:shd w:val="clear" w:color="auto" w:fill="FFFFFF" w:themeFill="background1"/>
        <w:ind w:left="567"/>
        <w:rPr>
          <w:rFonts w:ascii="Cambria" w:hAnsi="Cambria"/>
          <w:sz w:val="24"/>
          <w:szCs w:val="24"/>
        </w:rPr>
      </w:pPr>
      <w:r w:rsidRPr="00AD435C">
        <w:rPr>
          <w:rFonts w:ascii="Cambria" w:hAnsi="Cambria"/>
          <w:sz w:val="24"/>
          <w:szCs w:val="24"/>
        </w:rPr>
        <w:t xml:space="preserve">Los pagos </w:t>
      </w:r>
      <w:r w:rsidR="004D1091" w:rsidRPr="00AD435C">
        <w:rPr>
          <w:rFonts w:ascii="Cambria" w:hAnsi="Cambria"/>
          <w:sz w:val="24"/>
          <w:szCs w:val="24"/>
        </w:rPr>
        <w:t>de ayuda</w:t>
      </w:r>
      <w:r w:rsidRPr="00AD435C">
        <w:rPr>
          <w:rFonts w:ascii="Cambria" w:hAnsi="Cambria"/>
          <w:sz w:val="24"/>
          <w:szCs w:val="24"/>
        </w:rPr>
        <w:t xml:space="preserve"> </w:t>
      </w:r>
      <w:r w:rsidR="00AD435C">
        <w:rPr>
          <w:rFonts w:ascii="Cambria" w:hAnsi="Cambria"/>
          <w:sz w:val="24"/>
          <w:szCs w:val="24"/>
        </w:rPr>
        <w:t xml:space="preserve">al </w:t>
      </w:r>
      <w:r w:rsidRPr="00AD435C">
        <w:rPr>
          <w:rFonts w:ascii="Cambria" w:hAnsi="Cambria"/>
          <w:sz w:val="24"/>
          <w:szCs w:val="24"/>
        </w:rPr>
        <w:t xml:space="preserve">economato </w:t>
      </w:r>
      <w:r w:rsidR="004D1091" w:rsidRPr="00AD435C">
        <w:rPr>
          <w:rFonts w:ascii="Cambria" w:hAnsi="Cambria"/>
          <w:sz w:val="24"/>
          <w:szCs w:val="24"/>
        </w:rPr>
        <w:t>fueron</w:t>
      </w:r>
      <w:r w:rsidR="00673590" w:rsidRPr="00AD435C">
        <w:rPr>
          <w:rFonts w:ascii="Cambria" w:hAnsi="Cambria"/>
          <w:sz w:val="24"/>
          <w:szCs w:val="24"/>
        </w:rPr>
        <w:t xml:space="preserve"> </w:t>
      </w:r>
      <w:r w:rsidRPr="00AD435C">
        <w:rPr>
          <w:rFonts w:ascii="Cambria" w:hAnsi="Cambria"/>
          <w:sz w:val="24"/>
          <w:szCs w:val="24"/>
        </w:rPr>
        <w:t>suspendidos</w:t>
      </w:r>
      <w:r w:rsidR="00673590" w:rsidRPr="00AD435C">
        <w:rPr>
          <w:rFonts w:ascii="Cambria" w:hAnsi="Cambria"/>
          <w:sz w:val="24"/>
          <w:szCs w:val="24"/>
        </w:rPr>
        <w:t xml:space="preserve"> durante el ejercicio 2020</w:t>
      </w:r>
      <w:r w:rsidRPr="00AD435C">
        <w:rPr>
          <w:rFonts w:ascii="Cambria" w:hAnsi="Cambria"/>
          <w:sz w:val="24"/>
          <w:szCs w:val="24"/>
        </w:rPr>
        <w:t xml:space="preserve"> como consecuencia de la situación judicial </w:t>
      </w:r>
      <w:r w:rsidR="00E9648F" w:rsidRPr="00AD435C">
        <w:rPr>
          <w:rFonts w:ascii="Cambria" w:hAnsi="Cambria"/>
          <w:sz w:val="24"/>
          <w:szCs w:val="24"/>
        </w:rPr>
        <w:t>que existía</w:t>
      </w:r>
      <w:r w:rsidRPr="00AD435C">
        <w:rPr>
          <w:rFonts w:ascii="Cambria" w:hAnsi="Cambria"/>
          <w:sz w:val="24"/>
          <w:szCs w:val="24"/>
        </w:rPr>
        <w:t xml:space="preserve"> con el anterior arrendatario del inmueble.</w:t>
      </w:r>
      <w:r w:rsidR="00AD435C">
        <w:rPr>
          <w:rFonts w:ascii="Cambria" w:hAnsi="Cambria"/>
          <w:sz w:val="24"/>
          <w:szCs w:val="24"/>
        </w:rPr>
        <w:t xml:space="preserve"> Su importe se encuentra debidamente provisionado. </w:t>
      </w:r>
      <w:r w:rsidR="00673590" w:rsidRPr="00AD435C">
        <w:rPr>
          <w:rFonts w:ascii="Cambria" w:hAnsi="Cambria"/>
          <w:sz w:val="24"/>
          <w:szCs w:val="24"/>
        </w:rPr>
        <w:t xml:space="preserve"> </w:t>
      </w:r>
      <w:bookmarkStart w:id="12" w:name="_Hlk64453162"/>
      <w:r w:rsidR="00AD435C">
        <w:rPr>
          <w:rFonts w:ascii="Cambria" w:hAnsi="Cambria"/>
          <w:sz w:val="24"/>
          <w:szCs w:val="24"/>
        </w:rPr>
        <w:t xml:space="preserve">Con fecha </w:t>
      </w:r>
      <w:r w:rsidR="004D1091" w:rsidRPr="00AD435C">
        <w:rPr>
          <w:rFonts w:ascii="Cambria" w:hAnsi="Cambria"/>
          <w:sz w:val="24"/>
          <w:szCs w:val="24"/>
        </w:rPr>
        <w:t xml:space="preserve"> 6 de marzo de 2020 el </w:t>
      </w:r>
      <w:r w:rsidR="00AD435C">
        <w:rPr>
          <w:rFonts w:ascii="Cambria" w:hAnsi="Cambria"/>
          <w:sz w:val="24"/>
          <w:szCs w:val="24"/>
        </w:rPr>
        <w:t xml:space="preserve">nuevo </w:t>
      </w:r>
      <w:r w:rsidR="004D1091" w:rsidRPr="00AD435C">
        <w:rPr>
          <w:rFonts w:ascii="Cambria" w:hAnsi="Cambria"/>
          <w:sz w:val="24"/>
          <w:szCs w:val="24"/>
        </w:rPr>
        <w:t xml:space="preserve">adjudicatario del arrendamiento tomó posesión del inmueble. </w:t>
      </w:r>
      <w:r w:rsidR="00AD435C">
        <w:rPr>
          <w:rFonts w:ascii="Cambria" w:hAnsi="Cambria"/>
          <w:sz w:val="24"/>
          <w:szCs w:val="24"/>
        </w:rPr>
        <w:t xml:space="preserve"> Cofivacasa ha</w:t>
      </w:r>
      <w:r w:rsidR="004D1091" w:rsidRPr="00AD435C">
        <w:rPr>
          <w:rFonts w:ascii="Cambria" w:hAnsi="Cambria"/>
          <w:sz w:val="24"/>
          <w:szCs w:val="24"/>
        </w:rPr>
        <w:t xml:space="preserve"> solicita</w:t>
      </w:r>
      <w:r w:rsidR="00AD435C">
        <w:rPr>
          <w:rFonts w:ascii="Cambria" w:hAnsi="Cambria"/>
          <w:sz w:val="24"/>
          <w:szCs w:val="24"/>
        </w:rPr>
        <w:t>do</w:t>
      </w:r>
      <w:r w:rsidR="004D1091" w:rsidRPr="00AD435C">
        <w:rPr>
          <w:rFonts w:ascii="Cambria" w:hAnsi="Cambria"/>
          <w:sz w:val="24"/>
          <w:szCs w:val="24"/>
        </w:rPr>
        <w:t xml:space="preserve"> los datos a los beneficiarios </w:t>
      </w:r>
      <w:r w:rsidR="00AD435C">
        <w:rPr>
          <w:rFonts w:ascii="Cambria" w:hAnsi="Cambria"/>
          <w:sz w:val="24"/>
          <w:szCs w:val="24"/>
        </w:rPr>
        <w:t>de las ayudas y</w:t>
      </w:r>
      <w:r w:rsidR="004D1091" w:rsidRPr="00AD435C">
        <w:rPr>
          <w:rFonts w:ascii="Cambria" w:hAnsi="Cambria"/>
          <w:sz w:val="24"/>
          <w:szCs w:val="24"/>
        </w:rPr>
        <w:t xml:space="preserve"> reparti</w:t>
      </w:r>
      <w:r w:rsidR="00AD435C">
        <w:rPr>
          <w:rFonts w:ascii="Cambria" w:hAnsi="Cambria"/>
          <w:sz w:val="24"/>
          <w:szCs w:val="24"/>
        </w:rPr>
        <w:t>do</w:t>
      </w:r>
      <w:r w:rsidR="004D1091" w:rsidRPr="00AD435C">
        <w:rPr>
          <w:rFonts w:ascii="Cambria" w:hAnsi="Cambria"/>
          <w:sz w:val="24"/>
          <w:szCs w:val="24"/>
        </w:rPr>
        <w:t xml:space="preserve"> las nuevas tarjetas, </w:t>
      </w:r>
      <w:r w:rsidR="00AD435C">
        <w:rPr>
          <w:rFonts w:ascii="Cambria" w:hAnsi="Cambria"/>
          <w:sz w:val="24"/>
          <w:szCs w:val="24"/>
        </w:rPr>
        <w:t>estando en proceso la entrega de los vales de consumo</w:t>
      </w:r>
      <w:r w:rsidR="004D1091" w:rsidRPr="00AD435C">
        <w:rPr>
          <w:rFonts w:ascii="Cambria" w:hAnsi="Cambria"/>
          <w:sz w:val="24"/>
          <w:szCs w:val="24"/>
        </w:rPr>
        <w:t>.</w:t>
      </w:r>
      <w:r w:rsidR="00AD435C">
        <w:rPr>
          <w:rFonts w:ascii="Cambria" w:hAnsi="Cambria"/>
          <w:sz w:val="24"/>
          <w:szCs w:val="24"/>
        </w:rPr>
        <w:t xml:space="preserve"> </w:t>
      </w:r>
    </w:p>
    <w:p w14:paraId="28FFDB19" w14:textId="2F7CA1EF" w:rsidR="004D1091" w:rsidRDefault="004D1091" w:rsidP="00E9648F">
      <w:pPr>
        <w:pStyle w:val="Ttulo1a"/>
        <w:shd w:val="clear" w:color="auto" w:fill="FFFFFF" w:themeFill="background1"/>
        <w:ind w:left="567"/>
        <w:rPr>
          <w:rFonts w:ascii="Cambria" w:hAnsi="Cambria"/>
          <w:sz w:val="24"/>
          <w:szCs w:val="24"/>
        </w:rPr>
      </w:pPr>
    </w:p>
    <w:bookmarkEnd w:id="12"/>
    <w:p w14:paraId="4238A6C0" w14:textId="593EC3F2" w:rsidR="003F6E2C" w:rsidRPr="004223C8" w:rsidRDefault="00CA2C66" w:rsidP="00E25A8A">
      <w:pPr>
        <w:pStyle w:val="Ttulo1a"/>
        <w:ind w:left="567"/>
        <w:rPr>
          <w:rFonts w:ascii="Cambria" w:hAnsi="Cambria"/>
          <w:sz w:val="24"/>
          <w:szCs w:val="24"/>
        </w:rPr>
      </w:pPr>
      <w:r w:rsidRPr="004223C8">
        <w:rPr>
          <w:rFonts w:ascii="Cambria" w:hAnsi="Cambria"/>
          <w:sz w:val="24"/>
          <w:szCs w:val="24"/>
        </w:rPr>
        <w:t>Dado el carácter residual de la provisión</w:t>
      </w:r>
      <w:r w:rsidR="009121C7" w:rsidRPr="004223C8">
        <w:rPr>
          <w:rFonts w:ascii="Cambria" w:hAnsi="Cambria"/>
          <w:sz w:val="24"/>
          <w:szCs w:val="24"/>
        </w:rPr>
        <w:t xml:space="preserve"> por gastos médicos </w:t>
      </w:r>
      <w:r w:rsidRPr="004223C8">
        <w:rPr>
          <w:rFonts w:ascii="Cambria" w:hAnsi="Cambria"/>
          <w:sz w:val="24"/>
          <w:szCs w:val="24"/>
        </w:rPr>
        <w:t xml:space="preserve">a </w:t>
      </w:r>
      <w:r w:rsidR="009121C7" w:rsidRPr="004223C8">
        <w:rPr>
          <w:rFonts w:ascii="Cambria" w:hAnsi="Cambria"/>
          <w:sz w:val="24"/>
          <w:szCs w:val="24"/>
        </w:rPr>
        <w:t>fecha d</w:t>
      </w:r>
      <w:r w:rsidR="000D3540" w:rsidRPr="004223C8">
        <w:rPr>
          <w:rFonts w:ascii="Cambria" w:hAnsi="Cambria"/>
          <w:sz w:val="24"/>
          <w:szCs w:val="24"/>
        </w:rPr>
        <w:t xml:space="preserve">e 31 de diciembre </w:t>
      </w:r>
      <w:r w:rsidR="000D3540" w:rsidRPr="005C40DE">
        <w:rPr>
          <w:rFonts w:ascii="Cambria" w:hAnsi="Cambria"/>
          <w:sz w:val="24"/>
          <w:szCs w:val="24"/>
        </w:rPr>
        <w:t>de 20</w:t>
      </w:r>
      <w:r w:rsidR="00A50FEA">
        <w:rPr>
          <w:rFonts w:ascii="Cambria" w:hAnsi="Cambria"/>
          <w:sz w:val="24"/>
          <w:szCs w:val="24"/>
        </w:rPr>
        <w:t>20</w:t>
      </w:r>
      <w:r w:rsidR="000D3540" w:rsidRPr="005C40DE">
        <w:rPr>
          <w:rFonts w:ascii="Cambria" w:hAnsi="Cambria"/>
          <w:sz w:val="24"/>
          <w:szCs w:val="24"/>
        </w:rPr>
        <w:t xml:space="preserve"> (</w:t>
      </w:r>
      <w:r w:rsidR="005C40DE" w:rsidRPr="005C40DE">
        <w:rPr>
          <w:rFonts w:ascii="Cambria" w:hAnsi="Cambria"/>
          <w:sz w:val="24"/>
          <w:szCs w:val="24"/>
        </w:rPr>
        <w:t>8</w:t>
      </w:r>
      <w:r w:rsidR="00E657E3">
        <w:rPr>
          <w:rFonts w:ascii="Cambria" w:hAnsi="Cambria"/>
          <w:sz w:val="24"/>
          <w:szCs w:val="24"/>
        </w:rPr>
        <w:t>7</w:t>
      </w:r>
      <w:r w:rsidR="0043323C" w:rsidRPr="005C40DE">
        <w:rPr>
          <w:rFonts w:ascii="Cambria" w:hAnsi="Cambria"/>
          <w:sz w:val="24"/>
          <w:szCs w:val="24"/>
        </w:rPr>
        <w:t xml:space="preserve"> miles de euros)</w:t>
      </w:r>
      <w:r w:rsidRPr="005C40DE">
        <w:rPr>
          <w:rFonts w:ascii="Cambria" w:hAnsi="Cambria"/>
          <w:sz w:val="24"/>
          <w:szCs w:val="24"/>
        </w:rPr>
        <w:t>, la sociedad ha decidido</w:t>
      </w:r>
      <w:r w:rsidRPr="004223C8">
        <w:rPr>
          <w:rFonts w:ascii="Cambria" w:hAnsi="Cambria"/>
          <w:sz w:val="24"/>
          <w:szCs w:val="24"/>
        </w:rPr>
        <w:t xml:space="preserve"> no encargar la realización de estimaciones actuariales.</w:t>
      </w:r>
    </w:p>
    <w:p w14:paraId="1261D95D" w14:textId="77777777" w:rsidR="00CA2C66" w:rsidRPr="004223C8" w:rsidRDefault="00CA2C66" w:rsidP="00E25A8A">
      <w:pPr>
        <w:pStyle w:val="Ttulo1a"/>
        <w:ind w:left="567"/>
        <w:rPr>
          <w:rFonts w:ascii="Cambria" w:hAnsi="Cambria"/>
          <w:sz w:val="24"/>
          <w:szCs w:val="24"/>
        </w:rPr>
      </w:pPr>
    </w:p>
    <w:p w14:paraId="4EDC6E72" w14:textId="3FDDE818" w:rsidR="001523DF" w:rsidRDefault="003F6E2C" w:rsidP="00117DC2">
      <w:pPr>
        <w:pStyle w:val="Ttulo1a"/>
        <w:ind w:left="567"/>
        <w:rPr>
          <w:rFonts w:ascii="Cambria" w:hAnsi="Cambria"/>
          <w:sz w:val="24"/>
          <w:szCs w:val="24"/>
        </w:rPr>
      </w:pPr>
      <w:r w:rsidRPr="005C40DE">
        <w:rPr>
          <w:rFonts w:ascii="Cambria" w:hAnsi="Cambria"/>
          <w:sz w:val="24"/>
          <w:szCs w:val="24"/>
        </w:rPr>
        <w:t>Durante el ejercicio 20</w:t>
      </w:r>
      <w:r w:rsidR="00A50FEA">
        <w:rPr>
          <w:rFonts w:ascii="Cambria" w:hAnsi="Cambria"/>
          <w:sz w:val="24"/>
          <w:szCs w:val="24"/>
        </w:rPr>
        <w:t>20</w:t>
      </w:r>
      <w:r w:rsidRPr="005C40DE">
        <w:rPr>
          <w:rFonts w:ascii="Cambria" w:hAnsi="Cambria"/>
          <w:sz w:val="24"/>
          <w:szCs w:val="24"/>
        </w:rPr>
        <w:t xml:space="preserve">, los pagos efectuados </w:t>
      </w:r>
      <w:r w:rsidR="000D3540" w:rsidRPr="005C40DE">
        <w:rPr>
          <w:rFonts w:ascii="Cambria" w:hAnsi="Cambria"/>
          <w:sz w:val="24"/>
          <w:szCs w:val="24"/>
        </w:rPr>
        <w:t xml:space="preserve">por gastos médicos </w:t>
      </w:r>
      <w:r w:rsidRPr="005C40DE">
        <w:rPr>
          <w:rFonts w:ascii="Cambria" w:hAnsi="Cambria"/>
          <w:sz w:val="24"/>
          <w:szCs w:val="24"/>
        </w:rPr>
        <w:t xml:space="preserve">han ascendido a </w:t>
      </w:r>
      <w:r w:rsidR="00A50FEA">
        <w:rPr>
          <w:rFonts w:ascii="Cambria" w:hAnsi="Cambria"/>
          <w:sz w:val="24"/>
          <w:szCs w:val="24"/>
        </w:rPr>
        <w:t>2</w:t>
      </w:r>
      <w:r w:rsidR="00CE30D4" w:rsidRPr="005C40DE">
        <w:rPr>
          <w:rFonts w:ascii="Cambria" w:hAnsi="Cambria"/>
          <w:sz w:val="24"/>
          <w:szCs w:val="24"/>
        </w:rPr>
        <w:t xml:space="preserve"> miles de euros (</w:t>
      </w:r>
      <w:r w:rsidR="00D725D0" w:rsidRPr="005C40DE">
        <w:rPr>
          <w:rFonts w:ascii="Cambria" w:hAnsi="Cambria"/>
          <w:sz w:val="24"/>
          <w:szCs w:val="24"/>
        </w:rPr>
        <w:t>8</w:t>
      </w:r>
      <w:r w:rsidR="00EC30F7" w:rsidRPr="005C40DE">
        <w:rPr>
          <w:rFonts w:ascii="Cambria" w:hAnsi="Cambria"/>
          <w:sz w:val="24"/>
          <w:szCs w:val="24"/>
        </w:rPr>
        <w:t xml:space="preserve"> </w:t>
      </w:r>
      <w:r w:rsidRPr="005C40DE">
        <w:rPr>
          <w:rFonts w:ascii="Cambria" w:hAnsi="Cambria"/>
          <w:sz w:val="24"/>
          <w:szCs w:val="24"/>
        </w:rPr>
        <w:t xml:space="preserve">miles </w:t>
      </w:r>
      <w:r w:rsidR="004E258E" w:rsidRPr="005C40DE">
        <w:rPr>
          <w:rFonts w:ascii="Cambria" w:hAnsi="Cambria"/>
          <w:sz w:val="24"/>
          <w:szCs w:val="24"/>
        </w:rPr>
        <w:t>de euros en 201</w:t>
      </w:r>
      <w:r w:rsidR="00A50FEA">
        <w:rPr>
          <w:rFonts w:ascii="Cambria" w:hAnsi="Cambria"/>
          <w:sz w:val="24"/>
          <w:szCs w:val="24"/>
        </w:rPr>
        <w:t>9</w:t>
      </w:r>
      <w:r w:rsidR="000D3540" w:rsidRPr="005C40DE">
        <w:rPr>
          <w:rFonts w:ascii="Cambria" w:hAnsi="Cambria"/>
          <w:sz w:val="24"/>
          <w:szCs w:val="24"/>
        </w:rPr>
        <w:t>)</w:t>
      </w:r>
      <w:r w:rsidRPr="005C40DE">
        <w:rPr>
          <w:rFonts w:ascii="Cambria" w:hAnsi="Cambria"/>
          <w:sz w:val="24"/>
          <w:szCs w:val="24"/>
        </w:rPr>
        <w:t>.</w:t>
      </w:r>
      <w:r w:rsidRPr="000D3540">
        <w:rPr>
          <w:rFonts w:ascii="Cambria" w:hAnsi="Cambria"/>
          <w:sz w:val="24"/>
          <w:szCs w:val="24"/>
        </w:rPr>
        <w:t xml:space="preserve"> </w:t>
      </w:r>
    </w:p>
    <w:p w14:paraId="7985E4F3" w14:textId="3E32B1BD" w:rsidR="00463578" w:rsidRDefault="00463578">
      <w:pPr>
        <w:keepLines w:val="0"/>
        <w:widowControl/>
        <w:jc w:val="left"/>
      </w:pPr>
      <w:r>
        <w:br w:type="page"/>
      </w:r>
    </w:p>
    <w:p w14:paraId="39D97681" w14:textId="77777777" w:rsidR="00B7249E" w:rsidRDefault="00B7249E" w:rsidP="00B7249E"/>
    <w:p w14:paraId="20AD40CE" w14:textId="77777777" w:rsidR="00DE32E6" w:rsidRPr="00DE32E6" w:rsidRDefault="00915846" w:rsidP="00DE32E6">
      <w:pPr>
        <w:pStyle w:val="Ttulo2"/>
        <w:keepNext/>
        <w:ind w:left="567"/>
        <w:rPr>
          <w:rFonts w:ascii="Cambria" w:hAnsi="Cambria"/>
          <w:sz w:val="24"/>
          <w:szCs w:val="24"/>
        </w:rPr>
      </w:pPr>
      <w:bookmarkStart w:id="13" w:name="_Ref256423224"/>
      <w:bookmarkStart w:id="14" w:name="_Ref256415823"/>
      <w:r w:rsidRPr="00F8465B">
        <w:rPr>
          <w:rFonts w:ascii="Cambria" w:hAnsi="Cambria"/>
          <w:sz w:val="24"/>
          <w:szCs w:val="24"/>
        </w:rPr>
        <w:t>1</w:t>
      </w:r>
      <w:r w:rsidR="002C5320" w:rsidRPr="00F8465B">
        <w:rPr>
          <w:rFonts w:ascii="Cambria" w:hAnsi="Cambria"/>
          <w:sz w:val="24"/>
          <w:szCs w:val="24"/>
        </w:rPr>
        <w:t>1</w:t>
      </w:r>
      <w:r w:rsidR="00740DAD" w:rsidRPr="00F8465B">
        <w:rPr>
          <w:rFonts w:ascii="Cambria" w:hAnsi="Cambria"/>
          <w:sz w:val="24"/>
          <w:szCs w:val="24"/>
        </w:rPr>
        <w:t xml:space="preserve">.2 </w:t>
      </w:r>
      <w:r w:rsidR="00DE32E6" w:rsidRPr="00DE32E6">
        <w:rPr>
          <w:rFonts w:ascii="Cambria" w:hAnsi="Cambria"/>
          <w:sz w:val="24"/>
          <w:szCs w:val="24"/>
        </w:rPr>
        <w:t>Provisiones medioambientales</w:t>
      </w:r>
    </w:p>
    <w:p w14:paraId="319BE27F" w14:textId="77777777" w:rsidR="00DE32E6" w:rsidRPr="00F8465B" w:rsidRDefault="00DE32E6" w:rsidP="00DE32E6">
      <w:pPr>
        <w:pStyle w:val="Ttulo1a"/>
        <w:ind w:left="567"/>
        <w:rPr>
          <w:rFonts w:ascii="Cambria" w:hAnsi="Cambria"/>
          <w:sz w:val="24"/>
          <w:szCs w:val="24"/>
        </w:rPr>
      </w:pPr>
    </w:p>
    <w:p w14:paraId="444CFCCD" w14:textId="64E0BBCF" w:rsidR="00DE32E6" w:rsidRPr="00F8465B" w:rsidRDefault="00DE32E6" w:rsidP="00DE32E6">
      <w:pPr>
        <w:pStyle w:val="Ttulo1a"/>
        <w:ind w:left="567"/>
        <w:rPr>
          <w:rFonts w:ascii="Cambria" w:hAnsi="Cambria"/>
          <w:sz w:val="24"/>
          <w:szCs w:val="24"/>
        </w:rPr>
      </w:pPr>
      <w:r w:rsidRPr="008F38DA">
        <w:rPr>
          <w:rFonts w:ascii="Cambria" w:hAnsi="Cambria"/>
          <w:sz w:val="24"/>
          <w:szCs w:val="24"/>
        </w:rPr>
        <w:t>Durante los ejercicios 20</w:t>
      </w:r>
      <w:r w:rsidR="00A50FEA">
        <w:rPr>
          <w:rFonts w:ascii="Cambria" w:hAnsi="Cambria"/>
          <w:sz w:val="24"/>
          <w:szCs w:val="24"/>
        </w:rPr>
        <w:t>20</w:t>
      </w:r>
      <w:r w:rsidRPr="008F38DA">
        <w:rPr>
          <w:rFonts w:ascii="Cambria" w:hAnsi="Cambria"/>
          <w:sz w:val="24"/>
          <w:szCs w:val="24"/>
        </w:rPr>
        <w:t xml:space="preserve"> y 201</w:t>
      </w:r>
      <w:r w:rsidR="00A50FEA">
        <w:rPr>
          <w:rFonts w:ascii="Cambria" w:hAnsi="Cambria"/>
          <w:sz w:val="24"/>
          <w:szCs w:val="24"/>
        </w:rPr>
        <w:t>9</w:t>
      </w:r>
      <w:r w:rsidRPr="008F38DA">
        <w:rPr>
          <w:rFonts w:ascii="Cambria" w:hAnsi="Cambria"/>
          <w:sz w:val="24"/>
          <w:szCs w:val="24"/>
        </w:rPr>
        <w:t>, se han seguido realizando</w:t>
      </w:r>
      <w:r>
        <w:rPr>
          <w:rFonts w:ascii="Cambria" w:hAnsi="Cambria"/>
          <w:sz w:val="24"/>
          <w:szCs w:val="24"/>
        </w:rPr>
        <w:t xml:space="preserve"> las actuaciones tendentes a </w:t>
      </w:r>
      <w:r w:rsidRPr="008F38DA">
        <w:rPr>
          <w:rFonts w:ascii="Cambria" w:hAnsi="Cambria"/>
          <w:sz w:val="24"/>
          <w:szCs w:val="24"/>
        </w:rPr>
        <w:t>la finalización del plan de restauración de la mina propiedad de la sociedad absorbida PRESUR.</w:t>
      </w:r>
    </w:p>
    <w:p w14:paraId="588B1612" w14:textId="77777777" w:rsidR="00DE32E6" w:rsidRPr="00F8465B" w:rsidRDefault="00DE32E6" w:rsidP="00DE32E6">
      <w:pPr>
        <w:pStyle w:val="Ttulo1a"/>
        <w:ind w:left="567"/>
        <w:rPr>
          <w:rFonts w:ascii="Cambria" w:hAnsi="Cambria"/>
          <w:sz w:val="24"/>
          <w:szCs w:val="24"/>
        </w:rPr>
      </w:pPr>
    </w:p>
    <w:p w14:paraId="6ADA82F5" w14:textId="02803913" w:rsidR="00DE32E6" w:rsidRDefault="00DE32E6" w:rsidP="00DE32E6">
      <w:pPr>
        <w:pStyle w:val="Ttulo1a"/>
        <w:shd w:val="clear" w:color="auto" w:fill="FFFFFF" w:themeFill="background1"/>
        <w:ind w:left="567"/>
        <w:rPr>
          <w:rFonts w:ascii="Cambria" w:hAnsi="Cambria"/>
          <w:sz w:val="24"/>
          <w:szCs w:val="24"/>
        </w:rPr>
      </w:pPr>
      <w:r w:rsidRPr="002325DF">
        <w:rPr>
          <w:rFonts w:ascii="Cambria" w:hAnsi="Cambria"/>
          <w:sz w:val="24"/>
          <w:szCs w:val="24"/>
        </w:rPr>
        <w:t>A 31 de diciembre de 20</w:t>
      </w:r>
      <w:r w:rsidR="00A50FEA">
        <w:rPr>
          <w:rFonts w:ascii="Cambria" w:hAnsi="Cambria"/>
          <w:sz w:val="24"/>
          <w:szCs w:val="24"/>
        </w:rPr>
        <w:t>20</w:t>
      </w:r>
      <w:r w:rsidRPr="002325DF">
        <w:rPr>
          <w:rFonts w:ascii="Cambria" w:hAnsi="Cambria"/>
          <w:sz w:val="24"/>
          <w:szCs w:val="24"/>
        </w:rPr>
        <w:t xml:space="preserve">, </w:t>
      </w:r>
      <w:r w:rsidR="00A50FEA">
        <w:rPr>
          <w:rFonts w:ascii="Cambria" w:hAnsi="Cambria"/>
          <w:sz w:val="24"/>
          <w:szCs w:val="24"/>
        </w:rPr>
        <w:t>se han dotado 2</w:t>
      </w:r>
      <w:r w:rsidR="001071A7">
        <w:rPr>
          <w:rFonts w:ascii="Cambria" w:hAnsi="Cambria"/>
          <w:sz w:val="24"/>
          <w:szCs w:val="24"/>
        </w:rPr>
        <w:t>1</w:t>
      </w:r>
      <w:r w:rsidR="00A50FEA">
        <w:rPr>
          <w:rFonts w:ascii="Cambria" w:hAnsi="Cambria"/>
          <w:sz w:val="24"/>
          <w:szCs w:val="24"/>
        </w:rPr>
        <w:t xml:space="preserve"> miles de euros de provisión para </w:t>
      </w:r>
      <w:r w:rsidR="0070419A">
        <w:rPr>
          <w:rFonts w:ascii="Cambria" w:hAnsi="Cambria"/>
          <w:sz w:val="24"/>
          <w:szCs w:val="24"/>
        </w:rPr>
        <w:t xml:space="preserve">la </w:t>
      </w:r>
      <w:r w:rsidR="00A50FEA">
        <w:rPr>
          <w:rFonts w:ascii="Cambria" w:hAnsi="Cambria"/>
          <w:sz w:val="24"/>
          <w:szCs w:val="24"/>
        </w:rPr>
        <w:t>realización de trabajos de reparación y mantenimiento del vallado</w:t>
      </w:r>
      <w:r w:rsidR="001071A7">
        <w:rPr>
          <w:rFonts w:ascii="Cambria" w:hAnsi="Cambria"/>
          <w:sz w:val="24"/>
          <w:szCs w:val="24"/>
        </w:rPr>
        <w:t xml:space="preserve"> perimetral</w:t>
      </w:r>
      <w:r w:rsidR="0020729D">
        <w:rPr>
          <w:rFonts w:ascii="Cambria" w:hAnsi="Cambria"/>
          <w:sz w:val="24"/>
          <w:szCs w:val="24"/>
        </w:rPr>
        <w:t xml:space="preserve">, </w:t>
      </w:r>
      <w:r w:rsidR="0020729D" w:rsidRPr="00F8465B">
        <w:rPr>
          <w:rFonts w:ascii="Cambria" w:hAnsi="Cambria"/>
          <w:sz w:val="24"/>
          <w:szCs w:val="24"/>
        </w:rPr>
        <w:t>registrad</w:t>
      </w:r>
      <w:r w:rsidR="0020729D">
        <w:rPr>
          <w:rFonts w:ascii="Cambria" w:hAnsi="Cambria"/>
          <w:sz w:val="24"/>
          <w:szCs w:val="24"/>
        </w:rPr>
        <w:t>os</w:t>
      </w:r>
      <w:r w:rsidR="0020729D" w:rsidRPr="00F8465B">
        <w:rPr>
          <w:rFonts w:ascii="Cambria" w:hAnsi="Cambria"/>
          <w:sz w:val="24"/>
          <w:szCs w:val="24"/>
        </w:rPr>
        <w:t xml:space="preserve"> en el epígrafe “Otros gastos de gestión corriente” de la cuenta de pérdidas y ganancias adjunta. </w:t>
      </w:r>
      <w:r w:rsidR="0070419A">
        <w:rPr>
          <w:rFonts w:ascii="Cambria" w:hAnsi="Cambria"/>
          <w:sz w:val="24"/>
          <w:szCs w:val="24"/>
        </w:rPr>
        <w:t xml:space="preserve"> En el ejercicio 201</w:t>
      </w:r>
      <w:r w:rsidR="00A50FEA">
        <w:rPr>
          <w:rFonts w:ascii="Cambria" w:hAnsi="Cambria"/>
          <w:sz w:val="24"/>
          <w:szCs w:val="24"/>
        </w:rPr>
        <w:t>9</w:t>
      </w:r>
      <w:r w:rsidR="0070419A">
        <w:rPr>
          <w:rFonts w:ascii="Cambria" w:hAnsi="Cambria"/>
          <w:sz w:val="24"/>
          <w:szCs w:val="24"/>
        </w:rPr>
        <w:t xml:space="preserve"> </w:t>
      </w:r>
      <w:r w:rsidR="00A50FEA">
        <w:rPr>
          <w:rFonts w:ascii="Cambria" w:hAnsi="Cambria"/>
          <w:sz w:val="24"/>
          <w:szCs w:val="24"/>
        </w:rPr>
        <w:t xml:space="preserve">no </w:t>
      </w:r>
      <w:r w:rsidR="0070419A">
        <w:rPr>
          <w:rFonts w:ascii="Cambria" w:hAnsi="Cambria"/>
          <w:sz w:val="24"/>
          <w:szCs w:val="24"/>
        </w:rPr>
        <w:t xml:space="preserve">se </w:t>
      </w:r>
      <w:r w:rsidR="00A50FEA">
        <w:rPr>
          <w:rFonts w:ascii="Cambria" w:hAnsi="Cambria"/>
          <w:sz w:val="24"/>
          <w:szCs w:val="24"/>
        </w:rPr>
        <w:t xml:space="preserve">dotó provisión al considerar que no había </w:t>
      </w:r>
      <w:r w:rsidR="0070419A">
        <w:rPr>
          <w:rFonts w:ascii="Cambria" w:hAnsi="Cambria"/>
          <w:sz w:val="24"/>
          <w:szCs w:val="24"/>
        </w:rPr>
        <w:t>trabajos pendientes</w:t>
      </w:r>
      <w:r w:rsidR="00A50FEA">
        <w:rPr>
          <w:rFonts w:ascii="Cambria" w:hAnsi="Cambria"/>
          <w:sz w:val="24"/>
          <w:szCs w:val="24"/>
        </w:rPr>
        <w:t xml:space="preserve"> no cubiertos</w:t>
      </w:r>
      <w:r w:rsidR="0070419A">
        <w:rPr>
          <w:rFonts w:ascii="Cambria" w:hAnsi="Cambria"/>
          <w:sz w:val="24"/>
          <w:szCs w:val="24"/>
        </w:rPr>
        <w:t xml:space="preserve">. </w:t>
      </w:r>
      <w:r w:rsidRPr="002325DF">
        <w:rPr>
          <w:rFonts w:ascii="Cambria" w:hAnsi="Cambria"/>
          <w:sz w:val="24"/>
          <w:szCs w:val="24"/>
        </w:rPr>
        <w:t>El importe de los trabajos realizados en 20</w:t>
      </w:r>
      <w:r w:rsidR="00A50FEA">
        <w:rPr>
          <w:rFonts w:ascii="Cambria" w:hAnsi="Cambria"/>
          <w:sz w:val="24"/>
          <w:szCs w:val="24"/>
        </w:rPr>
        <w:t>20</w:t>
      </w:r>
      <w:r w:rsidRPr="002325DF">
        <w:rPr>
          <w:rFonts w:ascii="Cambria" w:hAnsi="Cambria"/>
          <w:sz w:val="24"/>
          <w:szCs w:val="24"/>
        </w:rPr>
        <w:t xml:space="preserve"> ha ascendido a un total </w:t>
      </w:r>
      <w:r w:rsidRPr="0070419A">
        <w:rPr>
          <w:rFonts w:ascii="Cambria" w:hAnsi="Cambria"/>
          <w:sz w:val="24"/>
          <w:szCs w:val="24"/>
        </w:rPr>
        <w:t xml:space="preserve">de </w:t>
      </w:r>
      <w:r w:rsidR="0070419A" w:rsidRPr="0070419A">
        <w:rPr>
          <w:rFonts w:ascii="Cambria" w:hAnsi="Cambria"/>
          <w:sz w:val="24"/>
          <w:szCs w:val="24"/>
        </w:rPr>
        <w:t>2</w:t>
      </w:r>
      <w:r w:rsidR="00A50FEA">
        <w:rPr>
          <w:rFonts w:ascii="Cambria" w:hAnsi="Cambria"/>
          <w:sz w:val="24"/>
          <w:szCs w:val="24"/>
        </w:rPr>
        <w:t>36</w:t>
      </w:r>
      <w:r w:rsidRPr="0070419A">
        <w:rPr>
          <w:rFonts w:ascii="Cambria" w:hAnsi="Cambria"/>
          <w:sz w:val="24"/>
          <w:szCs w:val="24"/>
        </w:rPr>
        <w:t xml:space="preserve"> miles de euros</w:t>
      </w:r>
      <w:r w:rsidRPr="002325DF">
        <w:rPr>
          <w:rFonts w:ascii="Cambria" w:hAnsi="Cambria"/>
          <w:sz w:val="24"/>
          <w:szCs w:val="24"/>
        </w:rPr>
        <w:t xml:space="preserve"> (</w:t>
      </w:r>
      <w:r w:rsidR="00A50FEA">
        <w:rPr>
          <w:rFonts w:ascii="Cambria" w:hAnsi="Cambria"/>
          <w:sz w:val="24"/>
          <w:szCs w:val="24"/>
        </w:rPr>
        <w:t>225</w:t>
      </w:r>
      <w:r w:rsidRPr="002325DF">
        <w:rPr>
          <w:rFonts w:ascii="Cambria" w:hAnsi="Cambria"/>
          <w:sz w:val="24"/>
          <w:szCs w:val="24"/>
        </w:rPr>
        <w:t xml:space="preserve"> miles de euros en 201</w:t>
      </w:r>
      <w:r w:rsidR="00A50FEA">
        <w:rPr>
          <w:rFonts w:ascii="Cambria" w:hAnsi="Cambria"/>
          <w:sz w:val="24"/>
          <w:szCs w:val="24"/>
        </w:rPr>
        <w:t>9</w:t>
      </w:r>
      <w:r w:rsidRPr="002325DF">
        <w:rPr>
          <w:rFonts w:ascii="Cambria" w:hAnsi="Cambria"/>
          <w:sz w:val="24"/>
          <w:szCs w:val="24"/>
        </w:rPr>
        <w:t>).</w:t>
      </w:r>
    </w:p>
    <w:p w14:paraId="11B8DCF0" w14:textId="77777777" w:rsidR="00DE32E6" w:rsidRPr="00F8465B" w:rsidRDefault="00DE32E6" w:rsidP="00DE32E6">
      <w:pPr>
        <w:keepLines w:val="0"/>
        <w:widowControl/>
        <w:shd w:val="clear" w:color="auto" w:fill="FFFFFF" w:themeFill="background1"/>
        <w:jc w:val="left"/>
      </w:pPr>
    </w:p>
    <w:bookmarkEnd w:id="13"/>
    <w:bookmarkEnd w:id="14"/>
    <w:p w14:paraId="7C00934A" w14:textId="77777777" w:rsidR="00280254" w:rsidRPr="00DE32E6" w:rsidRDefault="00280254" w:rsidP="00280254">
      <w:pPr>
        <w:pStyle w:val="Ttulo2"/>
        <w:keepNext/>
        <w:ind w:left="567"/>
        <w:rPr>
          <w:rFonts w:ascii="Cambria" w:hAnsi="Cambria"/>
          <w:sz w:val="24"/>
          <w:szCs w:val="24"/>
        </w:rPr>
      </w:pPr>
      <w:r w:rsidRPr="00F8465B">
        <w:rPr>
          <w:rFonts w:ascii="Cambria" w:hAnsi="Cambria"/>
          <w:sz w:val="24"/>
          <w:szCs w:val="24"/>
        </w:rPr>
        <w:t>11</w:t>
      </w:r>
      <w:r>
        <w:rPr>
          <w:rFonts w:ascii="Cambria" w:hAnsi="Cambria"/>
          <w:sz w:val="24"/>
          <w:szCs w:val="24"/>
        </w:rPr>
        <w:t>.3</w:t>
      </w:r>
      <w:r w:rsidRPr="00F8465B">
        <w:rPr>
          <w:rFonts w:ascii="Cambria" w:hAnsi="Cambria"/>
          <w:sz w:val="24"/>
          <w:szCs w:val="24"/>
        </w:rPr>
        <w:t xml:space="preserve"> </w:t>
      </w:r>
      <w:r w:rsidR="00EF6CFF">
        <w:rPr>
          <w:rFonts w:ascii="Cambria" w:hAnsi="Cambria"/>
          <w:sz w:val="24"/>
          <w:szCs w:val="24"/>
        </w:rPr>
        <w:t>Otras provisiones – Pasivos contingentes</w:t>
      </w:r>
    </w:p>
    <w:p w14:paraId="3D1F6F40" w14:textId="77777777" w:rsidR="00A823A3" w:rsidRPr="00F8465B" w:rsidRDefault="00A823A3" w:rsidP="00453E17">
      <w:pPr>
        <w:pStyle w:val="Ttulo1a"/>
        <w:ind w:left="567"/>
        <w:rPr>
          <w:rFonts w:ascii="Cambria" w:hAnsi="Cambria"/>
          <w:sz w:val="24"/>
          <w:szCs w:val="24"/>
        </w:rPr>
      </w:pPr>
    </w:p>
    <w:p w14:paraId="79FBBD58" w14:textId="5AAE3894" w:rsidR="00C43D60" w:rsidRPr="00F8465B" w:rsidRDefault="005D0597" w:rsidP="002D6127">
      <w:pPr>
        <w:pStyle w:val="Ttulo1a"/>
        <w:ind w:left="567"/>
        <w:rPr>
          <w:rFonts w:ascii="Cambria" w:hAnsi="Cambria"/>
          <w:sz w:val="24"/>
          <w:szCs w:val="24"/>
        </w:rPr>
      </w:pPr>
      <w:r w:rsidRPr="00F8465B">
        <w:rPr>
          <w:rFonts w:ascii="Cambria" w:hAnsi="Cambria"/>
          <w:sz w:val="24"/>
          <w:szCs w:val="24"/>
        </w:rPr>
        <w:t>El movimiento habido</w:t>
      </w:r>
      <w:r w:rsidR="008036F0" w:rsidRPr="00F8465B">
        <w:rPr>
          <w:rFonts w:ascii="Cambria" w:hAnsi="Cambria"/>
          <w:sz w:val="24"/>
          <w:szCs w:val="24"/>
        </w:rPr>
        <w:t>,</w:t>
      </w:r>
      <w:r w:rsidRPr="00F8465B">
        <w:rPr>
          <w:rFonts w:ascii="Cambria" w:hAnsi="Cambria"/>
          <w:sz w:val="24"/>
          <w:szCs w:val="24"/>
        </w:rPr>
        <w:t xml:space="preserve"> durante los ejercicios 20</w:t>
      </w:r>
      <w:r w:rsidR="006A0670">
        <w:rPr>
          <w:rFonts w:ascii="Cambria" w:hAnsi="Cambria"/>
          <w:sz w:val="24"/>
          <w:szCs w:val="24"/>
        </w:rPr>
        <w:t>20</w:t>
      </w:r>
      <w:r w:rsidR="003D2164" w:rsidRPr="00F8465B">
        <w:rPr>
          <w:rFonts w:ascii="Cambria" w:hAnsi="Cambria"/>
          <w:sz w:val="24"/>
          <w:szCs w:val="24"/>
        </w:rPr>
        <w:t xml:space="preserve"> y 20</w:t>
      </w:r>
      <w:r w:rsidR="00503487" w:rsidRPr="00F8465B">
        <w:rPr>
          <w:rFonts w:ascii="Cambria" w:hAnsi="Cambria"/>
          <w:sz w:val="24"/>
          <w:szCs w:val="24"/>
        </w:rPr>
        <w:t>1</w:t>
      </w:r>
      <w:r w:rsidR="006A0670">
        <w:rPr>
          <w:rFonts w:ascii="Cambria" w:hAnsi="Cambria"/>
          <w:sz w:val="24"/>
          <w:szCs w:val="24"/>
        </w:rPr>
        <w:t>9</w:t>
      </w:r>
      <w:r w:rsidR="008036F0" w:rsidRPr="00F8465B">
        <w:rPr>
          <w:rFonts w:ascii="Cambria" w:hAnsi="Cambria"/>
          <w:sz w:val="24"/>
          <w:szCs w:val="24"/>
        </w:rPr>
        <w:t>,</w:t>
      </w:r>
      <w:r w:rsidRPr="00F8465B">
        <w:rPr>
          <w:rFonts w:ascii="Cambria" w:hAnsi="Cambria"/>
          <w:sz w:val="24"/>
          <w:szCs w:val="24"/>
        </w:rPr>
        <w:t xml:space="preserve"> y la composición de este epígrafe del balance de situación adjunto, son los siguientes</w:t>
      </w:r>
      <w:r w:rsidR="00D84FF4" w:rsidRPr="00F8465B">
        <w:rPr>
          <w:rFonts w:ascii="Cambria" w:hAnsi="Cambria"/>
          <w:sz w:val="24"/>
          <w:szCs w:val="24"/>
        </w:rPr>
        <w:t xml:space="preserve"> en miles de euros</w:t>
      </w:r>
      <w:r w:rsidRPr="00F8465B">
        <w:rPr>
          <w:rFonts w:ascii="Cambria" w:hAnsi="Cambria"/>
          <w:sz w:val="24"/>
          <w:szCs w:val="24"/>
        </w:rPr>
        <w:t>:</w:t>
      </w:r>
    </w:p>
    <w:p w14:paraId="499BC3AB" w14:textId="77777777" w:rsidR="002D385B" w:rsidRPr="00F8465B" w:rsidRDefault="002D385B" w:rsidP="00453E17">
      <w:pPr>
        <w:pStyle w:val="Ttulo1a"/>
        <w:ind w:left="567"/>
        <w:rPr>
          <w:rFonts w:ascii="Cambria" w:hAnsi="Cambria"/>
          <w:sz w:val="24"/>
          <w:szCs w:val="24"/>
        </w:rPr>
      </w:pPr>
    </w:p>
    <w:p w14:paraId="77AE43C5" w14:textId="7A37E4EA" w:rsidR="00240425" w:rsidRDefault="00240425" w:rsidP="00240425">
      <w:pPr>
        <w:ind w:left="567"/>
        <w:rPr>
          <w:rFonts w:ascii="Cambria" w:hAnsi="Cambria"/>
          <w:b/>
          <w:sz w:val="24"/>
          <w:szCs w:val="24"/>
          <w:u w:val="single"/>
        </w:rPr>
      </w:pPr>
      <w:r w:rsidRPr="00F8465B">
        <w:rPr>
          <w:rFonts w:ascii="Cambria" w:hAnsi="Cambria"/>
          <w:b/>
          <w:sz w:val="24"/>
          <w:szCs w:val="24"/>
          <w:u w:val="single"/>
        </w:rPr>
        <w:t>Ejercicio 20</w:t>
      </w:r>
      <w:r w:rsidR="0080616D">
        <w:rPr>
          <w:rFonts w:ascii="Cambria" w:hAnsi="Cambria"/>
          <w:b/>
          <w:sz w:val="24"/>
          <w:szCs w:val="24"/>
          <w:u w:val="single"/>
        </w:rPr>
        <w:t>20</w:t>
      </w:r>
    </w:p>
    <w:p w14:paraId="736AD5CC" w14:textId="77777777" w:rsidR="004223C8" w:rsidRDefault="004223C8" w:rsidP="00240425">
      <w:pPr>
        <w:ind w:left="567"/>
        <w:rPr>
          <w:rFonts w:ascii="Cambria" w:hAnsi="Cambria"/>
          <w:b/>
          <w:sz w:val="24"/>
          <w:szCs w:val="24"/>
          <w:u w:val="single"/>
        </w:rPr>
      </w:pPr>
    </w:p>
    <w:tbl>
      <w:tblPr>
        <w:tblW w:w="4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992"/>
        <w:gridCol w:w="1133"/>
        <w:gridCol w:w="850"/>
        <w:gridCol w:w="1276"/>
        <w:gridCol w:w="1268"/>
      </w:tblGrid>
      <w:tr w:rsidR="006A0670" w:rsidRPr="00F8465B" w14:paraId="04C3C354" w14:textId="77777777" w:rsidTr="006A0670">
        <w:trPr>
          <w:trHeight w:val="975"/>
          <w:jc w:val="center"/>
        </w:trPr>
        <w:tc>
          <w:tcPr>
            <w:tcW w:w="1522" w:type="pct"/>
            <w:tcBorders>
              <w:bottom w:val="single" w:sz="4" w:space="0" w:color="auto"/>
            </w:tcBorders>
            <w:shd w:val="clear" w:color="auto" w:fill="FFFFFF"/>
            <w:vAlign w:val="bottom"/>
          </w:tcPr>
          <w:p w14:paraId="6498EF6A" w14:textId="77777777" w:rsidR="006A0670" w:rsidRPr="00F8465B" w:rsidRDefault="006A0670" w:rsidP="006A0670">
            <w:pPr>
              <w:keepLines w:val="0"/>
              <w:widowControl/>
              <w:jc w:val="left"/>
              <w:rPr>
                <w:rFonts w:ascii="Cambria" w:hAnsi="Cambria"/>
                <w:b/>
                <w:bCs/>
                <w:sz w:val="18"/>
                <w:szCs w:val="18"/>
                <w:lang w:val="es-ES"/>
              </w:rPr>
            </w:pPr>
            <w:r>
              <w:rPr>
                <w:rFonts w:ascii="Cambria" w:hAnsi="Cambria"/>
                <w:b/>
                <w:bCs/>
                <w:sz w:val="18"/>
                <w:szCs w:val="18"/>
                <w:lang w:val="es-ES"/>
              </w:rPr>
              <w:t>Otras p</w:t>
            </w:r>
            <w:r w:rsidRPr="00F8465B">
              <w:rPr>
                <w:rFonts w:ascii="Cambria" w:hAnsi="Cambria"/>
                <w:b/>
                <w:bCs/>
                <w:sz w:val="18"/>
                <w:szCs w:val="18"/>
                <w:lang w:val="es-ES"/>
              </w:rPr>
              <w:t>rovisiones a largo plazo</w:t>
            </w:r>
          </w:p>
        </w:tc>
        <w:tc>
          <w:tcPr>
            <w:tcW w:w="625" w:type="pct"/>
            <w:tcBorders>
              <w:bottom w:val="single" w:sz="4" w:space="0" w:color="auto"/>
            </w:tcBorders>
            <w:shd w:val="clear" w:color="auto" w:fill="FFFFFF"/>
            <w:vAlign w:val="bottom"/>
          </w:tcPr>
          <w:p w14:paraId="40810F32" w14:textId="32F588B1" w:rsidR="006A0670" w:rsidRDefault="006A0670" w:rsidP="006A0670">
            <w:pPr>
              <w:keepLines w:val="0"/>
              <w:widowControl/>
              <w:jc w:val="center"/>
              <w:rPr>
                <w:rFonts w:ascii="Cambria" w:hAnsi="Cambria"/>
                <w:b/>
                <w:bCs/>
                <w:sz w:val="18"/>
                <w:szCs w:val="18"/>
                <w:lang w:val="es-ES"/>
              </w:rPr>
            </w:pPr>
            <w:r>
              <w:rPr>
                <w:rFonts w:ascii="Cambria" w:hAnsi="Cambria"/>
                <w:b/>
                <w:bCs/>
                <w:sz w:val="18"/>
                <w:szCs w:val="18"/>
                <w:lang w:val="es-ES"/>
              </w:rPr>
              <w:t>Saldo al 31.12.19</w:t>
            </w:r>
          </w:p>
        </w:tc>
        <w:tc>
          <w:tcPr>
            <w:tcW w:w="714" w:type="pct"/>
            <w:tcBorders>
              <w:bottom w:val="single" w:sz="4" w:space="0" w:color="auto"/>
            </w:tcBorders>
            <w:shd w:val="clear" w:color="auto" w:fill="FFFFFF"/>
            <w:vAlign w:val="bottom"/>
          </w:tcPr>
          <w:p w14:paraId="6FF3043D" w14:textId="77777777" w:rsidR="006A0670" w:rsidRPr="00F8465B" w:rsidRDefault="006A0670" w:rsidP="006A0670">
            <w:pPr>
              <w:keepLines w:val="0"/>
              <w:widowControl/>
              <w:jc w:val="center"/>
              <w:rPr>
                <w:rFonts w:ascii="Cambria" w:hAnsi="Cambria"/>
                <w:b/>
                <w:bCs/>
                <w:sz w:val="18"/>
                <w:szCs w:val="18"/>
                <w:lang w:val="es-ES"/>
              </w:rPr>
            </w:pPr>
            <w:r w:rsidRPr="00F8465B">
              <w:rPr>
                <w:rFonts w:ascii="Cambria" w:hAnsi="Cambria"/>
                <w:b/>
                <w:bCs/>
                <w:sz w:val="18"/>
                <w:szCs w:val="18"/>
                <w:lang w:val="es-ES"/>
              </w:rPr>
              <w:t xml:space="preserve">Dotaciones </w:t>
            </w:r>
          </w:p>
        </w:tc>
        <w:tc>
          <w:tcPr>
            <w:tcW w:w="536" w:type="pct"/>
            <w:tcBorders>
              <w:bottom w:val="single" w:sz="4" w:space="0" w:color="auto"/>
            </w:tcBorders>
            <w:shd w:val="clear" w:color="auto" w:fill="FFFFFF"/>
            <w:vAlign w:val="bottom"/>
          </w:tcPr>
          <w:p w14:paraId="58F69B82" w14:textId="77777777" w:rsidR="006A0670" w:rsidRPr="00F8465B" w:rsidRDefault="006A0670" w:rsidP="006A0670">
            <w:pPr>
              <w:keepLines w:val="0"/>
              <w:widowControl/>
              <w:jc w:val="center"/>
              <w:rPr>
                <w:rFonts w:ascii="Cambria" w:hAnsi="Cambria"/>
                <w:b/>
                <w:bCs/>
                <w:sz w:val="18"/>
                <w:szCs w:val="18"/>
                <w:lang w:val="es-ES"/>
              </w:rPr>
            </w:pPr>
            <w:r w:rsidRPr="00F8465B">
              <w:rPr>
                <w:rFonts w:ascii="Cambria" w:hAnsi="Cambria"/>
                <w:b/>
                <w:bCs/>
                <w:sz w:val="18"/>
                <w:szCs w:val="18"/>
                <w:lang w:val="es-ES"/>
              </w:rPr>
              <w:t>Excesos</w:t>
            </w:r>
          </w:p>
        </w:tc>
        <w:tc>
          <w:tcPr>
            <w:tcW w:w="804" w:type="pct"/>
            <w:tcBorders>
              <w:bottom w:val="single" w:sz="4" w:space="0" w:color="auto"/>
            </w:tcBorders>
            <w:shd w:val="clear" w:color="auto" w:fill="FFFFFF"/>
            <w:vAlign w:val="bottom"/>
          </w:tcPr>
          <w:p w14:paraId="07B8B41B" w14:textId="77777777" w:rsidR="006A0670" w:rsidRPr="00F8465B" w:rsidRDefault="006A0670" w:rsidP="006A0670">
            <w:pPr>
              <w:keepLines w:val="0"/>
              <w:widowControl/>
              <w:jc w:val="center"/>
              <w:rPr>
                <w:rFonts w:ascii="Cambria" w:hAnsi="Cambria"/>
                <w:b/>
                <w:bCs/>
                <w:sz w:val="18"/>
                <w:szCs w:val="18"/>
                <w:lang w:val="es-ES"/>
              </w:rPr>
            </w:pPr>
            <w:r w:rsidRPr="00F8465B">
              <w:rPr>
                <w:rFonts w:ascii="Cambria" w:hAnsi="Cambria"/>
                <w:b/>
                <w:bCs/>
                <w:sz w:val="18"/>
                <w:szCs w:val="18"/>
                <w:lang w:val="es-ES"/>
              </w:rPr>
              <w:t>Aplicaciones</w:t>
            </w:r>
          </w:p>
        </w:tc>
        <w:tc>
          <w:tcPr>
            <w:tcW w:w="799" w:type="pct"/>
            <w:tcBorders>
              <w:bottom w:val="single" w:sz="4" w:space="0" w:color="auto"/>
            </w:tcBorders>
            <w:shd w:val="clear" w:color="auto" w:fill="FFFFFF" w:themeFill="background1"/>
            <w:vAlign w:val="bottom"/>
          </w:tcPr>
          <w:p w14:paraId="23796FD3" w14:textId="6820E6C0" w:rsidR="006A0670" w:rsidRPr="00F8465B" w:rsidRDefault="006A0670" w:rsidP="006A0670">
            <w:pPr>
              <w:keepLines w:val="0"/>
              <w:widowControl/>
              <w:jc w:val="center"/>
              <w:rPr>
                <w:rFonts w:ascii="Cambria" w:hAnsi="Cambria"/>
                <w:b/>
                <w:bCs/>
                <w:sz w:val="18"/>
                <w:szCs w:val="18"/>
                <w:lang w:val="es-ES"/>
              </w:rPr>
            </w:pPr>
            <w:r>
              <w:rPr>
                <w:rFonts w:ascii="Cambria" w:hAnsi="Cambria"/>
                <w:b/>
                <w:bCs/>
                <w:sz w:val="18"/>
                <w:szCs w:val="18"/>
                <w:lang w:val="es-ES"/>
              </w:rPr>
              <w:t>Saldo al 31.12.20</w:t>
            </w:r>
          </w:p>
        </w:tc>
      </w:tr>
      <w:tr w:rsidR="006A0670" w:rsidRPr="00F8465B" w14:paraId="254DE1DB" w14:textId="77777777" w:rsidTr="006A0670">
        <w:trPr>
          <w:trHeight w:val="270"/>
          <w:jc w:val="center"/>
        </w:trPr>
        <w:tc>
          <w:tcPr>
            <w:tcW w:w="1522" w:type="pct"/>
            <w:tcBorders>
              <w:bottom w:val="nil"/>
            </w:tcBorders>
            <w:shd w:val="clear" w:color="auto" w:fill="FFFFFF"/>
            <w:noWrap/>
            <w:vAlign w:val="bottom"/>
          </w:tcPr>
          <w:p w14:paraId="6529208A" w14:textId="77777777" w:rsidR="006A0670" w:rsidRPr="00F8465B" w:rsidRDefault="006A0670" w:rsidP="006A0670">
            <w:pPr>
              <w:keepLines w:val="0"/>
              <w:widowControl/>
              <w:jc w:val="left"/>
              <w:rPr>
                <w:rFonts w:ascii="Cambria" w:hAnsi="Cambria"/>
                <w:bCs/>
                <w:sz w:val="18"/>
                <w:szCs w:val="18"/>
                <w:lang w:val="es-ES"/>
              </w:rPr>
            </w:pPr>
            <w:r w:rsidRPr="00F8465B">
              <w:rPr>
                <w:rFonts w:ascii="Cambria" w:hAnsi="Cambria"/>
                <w:bCs/>
                <w:sz w:val="18"/>
                <w:szCs w:val="18"/>
                <w:lang w:val="es-ES"/>
              </w:rPr>
              <w:t>Litigios</w:t>
            </w:r>
          </w:p>
        </w:tc>
        <w:tc>
          <w:tcPr>
            <w:tcW w:w="625" w:type="pct"/>
            <w:tcBorders>
              <w:bottom w:val="nil"/>
            </w:tcBorders>
            <w:shd w:val="clear" w:color="auto" w:fill="FFFFFF"/>
            <w:vAlign w:val="center"/>
          </w:tcPr>
          <w:p w14:paraId="1361C8A0" w14:textId="1089B197" w:rsidR="006A0670" w:rsidRDefault="006A0670" w:rsidP="006A0670">
            <w:pPr>
              <w:keepLines w:val="0"/>
              <w:widowControl/>
              <w:jc w:val="right"/>
              <w:rPr>
                <w:rFonts w:ascii="Cambria" w:hAnsi="Cambria" w:cs="Arial"/>
                <w:sz w:val="18"/>
                <w:szCs w:val="18"/>
              </w:rPr>
            </w:pPr>
            <w:r>
              <w:rPr>
                <w:rFonts w:ascii="Cambria" w:hAnsi="Cambria" w:cs="Arial"/>
                <w:sz w:val="18"/>
                <w:szCs w:val="18"/>
              </w:rPr>
              <w:t>5.833</w:t>
            </w:r>
          </w:p>
        </w:tc>
        <w:tc>
          <w:tcPr>
            <w:tcW w:w="714" w:type="pct"/>
            <w:tcBorders>
              <w:bottom w:val="nil"/>
            </w:tcBorders>
            <w:shd w:val="clear" w:color="auto" w:fill="FFFFFF"/>
            <w:noWrap/>
            <w:vAlign w:val="center"/>
          </w:tcPr>
          <w:p w14:paraId="1E567EF6" w14:textId="74EB7D3B" w:rsidR="006A0670" w:rsidRDefault="00272894" w:rsidP="006A0670">
            <w:pPr>
              <w:jc w:val="right"/>
              <w:rPr>
                <w:rFonts w:ascii="Cambria" w:hAnsi="Cambria" w:cs="Arial"/>
                <w:sz w:val="18"/>
                <w:szCs w:val="18"/>
              </w:rPr>
            </w:pPr>
            <w:r>
              <w:rPr>
                <w:rFonts w:ascii="Cambria" w:hAnsi="Cambria" w:cs="Arial"/>
                <w:sz w:val="18"/>
                <w:szCs w:val="18"/>
              </w:rPr>
              <w:t>1.624</w:t>
            </w:r>
          </w:p>
        </w:tc>
        <w:tc>
          <w:tcPr>
            <w:tcW w:w="536" w:type="pct"/>
            <w:tcBorders>
              <w:bottom w:val="nil"/>
            </w:tcBorders>
            <w:shd w:val="clear" w:color="auto" w:fill="FFFFFF"/>
            <w:noWrap/>
            <w:vAlign w:val="center"/>
          </w:tcPr>
          <w:p w14:paraId="77516F6B" w14:textId="114C16D0" w:rsidR="006A0670" w:rsidRDefault="00272894" w:rsidP="006A0670">
            <w:pPr>
              <w:jc w:val="right"/>
              <w:rPr>
                <w:rFonts w:ascii="Cambria" w:hAnsi="Cambria" w:cs="Arial"/>
                <w:sz w:val="18"/>
                <w:szCs w:val="18"/>
              </w:rPr>
            </w:pPr>
            <w:r>
              <w:rPr>
                <w:rFonts w:ascii="Cambria" w:hAnsi="Cambria" w:cs="Arial"/>
                <w:sz w:val="18"/>
                <w:szCs w:val="18"/>
              </w:rPr>
              <w:t>(2.517)</w:t>
            </w:r>
          </w:p>
        </w:tc>
        <w:tc>
          <w:tcPr>
            <w:tcW w:w="804" w:type="pct"/>
            <w:tcBorders>
              <w:bottom w:val="nil"/>
            </w:tcBorders>
            <w:shd w:val="clear" w:color="auto" w:fill="FFFFFF"/>
            <w:noWrap/>
            <w:vAlign w:val="center"/>
          </w:tcPr>
          <w:p w14:paraId="0A2C43BA" w14:textId="00869108" w:rsidR="006A0670" w:rsidRDefault="00272894" w:rsidP="006A0670">
            <w:pPr>
              <w:jc w:val="right"/>
              <w:rPr>
                <w:rFonts w:ascii="Cambria" w:hAnsi="Cambria" w:cs="Arial"/>
                <w:sz w:val="18"/>
                <w:szCs w:val="18"/>
              </w:rPr>
            </w:pPr>
            <w:r>
              <w:rPr>
                <w:rFonts w:ascii="Cambria" w:hAnsi="Cambria" w:cs="Arial"/>
                <w:sz w:val="18"/>
                <w:szCs w:val="18"/>
              </w:rPr>
              <w:t>(974)</w:t>
            </w:r>
          </w:p>
        </w:tc>
        <w:tc>
          <w:tcPr>
            <w:tcW w:w="799" w:type="pct"/>
            <w:tcBorders>
              <w:bottom w:val="nil"/>
            </w:tcBorders>
            <w:shd w:val="clear" w:color="auto" w:fill="FFFFFF" w:themeFill="background1"/>
            <w:noWrap/>
            <w:vAlign w:val="center"/>
          </w:tcPr>
          <w:p w14:paraId="24713012" w14:textId="551A8A5B" w:rsidR="006A0670" w:rsidRDefault="00272894" w:rsidP="006A0670">
            <w:pPr>
              <w:jc w:val="right"/>
              <w:rPr>
                <w:rFonts w:ascii="Cambria" w:hAnsi="Cambria" w:cs="Arial"/>
                <w:sz w:val="18"/>
                <w:szCs w:val="18"/>
              </w:rPr>
            </w:pPr>
            <w:r>
              <w:rPr>
                <w:rFonts w:ascii="Cambria" w:hAnsi="Cambria" w:cs="Arial"/>
                <w:sz w:val="18"/>
                <w:szCs w:val="18"/>
              </w:rPr>
              <w:t>3.966</w:t>
            </w:r>
          </w:p>
        </w:tc>
      </w:tr>
      <w:tr w:rsidR="006A0670" w:rsidRPr="00F8465B" w14:paraId="0097E134" w14:textId="77777777" w:rsidTr="006A0670">
        <w:trPr>
          <w:trHeight w:val="270"/>
          <w:jc w:val="center"/>
        </w:trPr>
        <w:tc>
          <w:tcPr>
            <w:tcW w:w="1522" w:type="pct"/>
            <w:tcBorders>
              <w:top w:val="nil"/>
              <w:bottom w:val="nil"/>
            </w:tcBorders>
            <w:shd w:val="clear" w:color="auto" w:fill="FFFFFF"/>
            <w:noWrap/>
            <w:vAlign w:val="bottom"/>
          </w:tcPr>
          <w:p w14:paraId="37DE54B1" w14:textId="77777777" w:rsidR="006A0670" w:rsidRPr="00F8465B" w:rsidRDefault="006A0670" w:rsidP="006A0670">
            <w:pPr>
              <w:keepLines w:val="0"/>
              <w:widowControl/>
              <w:jc w:val="left"/>
              <w:rPr>
                <w:rFonts w:ascii="Cambria" w:hAnsi="Cambria"/>
                <w:bCs/>
                <w:sz w:val="18"/>
                <w:szCs w:val="18"/>
                <w:lang w:val="es-ES"/>
              </w:rPr>
            </w:pPr>
            <w:r w:rsidRPr="00F8465B">
              <w:rPr>
                <w:rFonts w:ascii="Cambria" w:hAnsi="Cambria"/>
                <w:bCs/>
                <w:sz w:val="18"/>
                <w:szCs w:val="18"/>
                <w:lang w:val="es-ES"/>
              </w:rPr>
              <w:t>Otras responsabilidades</w:t>
            </w:r>
          </w:p>
        </w:tc>
        <w:tc>
          <w:tcPr>
            <w:tcW w:w="625" w:type="pct"/>
            <w:tcBorders>
              <w:top w:val="nil"/>
              <w:bottom w:val="nil"/>
            </w:tcBorders>
            <w:shd w:val="clear" w:color="auto" w:fill="FFFFFF"/>
            <w:vAlign w:val="center"/>
          </w:tcPr>
          <w:p w14:paraId="0D025F0C" w14:textId="0D6EA5AE" w:rsidR="006A0670" w:rsidRDefault="006A0670" w:rsidP="006A0670">
            <w:pPr>
              <w:jc w:val="right"/>
              <w:rPr>
                <w:rFonts w:ascii="Cambria" w:hAnsi="Cambria" w:cs="Arial"/>
                <w:sz w:val="18"/>
                <w:szCs w:val="18"/>
              </w:rPr>
            </w:pPr>
            <w:r>
              <w:rPr>
                <w:rFonts w:ascii="Cambria" w:hAnsi="Cambria" w:cs="Arial"/>
                <w:sz w:val="18"/>
                <w:szCs w:val="18"/>
              </w:rPr>
              <w:t>3.487</w:t>
            </w:r>
          </w:p>
        </w:tc>
        <w:tc>
          <w:tcPr>
            <w:tcW w:w="714" w:type="pct"/>
            <w:tcBorders>
              <w:top w:val="nil"/>
              <w:bottom w:val="nil"/>
            </w:tcBorders>
            <w:shd w:val="clear" w:color="auto" w:fill="FFFFFF"/>
            <w:noWrap/>
            <w:vAlign w:val="center"/>
          </w:tcPr>
          <w:p w14:paraId="7E4B09B6" w14:textId="40EF3EDE" w:rsidR="006A0670" w:rsidRDefault="002D2C59" w:rsidP="006A0670">
            <w:pPr>
              <w:jc w:val="center"/>
              <w:rPr>
                <w:rFonts w:ascii="Cambria" w:hAnsi="Cambria" w:cs="Arial"/>
                <w:sz w:val="18"/>
                <w:szCs w:val="18"/>
              </w:rPr>
            </w:pPr>
            <w:r>
              <w:rPr>
                <w:rFonts w:ascii="Cambria" w:hAnsi="Cambria" w:cs="Arial"/>
                <w:sz w:val="18"/>
                <w:szCs w:val="18"/>
              </w:rPr>
              <w:t>-</w:t>
            </w:r>
          </w:p>
        </w:tc>
        <w:tc>
          <w:tcPr>
            <w:tcW w:w="536" w:type="pct"/>
            <w:tcBorders>
              <w:top w:val="nil"/>
              <w:bottom w:val="nil"/>
            </w:tcBorders>
            <w:shd w:val="clear" w:color="auto" w:fill="FFFFFF"/>
            <w:noWrap/>
            <w:vAlign w:val="center"/>
          </w:tcPr>
          <w:p w14:paraId="1FC09044" w14:textId="354BA995" w:rsidR="006A0670" w:rsidRDefault="002D2C59" w:rsidP="006A0670">
            <w:pPr>
              <w:jc w:val="center"/>
              <w:rPr>
                <w:rFonts w:ascii="Cambria" w:hAnsi="Cambria" w:cs="Arial"/>
                <w:sz w:val="18"/>
                <w:szCs w:val="18"/>
              </w:rPr>
            </w:pPr>
            <w:r>
              <w:rPr>
                <w:rFonts w:ascii="Cambria" w:hAnsi="Cambria" w:cs="Arial"/>
                <w:sz w:val="18"/>
                <w:szCs w:val="18"/>
              </w:rPr>
              <w:t>-</w:t>
            </w:r>
          </w:p>
        </w:tc>
        <w:tc>
          <w:tcPr>
            <w:tcW w:w="804" w:type="pct"/>
            <w:tcBorders>
              <w:top w:val="nil"/>
              <w:bottom w:val="nil"/>
            </w:tcBorders>
            <w:shd w:val="clear" w:color="auto" w:fill="FFFFFF"/>
            <w:noWrap/>
            <w:vAlign w:val="center"/>
          </w:tcPr>
          <w:p w14:paraId="396B5200" w14:textId="32B5984A" w:rsidR="006A0670" w:rsidRDefault="002D2C59" w:rsidP="006A0670">
            <w:pPr>
              <w:jc w:val="center"/>
              <w:rPr>
                <w:rFonts w:ascii="Cambria" w:hAnsi="Cambria" w:cs="Arial"/>
                <w:sz w:val="18"/>
                <w:szCs w:val="18"/>
              </w:rPr>
            </w:pPr>
            <w:r>
              <w:rPr>
                <w:rFonts w:ascii="Cambria" w:hAnsi="Cambria" w:cs="Arial"/>
                <w:sz w:val="18"/>
                <w:szCs w:val="18"/>
              </w:rPr>
              <w:t>-</w:t>
            </w:r>
          </w:p>
        </w:tc>
        <w:tc>
          <w:tcPr>
            <w:tcW w:w="799" w:type="pct"/>
            <w:tcBorders>
              <w:top w:val="nil"/>
              <w:bottom w:val="nil"/>
            </w:tcBorders>
            <w:shd w:val="clear" w:color="auto" w:fill="FFFFFF" w:themeFill="background1"/>
            <w:noWrap/>
            <w:vAlign w:val="center"/>
          </w:tcPr>
          <w:p w14:paraId="56511B79" w14:textId="6FDE5EFF" w:rsidR="006A0670" w:rsidRDefault="002D2C59" w:rsidP="006A0670">
            <w:pPr>
              <w:jc w:val="right"/>
              <w:rPr>
                <w:rFonts w:ascii="Cambria" w:hAnsi="Cambria" w:cs="Arial"/>
                <w:sz w:val="18"/>
                <w:szCs w:val="18"/>
              </w:rPr>
            </w:pPr>
            <w:r>
              <w:rPr>
                <w:rFonts w:ascii="Cambria" w:hAnsi="Cambria" w:cs="Arial"/>
                <w:sz w:val="18"/>
                <w:szCs w:val="18"/>
              </w:rPr>
              <w:t>3.487</w:t>
            </w:r>
          </w:p>
        </w:tc>
      </w:tr>
      <w:tr w:rsidR="006A0670" w:rsidRPr="00F8465B" w14:paraId="5279E0E7" w14:textId="77777777" w:rsidTr="006A0670">
        <w:trPr>
          <w:trHeight w:val="270"/>
          <w:jc w:val="center"/>
        </w:trPr>
        <w:tc>
          <w:tcPr>
            <w:tcW w:w="1522" w:type="pct"/>
            <w:shd w:val="clear" w:color="auto" w:fill="FFFFFF"/>
            <w:noWrap/>
            <w:vAlign w:val="bottom"/>
          </w:tcPr>
          <w:p w14:paraId="5DA73F1C" w14:textId="77777777" w:rsidR="006A0670" w:rsidRPr="00F8465B" w:rsidRDefault="006A0670" w:rsidP="006A0670">
            <w:pPr>
              <w:keepLines w:val="0"/>
              <w:widowControl/>
              <w:jc w:val="left"/>
              <w:rPr>
                <w:rFonts w:ascii="Cambria" w:hAnsi="Cambria"/>
                <w:b/>
                <w:bCs/>
                <w:sz w:val="18"/>
                <w:szCs w:val="18"/>
                <w:lang w:val="es-ES"/>
              </w:rPr>
            </w:pPr>
            <w:r w:rsidRPr="00F8465B">
              <w:rPr>
                <w:rFonts w:ascii="Cambria" w:hAnsi="Cambria"/>
                <w:b/>
                <w:bCs/>
                <w:sz w:val="18"/>
                <w:szCs w:val="18"/>
                <w:lang w:val="es-ES"/>
              </w:rPr>
              <w:t>Total a largo plazo</w:t>
            </w:r>
          </w:p>
        </w:tc>
        <w:tc>
          <w:tcPr>
            <w:tcW w:w="625" w:type="pct"/>
            <w:shd w:val="clear" w:color="auto" w:fill="FFFFFF"/>
            <w:vAlign w:val="center"/>
          </w:tcPr>
          <w:p w14:paraId="6EF715A7" w14:textId="68D6C40C" w:rsidR="006A0670" w:rsidRDefault="006A0670" w:rsidP="006A0670">
            <w:pPr>
              <w:jc w:val="right"/>
              <w:rPr>
                <w:rFonts w:ascii="Cambria" w:hAnsi="Cambria" w:cs="Arial"/>
                <w:b/>
                <w:bCs/>
                <w:sz w:val="18"/>
                <w:szCs w:val="18"/>
              </w:rPr>
            </w:pPr>
            <w:r>
              <w:rPr>
                <w:rFonts w:ascii="Cambria" w:hAnsi="Cambria" w:cs="Arial"/>
                <w:b/>
                <w:bCs/>
                <w:sz w:val="18"/>
                <w:szCs w:val="18"/>
              </w:rPr>
              <w:t>9.320</w:t>
            </w:r>
          </w:p>
        </w:tc>
        <w:tc>
          <w:tcPr>
            <w:tcW w:w="714" w:type="pct"/>
            <w:shd w:val="clear" w:color="auto" w:fill="FFFFFF"/>
            <w:noWrap/>
            <w:vAlign w:val="center"/>
          </w:tcPr>
          <w:p w14:paraId="7FD949AC" w14:textId="0F59A2E8" w:rsidR="006A0670" w:rsidRDefault="00272894" w:rsidP="006A0670">
            <w:pPr>
              <w:jc w:val="right"/>
              <w:rPr>
                <w:rFonts w:ascii="Cambria" w:hAnsi="Cambria" w:cs="Arial"/>
                <w:b/>
                <w:bCs/>
                <w:sz w:val="18"/>
                <w:szCs w:val="18"/>
              </w:rPr>
            </w:pPr>
            <w:r>
              <w:rPr>
                <w:rFonts w:ascii="Cambria" w:hAnsi="Cambria" w:cs="Arial"/>
                <w:b/>
                <w:bCs/>
                <w:sz w:val="18"/>
                <w:szCs w:val="18"/>
              </w:rPr>
              <w:t>1.624</w:t>
            </w:r>
          </w:p>
        </w:tc>
        <w:tc>
          <w:tcPr>
            <w:tcW w:w="536" w:type="pct"/>
            <w:shd w:val="clear" w:color="auto" w:fill="FFFFFF"/>
            <w:noWrap/>
            <w:vAlign w:val="center"/>
          </w:tcPr>
          <w:p w14:paraId="4DEC4AC9" w14:textId="544A49A9" w:rsidR="006A0670" w:rsidRDefault="00272894" w:rsidP="006A0670">
            <w:pPr>
              <w:jc w:val="right"/>
              <w:rPr>
                <w:rFonts w:ascii="Cambria" w:hAnsi="Cambria" w:cs="Arial"/>
                <w:b/>
                <w:bCs/>
                <w:sz w:val="18"/>
                <w:szCs w:val="18"/>
              </w:rPr>
            </w:pPr>
            <w:r>
              <w:rPr>
                <w:rFonts w:ascii="Cambria" w:hAnsi="Cambria" w:cs="Arial"/>
                <w:b/>
                <w:bCs/>
                <w:sz w:val="18"/>
                <w:szCs w:val="18"/>
              </w:rPr>
              <w:t>(2.517)</w:t>
            </w:r>
          </w:p>
        </w:tc>
        <w:tc>
          <w:tcPr>
            <w:tcW w:w="804" w:type="pct"/>
            <w:shd w:val="clear" w:color="auto" w:fill="FFFFFF"/>
            <w:noWrap/>
            <w:vAlign w:val="center"/>
          </w:tcPr>
          <w:p w14:paraId="7CFDF23C" w14:textId="1380744F" w:rsidR="006A0670" w:rsidRDefault="00272894" w:rsidP="006A0670">
            <w:pPr>
              <w:jc w:val="right"/>
              <w:rPr>
                <w:rFonts w:ascii="Cambria" w:hAnsi="Cambria" w:cs="Arial"/>
                <w:b/>
                <w:bCs/>
                <w:sz w:val="18"/>
                <w:szCs w:val="18"/>
              </w:rPr>
            </w:pPr>
            <w:r>
              <w:rPr>
                <w:rFonts w:ascii="Cambria" w:hAnsi="Cambria" w:cs="Arial"/>
                <w:b/>
                <w:bCs/>
                <w:sz w:val="18"/>
                <w:szCs w:val="18"/>
              </w:rPr>
              <w:t>(974)</w:t>
            </w:r>
          </w:p>
        </w:tc>
        <w:tc>
          <w:tcPr>
            <w:tcW w:w="799" w:type="pct"/>
            <w:shd w:val="clear" w:color="auto" w:fill="FFFFFF" w:themeFill="background1"/>
            <w:noWrap/>
            <w:vAlign w:val="center"/>
          </w:tcPr>
          <w:p w14:paraId="5FAEDDA5" w14:textId="2A2CFD79" w:rsidR="006A0670" w:rsidRDefault="00272894" w:rsidP="006A0670">
            <w:pPr>
              <w:jc w:val="right"/>
              <w:rPr>
                <w:rFonts w:ascii="Cambria" w:hAnsi="Cambria" w:cs="Arial"/>
                <w:b/>
                <w:bCs/>
                <w:sz w:val="18"/>
                <w:szCs w:val="18"/>
              </w:rPr>
            </w:pPr>
            <w:r>
              <w:rPr>
                <w:rFonts w:ascii="Cambria" w:hAnsi="Cambria" w:cs="Arial"/>
                <w:b/>
                <w:bCs/>
                <w:sz w:val="18"/>
                <w:szCs w:val="18"/>
              </w:rPr>
              <w:t>7.453</w:t>
            </w:r>
          </w:p>
        </w:tc>
      </w:tr>
    </w:tbl>
    <w:p w14:paraId="28B5CF38" w14:textId="77777777" w:rsidR="004223C8" w:rsidRPr="00F8465B" w:rsidRDefault="004223C8" w:rsidP="004223C8">
      <w:pPr>
        <w:pStyle w:val="Lista"/>
        <w:rPr>
          <w:rFonts w:ascii="Cambria" w:hAnsi="Cambria"/>
          <w:szCs w:val="22"/>
        </w:rPr>
      </w:pPr>
    </w:p>
    <w:tbl>
      <w:tblPr>
        <w:tblW w:w="7933" w:type="dxa"/>
        <w:jc w:val="center"/>
        <w:tblLayout w:type="fixed"/>
        <w:tblCellMar>
          <w:left w:w="70" w:type="dxa"/>
          <w:right w:w="70" w:type="dxa"/>
        </w:tblCellMar>
        <w:tblLook w:val="0000" w:firstRow="0" w:lastRow="0" w:firstColumn="0" w:lastColumn="0" w:noHBand="0" w:noVBand="0"/>
      </w:tblPr>
      <w:tblGrid>
        <w:gridCol w:w="2303"/>
        <w:gridCol w:w="992"/>
        <w:gridCol w:w="1134"/>
        <w:gridCol w:w="1095"/>
        <w:gridCol w:w="1275"/>
        <w:gridCol w:w="1134"/>
      </w:tblGrid>
      <w:tr w:rsidR="006A0670" w:rsidRPr="00F8465B" w14:paraId="5474BD16" w14:textId="77777777" w:rsidTr="006A0670">
        <w:trPr>
          <w:trHeight w:val="735"/>
          <w:jc w:val="center"/>
        </w:trPr>
        <w:tc>
          <w:tcPr>
            <w:tcW w:w="2303" w:type="dxa"/>
            <w:tcBorders>
              <w:top w:val="single" w:sz="4" w:space="0" w:color="auto"/>
              <w:left w:val="single" w:sz="4" w:space="0" w:color="auto"/>
              <w:bottom w:val="single" w:sz="4" w:space="0" w:color="auto"/>
              <w:right w:val="single" w:sz="4" w:space="0" w:color="auto"/>
            </w:tcBorders>
            <w:shd w:val="clear" w:color="auto" w:fill="FFFFFF"/>
            <w:vAlign w:val="bottom"/>
          </w:tcPr>
          <w:p w14:paraId="61DB4DE4" w14:textId="77777777" w:rsidR="006A0670" w:rsidRPr="00F8465B" w:rsidRDefault="006A0670" w:rsidP="006A0670">
            <w:pPr>
              <w:keepLines w:val="0"/>
              <w:widowControl/>
              <w:jc w:val="left"/>
              <w:rPr>
                <w:rFonts w:ascii="Cambria" w:hAnsi="Cambria"/>
                <w:b/>
                <w:bCs/>
                <w:sz w:val="18"/>
                <w:szCs w:val="18"/>
                <w:lang w:val="es-ES"/>
              </w:rPr>
            </w:pPr>
            <w:r>
              <w:rPr>
                <w:rFonts w:ascii="Cambria" w:hAnsi="Cambria"/>
                <w:b/>
                <w:bCs/>
                <w:sz w:val="18"/>
                <w:szCs w:val="18"/>
                <w:lang w:val="es-ES"/>
              </w:rPr>
              <w:t>Otras p</w:t>
            </w:r>
            <w:r w:rsidRPr="00F8465B">
              <w:rPr>
                <w:rFonts w:ascii="Cambria" w:hAnsi="Cambria"/>
                <w:b/>
                <w:bCs/>
                <w:sz w:val="18"/>
                <w:szCs w:val="18"/>
                <w:lang w:val="es-ES"/>
              </w:rPr>
              <w:t>rovisiones a corto plazo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14:paraId="2373D136" w14:textId="2744F3B7" w:rsidR="006A0670" w:rsidRDefault="006A0670" w:rsidP="006A0670">
            <w:pPr>
              <w:keepLines w:val="0"/>
              <w:widowControl/>
              <w:jc w:val="center"/>
              <w:rPr>
                <w:rFonts w:ascii="Cambria" w:hAnsi="Cambria"/>
                <w:b/>
                <w:bCs/>
                <w:sz w:val="18"/>
                <w:szCs w:val="18"/>
                <w:lang w:val="es-ES"/>
              </w:rPr>
            </w:pPr>
            <w:r>
              <w:rPr>
                <w:rFonts w:ascii="Cambria" w:hAnsi="Cambria"/>
                <w:b/>
                <w:bCs/>
                <w:sz w:val="18"/>
                <w:szCs w:val="18"/>
                <w:lang w:val="es-ES"/>
              </w:rPr>
              <w:t>Saldo al 31.12.19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27344B47" w14:textId="77777777" w:rsidR="006A0670" w:rsidRPr="00F8465B" w:rsidRDefault="006A0670" w:rsidP="006A0670">
            <w:pPr>
              <w:keepLines w:val="0"/>
              <w:widowControl/>
              <w:jc w:val="center"/>
              <w:rPr>
                <w:rFonts w:ascii="Cambria" w:hAnsi="Cambria"/>
                <w:b/>
                <w:bCs/>
                <w:sz w:val="18"/>
                <w:szCs w:val="18"/>
                <w:lang w:val="es-ES"/>
              </w:rPr>
            </w:pPr>
            <w:r w:rsidRPr="00F8465B">
              <w:rPr>
                <w:rFonts w:ascii="Cambria" w:hAnsi="Cambria"/>
                <w:b/>
                <w:bCs/>
                <w:sz w:val="18"/>
                <w:szCs w:val="18"/>
                <w:lang w:val="es-ES"/>
              </w:rPr>
              <w:t>Dotaciones</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bottom"/>
          </w:tcPr>
          <w:p w14:paraId="4F44B36F" w14:textId="2B5B59DE" w:rsidR="006A0670" w:rsidRPr="00F8465B" w:rsidRDefault="006A0670" w:rsidP="006A0670">
            <w:pPr>
              <w:keepLines w:val="0"/>
              <w:widowControl/>
              <w:jc w:val="center"/>
              <w:rPr>
                <w:rFonts w:ascii="Cambria" w:hAnsi="Cambria"/>
                <w:b/>
                <w:bCs/>
                <w:sz w:val="18"/>
                <w:szCs w:val="18"/>
                <w:lang w:val="es-ES"/>
              </w:rPr>
            </w:pPr>
            <w:r>
              <w:rPr>
                <w:rFonts w:ascii="Cambria" w:hAnsi="Cambria"/>
                <w:b/>
                <w:bCs/>
                <w:sz w:val="18"/>
                <w:szCs w:val="18"/>
                <w:lang w:val="es-ES"/>
              </w:rPr>
              <w:t>Excesos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14:paraId="1C389A05" w14:textId="5147EC65" w:rsidR="006A0670" w:rsidRPr="00F8465B" w:rsidRDefault="006A0670" w:rsidP="006A0670">
            <w:pPr>
              <w:keepLines w:val="0"/>
              <w:widowControl/>
              <w:jc w:val="center"/>
              <w:rPr>
                <w:rFonts w:ascii="Cambria" w:hAnsi="Cambria"/>
                <w:b/>
                <w:bCs/>
                <w:sz w:val="18"/>
                <w:szCs w:val="18"/>
                <w:lang w:val="es-ES"/>
              </w:rPr>
            </w:pPr>
            <w:r w:rsidRPr="00F8465B">
              <w:rPr>
                <w:rFonts w:ascii="Cambria" w:hAnsi="Cambria"/>
                <w:b/>
                <w:bCs/>
                <w:sz w:val="18"/>
                <w:szCs w:val="18"/>
                <w:lang w:val="es-ES"/>
              </w:rPr>
              <w:t>Aplicaciones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456F2895" w14:textId="4B03DB1F" w:rsidR="006A0670" w:rsidRPr="00F8465B" w:rsidRDefault="006A0670" w:rsidP="006A0670">
            <w:pPr>
              <w:keepLines w:val="0"/>
              <w:widowControl/>
              <w:jc w:val="center"/>
              <w:rPr>
                <w:rFonts w:ascii="Cambria" w:hAnsi="Cambria"/>
                <w:b/>
                <w:bCs/>
                <w:sz w:val="18"/>
                <w:szCs w:val="18"/>
                <w:lang w:val="es-ES"/>
              </w:rPr>
            </w:pPr>
            <w:r>
              <w:rPr>
                <w:rFonts w:ascii="Cambria" w:hAnsi="Cambria"/>
                <w:b/>
                <w:bCs/>
                <w:sz w:val="18"/>
                <w:szCs w:val="18"/>
                <w:lang w:val="es-ES"/>
              </w:rPr>
              <w:t>Saldo al 31.12.20</w:t>
            </w:r>
          </w:p>
        </w:tc>
      </w:tr>
      <w:tr w:rsidR="006A0670" w:rsidRPr="00F8465B" w14:paraId="370B8219" w14:textId="77777777" w:rsidTr="006A0670">
        <w:trPr>
          <w:trHeight w:val="245"/>
          <w:jc w:val="center"/>
        </w:trPr>
        <w:tc>
          <w:tcPr>
            <w:tcW w:w="2303" w:type="dxa"/>
            <w:tcBorders>
              <w:left w:val="single" w:sz="4" w:space="0" w:color="auto"/>
              <w:right w:val="single" w:sz="4" w:space="0" w:color="auto"/>
            </w:tcBorders>
            <w:shd w:val="clear" w:color="auto" w:fill="FFFFFF"/>
            <w:noWrap/>
            <w:vAlign w:val="center"/>
          </w:tcPr>
          <w:p w14:paraId="1D86D07B" w14:textId="77777777" w:rsidR="006A0670" w:rsidRDefault="006A0670" w:rsidP="006A0670">
            <w:pPr>
              <w:keepLines w:val="0"/>
              <w:widowControl/>
              <w:jc w:val="left"/>
              <w:rPr>
                <w:rFonts w:ascii="Cambria" w:hAnsi="Cambria" w:cs="Arial"/>
                <w:sz w:val="18"/>
                <w:szCs w:val="18"/>
                <w:lang w:val="es-ES"/>
              </w:rPr>
            </w:pPr>
            <w:r>
              <w:rPr>
                <w:rFonts w:ascii="Cambria" w:hAnsi="Cambria" w:cs="Arial"/>
                <w:sz w:val="18"/>
                <w:szCs w:val="18"/>
              </w:rPr>
              <w:t>Litigios</w:t>
            </w:r>
          </w:p>
        </w:tc>
        <w:tc>
          <w:tcPr>
            <w:tcW w:w="992" w:type="dxa"/>
            <w:tcBorders>
              <w:left w:val="single" w:sz="4" w:space="0" w:color="auto"/>
              <w:right w:val="single" w:sz="4" w:space="0" w:color="auto"/>
            </w:tcBorders>
            <w:shd w:val="clear" w:color="auto" w:fill="FFFFFF"/>
            <w:vAlign w:val="center"/>
          </w:tcPr>
          <w:p w14:paraId="4E863C2F" w14:textId="1B467BF0" w:rsidR="006A0670" w:rsidRPr="001071A7" w:rsidRDefault="006A0670" w:rsidP="006A0670">
            <w:pPr>
              <w:jc w:val="right"/>
              <w:rPr>
                <w:rFonts w:ascii="Cambria" w:hAnsi="Cambria" w:cs="Arial"/>
                <w:sz w:val="18"/>
                <w:szCs w:val="18"/>
              </w:rPr>
            </w:pPr>
            <w:r w:rsidRPr="001071A7">
              <w:rPr>
                <w:rFonts w:ascii="Cambria" w:hAnsi="Cambria" w:cs="Arial"/>
                <w:sz w:val="18"/>
                <w:szCs w:val="18"/>
              </w:rPr>
              <w:t>99.972</w:t>
            </w:r>
          </w:p>
        </w:tc>
        <w:tc>
          <w:tcPr>
            <w:tcW w:w="1134" w:type="dxa"/>
            <w:tcBorders>
              <w:left w:val="single" w:sz="4" w:space="0" w:color="auto"/>
              <w:right w:val="single" w:sz="4" w:space="0" w:color="auto"/>
            </w:tcBorders>
            <w:shd w:val="clear" w:color="auto" w:fill="FFFFFF"/>
            <w:noWrap/>
            <w:vAlign w:val="center"/>
          </w:tcPr>
          <w:p w14:paraId="7F584CB4" w14:textId="29884F48" w:rsidR="006A0670" w:rsidRPr="001071A7" w:rsidRDefault="00423918" w:rsidP="006A0670">
            <w:pPr>
              <w:jc w:val="right"/>
              <w:rPr>
                <w:rFonts w:ascii="Cambria" w:hAnsi="Cambria" w:cs="Arial"/>
                <w:bCs/>
                <w:sz w:val="18"/>
                <w:szCs w:val="18"/>
              </w:rPr>
            </w:pPr>
            <w:r>
              <w:rPr>
                <w:rFonts w:ascii="Cambria" w:hAnsi="Cambria" w:cs="Arial"/>
                <w:bCs/>
                <w:sz w:val="18"/>
                <w:szCs w:val="18"/>
              </w:rPr>
              <w:t>5.9</w:t>
            </w:r>
            <w:r w:rsidR="00D030FD">
              <w:rPr>
                <w:rFonts w:ascii="Cambria" w:hAnsi="Cambria" w:cs="Arial"/>
                <w:bCs/>
                <w:sz w:val="18"/>
                <w:szCs w:val="18"/>
              </w:rPr>
              <w:t>68</w:t>
            </w:r>
          </w:p>
        </w:tc>
        <w:tc>
          <w:tcPr>
            <w:tcW w:w="1095" w:type="dxa"/>
            <w:tcBorders>
              <w:left w:val="single" w:sz="4" w:space="0" w:color="auto"/>
              <w:right w:val="single" w:sz="4" w:space="0" w:color="auto"/>
            </w:tcBorders>
            <w:shd w:val="clear" w:color="auto" w:fill="FFFFFF"/>
          </w:tcPr>
          <w:p w14:paraId="59C9B717" w14:textId="14A1CDD7" w:rsidR="006A0670" w:rsidRPr="001071A7" w:rsidRDefault="001071A7" w:rsidP="006A0670">
            <w:pPr>
              <w:jc w:val="right"/>
              <w:rPr>
                <w:rFonts w:ascii="Cambria" w:hAnsi="Cambria" w:cs="Arial"/>
                <w:bCs/>
                <w:sz w:val="18"/>
                <w:szCs w:val="18"/>
              </w:rPr>
            </w:pPr>
            <w:r>
              <w:rPr>
                <w:rFonts w:ascii="Cambria" w:hAnsi="Cambria" w:cs="Arial"/>
                <w:bCs/>
                <w:sz w:val="18"/>
                <w:szCs w:val="18"/>
              </w:rPr>
              <w:t>(</w:t>
            </w:r>
            <w:r w:rsidRPr="001071A7">
              <w:rPr>
                <w:rFonts w:ascii="Cambria" w:hAnsi="Cambria" w:cs="Arial"/>
                <w:bCs/>
                <w:sz w:val="18"/>
                <w:szCs w:val="18"/>
              </w:rPr>
              <w:t>1.096</w:t>
            </w:r>
            <w:r>
              <w:rPr>
                <w:rFonts w:ascii="Cambria" w:hAnsi="Cambria" w:cs="Arial"/>
                <w:bCs/>
                <w:sz w:val="18"/>
                <w:szCs w:val="18"/>
              </w:rPr>
              <w:t>)</w:t>
            </w:r>
          </w:p>
        </w:tc>
        <w:tc>
          <w:tcPr>
            <w:tcW w:w="1275" w:type="dxa"/>
            <w:tcBorders>
              <w:left w:val="single" w:sz="4" w:space="0" w:color="auto"/>
              <w:right w:val="single" w:sz="4" w:space="0" w:color="auto"/>
            </w:tcBorders>
            <w:shd w:val="clear" w:color="auto" w:fill="FFFFFF"/>
            <w:noWrap/>
            <w:vAlign w:val="center"/>
          </w:tcPr>
          <w:p w14:paraId="79839238" w14:textId="2CBEC74E" w:rsidR="006A0670" w:rsidRPr="001071A7" w:rsidRDefault="001071A7" w:rsidP="001071A7">
            <w:pPr>
              <w:jc w:val="right"/>
              <w:rPr>
                <w:rFonts w:ascii="Cambria" w:hAnsi="Cambria" w:cs="Arial"/>
                <w:bCs/>
                <w:sz w:val="18"/>
                <w:szCs w:val="18"/>
              </w:rPr>
            </w:pPr>
            <w:r>
              <w:rPr>
                <w:rFonts w:ascii="Cambria" w:hAnsi="Cambria" w:cs="Arial"/>
                <w:bCs/>
                <w:sz w:val="18"/>
                <w:szCs w:val="18"/>
              </w:rPr>
              <w:t>(</w:t>
            </w:r>
            <w:r w:rsidR="00D030FD">
              <w:rPr>
                <w:rFonts w:ascii="Cambria" w:hAnsi="Cambria" w:cs="Arial"/>
                <w:bCs/>
                <w:sz w:val="18"/>
                <w:szCs w:val="18"/>
              </w:rPr>
              <w:t>958</w:t>
            </w:r>
            <w:r>
              <w:rPr>
                <w:rFonts w:ascii="Cambria" w:hAnsi="Cambria" w:cs="Arial"/>
                <w:bCs/>
                <w:sz w:val="18"/>
                <w:szCs w:val="18"/>
              </w:rPr>
              <w:t>)</w:t>
            </w:r>
          </w:p>
        </w:tc>
        <w:tc>
          <w:tcPr>
            <w:tcW w:w="1134" w:type="dxa"/>
            <w:tcBorders>
              <w:left w:val="single" w:sz="4" w:space="0" w:color="auto"/>
              <w:right w:val="single" w:sz="4" w:space="0" w:color="auto"/>
            </w:tcBorders>
            <w:shd w:val="clear" w:color="auto" w:fill="FFFFFF"/>
            <w:noWrap/>
            <w:vAlign w:val="center"/>
          </w:tcPr>
          <w:p w14:paraId="15A35BF5" w14:textId="2E4A813F" w:rsidR="006A0670" w:rsidRPr="001071A7" w:rsidRDefault="00423918" w:rsidP="006A0670">
            <w:pPr>
              <w:jc w:val="right"/>
              <w:rPr>
                <w:rFonts w:ascii="Cambria" w:hAnsi="Cambria" w:cs="Arial"/>
                <w:sz w:val="18"/>
                <w:szCs w:val="18"/>
              </w:rPr>
            </w:pPr>
            <w:r>
              <w:rPr>
                <w:rFonts w:ascii="Cambria" w:hAnsi="Cambria" w:cs="Arial"/>
                <w:sz w:val="18"/>
                <w:szCs w:val="18"/>
              </w:rPr>
              <w:t>103.</w:t>
            </w:r>
            <w:r w:rsidR="00D030FD">
              <w:rPr>
                <w:rFonts w:ascii="Cambria" w:hAnsi="Cambria" w:cs="Arial"/>
                <w:sz w:val="18"/>
                <w:szCs w:val="18"/>
              </w:rPr>
              <w:t>886</w:t>
            </w:r>
          </w:p>
        </w:tc>
      </w:tr>
      <w:tr w:rsidR="006A0670" w:rsidRPr="00F8465B" w14:paraId="10E8C7A8" w14:textId="77777777" w:rsidTr="006A0670">
        <w:trPr>
          <w:trHeight w:val="245"/>
          <w:jc w:val="center"/>
        </w:trPr>
        <w:tc>
          <w:tcPr>
            <w:tcW w:w="2303" w:type="dxa"/>
            <w:tcBorders>
              <w:left w:val="single" w:sz="4" w:space="0" w:color="auto"/>
              <w:right w:val="single" w:sz="4" w:space="0" w:color="auto"/>
            </w:tcBorders>
            <w:shd w:val="clear" w:color="auto" w:fill="FFFFFF"/>
            <w:noWrap/>
            <w:vAlign w:val="center"/>
          </w:tcPr>
          <w:p w14:paraId="4F8AC67B" w14:textId="77777777" w:rsidR="006A0670" w:rsidRDefault="006A0670" w:rsidP="006A0670">
            <w:pPr>
              <w:jc w:val="left"/>
              <w:rPr>
                <w:rFonts w:ascii="Cambria" w:hAnsi="Cambria" w:cs="Arial"/>
                <w:sz w:val="18"/>
                <w:szCs w:val="18"/>
              </w:rPr>
            </w:pPr>
            <w:r>
              <w:rPr>
                <w:rFonts w:ascii="Cambria" w:hAnsi="Cambria" w:cs="Arial"/>
                <w:bCs/>
                <w:sz w:val="18"/>
                <w:szCs w:val="18"/>
              </w:rPr>
              <w:t xml:space="preserve">Otras responsabilidades </w:t>
            </w:r>
          </w:p>
        </w:tc>
        <w:tc>
          <w:tcPr>
            <w:tcW w:w="992" w:type="dxa"/>
            <w:tcBorders>
              <w:left w:val="single" w:sz="4" w:space="0" w:color="auto"/>
              <w:right w:val="single" w:sz="4" w:space="0" w:color="auto"/>
            </w:tcBorders>
            <w:shd w:val="clear" w:color="auto" w:fill="FFFFFF"/>
            <w:vAlign w:val="center"/>
          </w:tcPr>
          <w:p w14:paraId="69FB9DCD" w14:textId="7A0D7276" w:rsidR="006A0670" w:rsidRPr="001071A7" w:rsidRDefault="006A0670" w:rsidP="006A0670">
            <w:pPr>
              <w:jc w:val="right"/>
              <w:rPr>
                <w:rFonts w:ascii="Cambria" w:hAnsi="Cambria" w:cs="Arial"/>
                <w:sz w:val="18"/>
                <w:szCs w:val="18"/>
              </w:rPr>
            </w:pPr>
            <w:r w:rsidRPr="001071A7">
              <w:rPr>
                <w:rFonts w:ascii="Cambria" w:hAnsi="Cambria" w:cs="Arial"/>
                <w:sz w:val="18"/>
                <w:szCs w:val="18"/>
              </w:rPr>
              <w:t>54</w:t>
            </w:r>
          </w:p>
        </w:tc>
        <w:tc>
          <w:tcPr>
            <w:tcW w:w="1134" w:type="dxa"/>
            <w:tcBorders>
              <w:left w:val="single" w:sz="4" w:space="0" w:color="auto"/>
              <w:right w:val="single" w:sz="4" w:space="0" w:color="auto"/>
            </w:tcBorders>
            <w:shd w:val="clear" w:color="auto" w:fill="FFFFFF"/>
            <w:noWrap/>
            <w:vAlign w:val="center"/>
          </w:tcPr>
          <w:p w14:paraId="3FF7BA52" w14:textId="7BA01C95" w:rsidR="006A0670" w:rsidRPr="001071A7" w:rsidRDefault="002D2C59" w:rsidP="002D2C59">
            <w:pPr>
              <w:jc w:val="center"/>
              <w:rPr>
                <w:rFonts w:ascii="Cambria" w:hAnsi="Cambria" w:cs="Arial"/>
                <w:sz w:val="18"/>
                <w:szCs w:val="18"/>
              </w:rPr>
            </w:pPr>
            <w:r w:rsidRPr="001071A7">
              <w:rPr>
                <w:rFonts w:ascii="Cambria" w:hAnsi="Cambria" w:cs="Arial"/>
                <w:sz w:val="18"/>
                <w:szCs w:val="18"/>
              </w:rPr>
              <w:t>-</w:t>
            </w:r>
          </w:p>
        </w:tc>
        <w:tc>
          <w:tcPr>
            <w:tcW w:w="1095" w:type="dxa"/>
            <w:tcBorders>
              <w:left w:val="single" w:sz="4" w:space="0" w:color="auto"/>
              <w:right w:val="single" w:sz="4" w:space="0" w:color="auto"/>
            </w:tcBorders>
            <w:shd w:val="clear" w:color="auto" w:fill="FFFFFF"/>
          </w:tcPr>
          <w:p w14:paraId="4FF478A3" w14:textId="3B0F9B26" w:rsidR="006A0670" w:rsidRPr="001071A7" w:rsidRDefault="002D2C59" w:rsidP="002D2C59">
            <w:pPr>
              <w:jc w:val="right"/>
              <w:rPr>
                <w:rFonts w:ascii="Cambria" w:hAnsi="Cambria" w:cs="Arial"/>
                <w:sz w:val="18"/>
                <w:szCs w:val="18"/>
              </w:rPr>
            </w:pPr>
            <w:r w:rsidRPr="001071A7">
              <w:rPr>
                <w:rFonts w:ascii="Cambria" w:hAnsi="Cambria" w:cs="Arial"/>
                <w:sz w:val="18"/>
                <w:szCs w:val="18"/>
              </w:rPr>
              <w:t>(1)</w:t>
            </w:r>
          </w:p>
        </w:tc>
        <w:tc>
          <w:tcPr>
            <w:tcW w:w="1275" w:type="dxa"/>
            <w:tcBorders>
              <w:left w:val="single" w:sz="4" w:space="0" w:color="auto"/>
              <w:right w:val="single" w:sz="4" w:space="0" w:color="auto"/>
            </w:tcBorders>
            <w:shd w:val="clear" w:color="auto" w:fill="FFFFFF"/>
            <w:noWrap/>
            <w:vAlign w:val="bottom"/>
          </w:tcPr>
          <w:p w14:paraId="1DB3B88D" w14:textId="1B4D71BB" w:rsidR="006A0670" w:rsidRPr="001071A7" w:rsidRDefault="002D2C59" w:rsidP="006A0670">
            <w:pPr>
              <w:jc w:val="right"/>
              <w:rPr>
                <w:rFonts w:ascii="Cambria" w:hAnsi="Cambria" w:cs="Arial"/>
                <w:sz w:val="18"/>
                <w:szCs w:val="18"/>
              </w:rPr>
            </w:pPr>
            <w:r w:rsidRPr="001071A7">
              <w:rPr>
                <w:rFonts w:ascii="Cambria" w:hAnsi="Cambria" w:cs="Arial"/>
                <w:sz w:val="18"/>
                <w:szCs w:val="18"/>
              </w:rPr>
              <w:t>(24)</w:t>
            </w:r>
          </w:p>
        </w:tc>
        <w:tc>
          <w:tcPr>
            <w:tcW w:w="1134" w:type="dxa"/>
            <w:tcBorders>
              <w:left w:val="single" w:sz="4" w:space="0" w:color="auto"/>
              <w:right w:val="single" w:sz="4" w:space="0" w:color="auto"/>
            </w:tcBorders>
            <w:shd w:val="clear" w:color="auto" w:fill="FFFFFF"/>
            <w:noWrap/>
            <w:vAlign w:val="center"/>
          </w:tcPr>
          <w:p w14:paraId="49DF2705" w14:textId="6EB56608" w:rsidR="006A0670" w:rsidRPr="001071A7" w:rsidRDefault="002D2C59" w:rsidP="006A0670">
            <w:pPr>
              <w:jc w:val="right"/>
              <w:rPr>
                <w:rFonts w:ascii="Cambria" w:hAnsi="Cambria" w:cs="Arial"/>
                <w:sz w:val="18"/>
                <w:szCs w:val="18"/>
              </w:rPr>
            </w:pPr>
            <w:r w:rsidRPr="001071A7">
              <w:rPr>
                <w:rFonts w:ascii="Cambria" w:hAnsi="Cambria" w:cs="Arial"/>
                <w:sz w:val="18"/>
                <w:szCs w:val="18"/>
              </w:rPr>
              <w:t>29</w:t>
            </w:r>
          </w:p>
        </w:tc>
      </w:tr>
      <w:tr w:rsidR="006A0670" w:rsidRPr="00F8465B" w14:paraId="76719600" w14:textId="77777777" w:rsidTr="006A0670">
        <w:trPr>
          <w:trHeight w:val="241"/>
          <w:jc w:val="center"/>
        </w:trPr>
        <w:tc>
          <w:tcPr>
            <w:tcW w:w="230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402D88" w14:textId="77777777" w:rsidR="006A0670" w:rsidRDefault="006A0670" w:rsidP="006A0670">
            <w:pPr>
              <w:jc w:val="left"/>
              <w:rPr>
                <w:rFonts w:ascii="Cambria" w:hAnsi="Cambria" w:cs="Arial"/>
                <w:b/>
                <w:bCs/>
                <w:sz w:val="18"/>
                <w:szCs w:val="18"/>
              </w:rPr>
            </w:pPr>
            <w:r>
              <w:rPr>
                <w:rFonts w:ascii="Cambria" w:hAnsi="Cambria" w:cs="Arial"/>
                <w:b/>
                <w:bCs/>
                <w:sz w:val="18"/>
                <w:szCs w:val="18"/>
              </w:rPr>
              <w:t>Total a corto plazo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F5D8EBC" w14:textId="70ED159F" w:rsidR="006A0670" w:rsidRDefault="006A0670" w:rsidP="006A0670">
            <w:pPr>
              <w:jc w:val="right"/>
              <w:rPr>
                <w:rFonts w:ascii="Cambria" w:hAnsi="Cambria" w:cs="Arial"/>
                <w:b/>
                <w:bCs/>
                <w:sz w:val="18"/>
                <w:szCs w:val="18"/>
              </w:rPr>
            </w:pPr>
            <w:r>
              <w:rPr>
                <w:rFonts w:ascii="Cambria" w:hAnsi="Cambria" w:cs="Arial"/>
                <w:b/>
                <w:bCs/>
                <w:sz w:val="18"/>
                <w:szCs w:val="18"/>
              </w:rPr>
              <w:t>100.026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C0DAFD" w14:textId="64F6FBE3" w:rsidR="006A0670" w:rsidRDefault="00423918" w:rsidP="006A0670">
            <w:pPr>
              <w:jc w:val="right"/>
              <w:rPr>
                <w:rFonts w:ascii="Cambria" w:hAnsi="Cambria" w:cs="Arial"/>
                <w:b/>
                <w:bCs/>
                <w:sz w:val="18"/>
                <w:szCs w:val="18"/>
              </w:rPr>
            </w:pPr>
            <w:r>
              <w:rPr>
                <w:rFonts w:ascii="Cambria" w:hAnsi="Cambria" w:cs="Arial"/>
                <w:b/>
                <w:bCs/>
                <w:sz w:val="18"/>
                <w:szCs w:val="18"/>
              </w:rPr>
              <w:t>5.9</w:t>
            </w:r>
            <w:r w:rsidR="00D030FD">
              <w:rPr>
                <w:rFonts w:ascii="Cambria" w:hAnsi="Cambria" w:cs="Arial"/>
                <w:b/>
                <w:bCs/>
                <w:sz w:val="18"/>
                <w:szCs w:val="18"/>
              </w:rPr>
              <w:t>68</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14:paraId="4C9C8306" w14:textId="04FDD770" w:rsidR="006A0670" w:rsidRDefault="001071A7" w:rsidP="006A0670">
            <w:pPr>
              <w:jc w:val="right"/>
              <w:rPr>
                <w:rFonts w:ascii="Cambria" w:hAnsi="Cambria" w:cs="Arial"/>
                <w:b/>
                <w:bCs/>
                <w:sz w:val="18"/>
                <w:szCs w:val="18"/>
              </w:rPr>
            </w:pPr>
            <w:r>
              <w:rPr>
                <w:rFonts w:ascii="Cambria" w:hAnsi="Cambria" w:cs="Arial"/>
                <w:b/>
                <w:bCs/>
                <w:sz w:val="18"/>
                <w:szCs w:val="18"/>
              </w:rPr>
              <w:t>(1.097)</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9E1A9D" w14:textId="342416F1" w:rsidR="006A0670" w:rsidRDefault="001071A7" w:rsidP="006A0670">
            <w:pPr>
              <w:jc w:val="right"/>
              <w:rPr>
                <w:rFonts w:ascii="Cambria" w:hAnsi="Cambria" w:cs="Arial"/>
                <w:b/>
                <w:bCs/>
                <w:sz w:val="18"/>
                <w:szCs w:val="18"/>
              </w:rPr>
            </w:pPr>
            <w:r>
              <w:rPr>
                <w:rFonts w:ascii="Cambria" w:hAnsi="Cambria" w:cs="Arial"/>
                <w:b/>
                <w:bCs/>
                <w:sz w:val="18"/>
                <w:szCs w:val="18"/>
              </w:rPr>
              <w:t>(</w:t>
            </w:r>
            <w:r w:rsidR="00D030FD">
              <w:rPr>
                <w:rFonts w:ascii="Cambria" w:hAnsi="Cambria" w:cs="Arial"/>
                <w:b/>
                <w:bCs/>
                <w:sz w:val="18"/>
                <w:szCs w:val="18"/>
              </w:rPr>
              <w:t>982</w:t>
            </w:r>
            <w:r>
              <w:rPr>
                <w:rFonts w:ascii="Cambria" w:hAnsi="Cambria" w:cs="Arial"/>
                <w:b/>
                <w:b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DFA2B4" w14:textId="574FA080" w:rsidR="006A0670" w:rsidRDefault="001071A7" w:rsidP="006A0670">
            <w:pPr>
              <w:jc w:val="right"/>
              <w:rPr>
                <w:rFonts w:ascii="Cambria" w:hAnsi="Cambria" w:cs="Arial"/>
                <w:b/>
                <w:bCs/>
                <w:sz w:val="18"/>
                <w:szCs w:val="18"/>
              </w:rPr>
            </w:pPr>
            <w:r>
              <w:rPr>
                <w:rFonts w:ascii="Cambria" w:hAnsi="Cambria" w:cs="Arial"/>
                <w:b/>
                <w:bCs/>
                <w:sz w:val="18"/>
                <w:szCs w:val="18"/>
              </w:rPr>
              <w:t>10</w:t>
            </w:r>
            <w:r w:rsidR="00423918">
              <w:rPr>
                <w:rFonts w:ascii="Cambria" w:hAnsi="Cambria" w:cs="Arial"/>
                <w:b/>
                <w:bCs/>
                <w:sz w:val="18"/>
                <w:szCs w:val="18"/>
              </w:rPr>
              <w:t>3</w:t>
            </w:r>
            <w:r>
              <w:rPr>
                <w:rFonts w:ascii="Cambria" w:hAnsi="Cambria" w:cs="Arial"/>
                <w:b/>
                <w:bCs/>
                <w:sz w:val="18"/>
                <w:szCs w:val="18"/>
              </w:rPr>
              <w:t>.</w:t>
            </w:r>
            <w:r w:rsidR="00D030FD">
              <w:rPr>
                <w:rFonts w:ascii="Cambria" w:hAnsi="Cambria" w:cs="Arial"/>
                <w:b/>
                <w:bCs/>
                <w:sz w:val="18"/>
                <w:szCs w:val="18"/>
              </w:rPr>
              <w:t>915</w:t>
            </w:r>
          </w:p>
        </w:tc>
      </w:tr>
    </w:tbl>
    <w:p w14:paraId="7E946A31" w14:textId="77777777" w:rsidR="004223C8" w:rsidRDefault="004223C8" w:rsidP="00240425">
      <w:pPr>
        <w:ind w:left="567"/>
        <w:rPr>
          <w:rFonts w:ascii="Cambria" w:hAnsi="Cambria"/>
          <w:b/>
          <w:sz w:val="24"/>
          <w:szCs w:val="24"/>
          <w:u w:val="single"/>
        </w:rPr>
      </w:pPr>
    </w:p>
    <w:p w14:paraId="1EBAE518" w14:textId="59A42F42" w:rsidR="00272894" w:rsidRDefault="00272894">
      <w:pPr>
        <w:keepLines w:val="0"/>
        <w:widowControl/>
        <w:jc w:val="left"/>
        <w:rPr>
          <w:rFonts w:ascii="Cambria" w:hAnsi="Cambria"/>
          <w:b/>
          <w:sz w:val="24"/>
          <w:szCs w:val="24"/>
          <w:u w:val="single"/>
        </w:rPr>
      </w:pPr>
      <w:r>
        <w:rPr>
          <w:rFonts w:ascii="Cambria" w:hAnsi="Cambria"/>
          <w:b/>
          <w:sz w:val="24"/>
          <w:szCs w:val="24"/>
          <w:u w:val="single"/>
        </w:rPr>
        <w:br w:type="page"/>
      </w:r>
    </w:p>
    <w:p w14:paraId="0AB5CEF2" w14:textId="77777777" w:rsidR="00240425" w:rsidRPr="00F8465B" w:rsidRDefault="00240425" w:rsidP="00240425">
      <w:pPr>
        <w:ind w:left="567"/>
        <w:rPr>
          <w:rFonts w:ascii="Cambria" w:hAnsi="Cambria"/>
          <w:b/>
          <w:sz w:val="24"/>
          <w:szCs w:val="24"/>
          <w:u w:val="single"/>
        </w:rPr>
      </w:pPr>
    </w:p>
    <w:p w14:paraId="2338C3C2" w14:textId="77777777" w:rsidR="006A0670" w:rsidRDefault="006A0670" w:rsidP="006A0670">
      <w:pPr>
        <w:ind w:left="567"/>
        <w:rPr>
          <w:rFonts w:ascii="Cambria" w:hAnsi="Cambria"/>
          <w:b/>
          <w:sz w:val="24"/>
          <w:szCs w:val="24"/>
          <w:u w:val="single"/>
        </w:rPr>
      </w:pPr>
      <w:r w:rsidRPr="00F8465B">
        <w:rPr>
          <w:rFonts w:ascii="Cambria" w:hAnsi="Cambria"/>
          <w:b/>
          <w:sz w:val="24"/>
          <w:szCs w:val="24"/>
          <w:u w:val="single"/>
        </w:rPr>
        <w:t>Ejercicio 201</w:t>
      </w:r>
      <w:r>
        <w:rPr>
          <w:rFonts w:ascii="Cambria" w:hAnsi="Cambria"/>
          <w:b/>
          <w:sz w:val="24"/>
          <w:szCs w:val="24"/>
          <w:u w:val="single"/>
        </w:rPr>
        <w:t>9</w:t>
      </w:r>
    </w:p>
    <w:p w14:paraId="53BAAC89" w14:textId="77777777" w:rsidR="006A0670" w:rsidRDefault="006A0670" w:rsidP="006A0670">
      <w:pPr>
        <w:ind w:left="567"/>
        <w:rPr>
          <w:rFonts w:ascii="Cambria" w:hAnsi="Cambria"/>
          <w:b/>
          <w:sz w:val="24"/>
          <w:szCs w:val="24"/>
          <w:u w:val="single"/>
        </w:rPr>
      </w:pPr>
    </w:p>
    <w:tbl>
      <w:tblPr>
        <w:tblW w:w="4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992"/>
        <w:gridCol w:w="1134"/>
        <w:gridCol w:w="849"/>
        <w:gridCol w:w="1276"/>
        <w:gridCol w:w="1268"/>
      </w:tblGrid>
      <w:tr w:rsidR="006A0670" w:rsidRPr="00F8465B" w14:paraId="5970992B" w14:textId="77777777" w:rsidTr="0014541E">
        <w:trPr>
          <w:trHeight w:val="975"/>
          <w:jc w:val="center"/>
        </w:trPr>
        <w:tc>
          <w:tcPr>
            <w:tcW w:w="1522" w:type="pct"/>
            <w:tcBorders>
              <w:bottom w:val="single" w:sz="4" w:space="0" w:color="auto"/>
            </w:tcBorders>
            <w:shd w:val="clear" w:color="auto" w:fill="FFFFFF"/>
            <w:vAlign w:val="bottom"/>
          </w:tcPr>
          <w:p w14:paraId="3B79F36A" w14:textId="77777777" w:rsidR="006A0670" w:rsidRPr="00F8465B" w:rsidRDefault="006A0670" w:rsidP="0014541E">
            <w:pPr>
              <w:keepLines w:val="0"/>
              <w:widowControl/>
              <w:jc w:val="left"/>
              <w:rPr>
                <w:rFonts w:ascii="Cambria" w:hAnsi="Cambria"/>
                <w:b/>
                <w:bCs/>
                <w:sz w:val="18"/>
                <w:szCs w:val="18"/>
                <w:lang w:val="es-ES"/>
              </w:rPr>
            </w:pPr>
            <w:r>
              <w:rPr>
                <w:rFonts w:ascii="Cambria" w:hAnsi="Cambria"/>
                <w:b/>
                <w:bCs/>
                <w:sz w:val="18"/>
                <w:szCs w:val="18"/>
                <w:lang w:val="es-ES"/>
              </w:rPr>
              <w:t>Otras p</w:t>
            </w:r>
            <w:r w:rsidRPr="00F8465B">
              <w:rPr>
                <w:rFonts w:ascii="Cambria" w:hAnsi="Cambria"/>
                <w:b/>
                <w:bCs/>
                <w:sz w:val="18"/>
                <w:szCs w:val="18"/>
                <w:lang w:val="es-ES"/>
              </w:rPr>
              <w:t>rovisiones a largo plazo</w:t>
            </w:r>
          </w:p>
        </w:tc>
        <w:tc>
          <w:tcPr>
            <w:tcW w:w="625" w:type="pct"/>
            <w:tcBorders>
              <w:bottom w:val="single" w:sz="4" w:space="0" w:color="auto"/>
            </w:tcBorders>
            <w:shd w:val="clear" w:color="auto" w:fill="FFFFFF"/>
            <w:vAlign w:val="bottom"/>
          </w:tcPr>
          <w:p w14:paraId="507BF5B6" w14:textId="77777777" w:rsidR="006A0670" w:rsidRDefault="006A0670" w:rsidP="0014541E">
            <w:pPr>
              <w:keepLines w:val="0"/>
              <w:widowControl/>
              <w:jc w:val="center"/>
              <w:rPr>
                <w:rFonts w:ascii="Cambria" w:hAnsi="Cambria"/>
                <w:b/>
                <w:bCs/>
                <w:sz w:val="18"/>
                <w:szCs w:val="18"/>
                <w:lang w:val="es-ES"/>
              </w:rPr>
            </w:pPr>
            <w:r>
              <w:rPr>
                <w:rFonts w:ascii="Cambria" w:hAnsi="Cambria"/>
                <w:b/>
                <w:bCs/>
                <w:sz w:val="18"/>
                <w:szCs w:val="18"/>
                <w:lang w:val="es-ES"/>
              </w:rPr>
              <w:t>Saldo al 31.12.18</w:t>
            </w:r>
          </w:p>
        </w:tc>
        <w:tc>
          <w:tcPr>
            <w:tcW w:w="715" w:type="pct"/>
            <w:tcBorders>
              <w:bottom w:val="single" w:sz="4" w:space="0" w:color="auto"/>
            </w:tcBorders>
            <w:shd w:val="clear" w:color="auto" w:fill="FFFFFF"/>
            <w:vAlign w:val="bottom"/>
          </w:tcPr>
          <w:p w14:paraId="3E8E168B" w14:textId="77777777" w:rsidR="006A0670" w:rsidRPr="00F8465B" w:rsidRDefault="006A0670" w:rsidP="0014541E">
            <w:pPr>
              <w:keepLines w:val="0"/>
              <w:widowControl/>
              <w:jc w:val="center"/>
              <w:rPr>
                <w:rFonts w:ascii="Cambria" w:hAnsi="Cambria"/>
                <w:b/>
                <w:bCs/>
                <w:sz w:val="18"/>
                <w:szCs w:val="18"/>
                <w:lang w:val="es-ES"/>
              </w:rPr>
            </w:pPr>
            <w:r w:rsidRPr="00F8465B">
              <w:rPr>
                <w:rFonts w:ascii="Cambria" w:hAnsi="Cambria"/>
                <w:b/>
                <w:bCs/>
                <w:sz w:val="18"/>
                <w:szCs w:val="18"/>
                <w:lang w:val="es-ES"/>
              </w:rPr>
              <w:t xml:space="preserve">Dotaciones </w:t>
            </w:r>
          </w:p>
        </w:tc>
        <w:tc>
          <w:tcPr>
            <w:tcW w:w="535" w:type="pct"/>
            <w:tcBorders>
              <w:bottom w:val="single" w:sz="4" w:space="0" w:color="auto"/>
            </w:tcBorders>
            <w:shd w:val="clear" w:color="auto" w:fill="FFFFFF"/>
            <w:vAlign w:val="bottom"/>
          </w:tcPr>
          <w:p w14:paraId="6C039AA6" w14:textId="77777777" w:rsidR="006A0670" w:rsidRPr="00F8465B" w:rsidRDefault="006A0670" w:rsidP="0014541E">
            <w:pPr>
              <w:keepLines w:val="0"/>
              <w:widowControl/>
              <w:jc w:val="center"/>
              <w:rPr>
                <w:rFonts w:ascii="Cambria" w:hAnsi="Cambria"/>
                <w:b/>
                <w:bCs/>
                <w:sz w:val="18"/>
                <w:szCs w:val="18"/>
                <w:lang w:val="es-ES"/>
              </w:rPr>
            </w:pPr>
            <w:r w:rsidRPr="00F8465B">
              <w:rPr>
                <w:rFonts w:ascii="Cambria" w:hAnsi="Cambria"/>
                <w:b/>
                <w:bCs/>
                <w:sz w:val="18"/>
                <w:szCs w:val="18"/>
                <w:lang w:val="es-ES"/>
              </w:rPr>
              <w:t>Excesos</w:t>
            </w:r>
          </w:p>
        </w:tc>
        <w:tc>
          <w:tcPr>
            <w:tcW w:w="804" w:type="pct"/>
            <w:tcBorders>
              <w:bottom w:val="single" w:sz="4" w:space="0" w:color="auto"/>
            </w:tcBorders>
            <w:shd w:val="clear" w:color="auto" w:fill="FFFFFF"/>
            <w:vAlign w:val="bottom"/>
          </w:tcPr>
          <w:p w14:paraId="6150CF6F" w14:textId="77777777" w:rsidR="006A0670" w:rsidRPr="00F8465B" w:rsidRDefault="006A0670" w:rsidP="0014541E">
            <w:pPr>
              <w:keepLines w:val="0"/>
              <w:widowControl/>
              <w:jc w:val="center"/>
              <w:rPr>
                <w:rFonts w:ascii="Cambria" w:hAnsi="Cambria"/>
                <w:b/>
                <w:bCs/>
                <w:sz w:val="18"/>
                <w:szCs w:val="18"/>
                <w:lang w:val="es-ES"/>
              </w:rPr>
            </w:pPr>
            <w:r w:rsidRPr="00F8465B">
              <w:rPr>
                <w:rFonts w:ascii="Cambria" w:hAnsi="Cambria"/>
                <w:b/>
                <w:bCs/>
                <w:sz w:val="18"/>
                <w:szCs w:val="18"/>
                <w:lang w:val="es-ES"/>
              </w:rPr>
              <w:t>Aplicaciones</w:t>
            </w:r>
          </w:p>
        </w:tc>
        <w:tc>
          <w:tcPr>
            <w:tcW w:w="799" w:type="pct"/>
            <w:tcBorders>
              <w:bottom w:val="single" w:sz="4" w:space="0" w:color="auto"/>
            </w:tcBorders>
            <w:shd w:val="clear" w:color="auto" w:fill="FFFFFF" w:themeFill="background1"/>
            <w:vAlign w:val="bottom"/>
          </w:tcPr>
          <w:p w14:paraId="7432BC59" w14:textId="77777777" w:rsidR="006A0670" w:rsidRPr="00F8465B" w:rsidRDefault="006A0670" w:rsidP="0014541E">
            <w:pPr>
              <w:keepLines w:val="0"/>
              <w:widowControl/>
              <w:jc w:val="center"/>
              <w:rPr>
                <w:rFonts w:ascii="Cambria" w:hAnsi="Cambria"/>
                <w:b/>
                <w:bCs/>
                <w:sz w:val="18"/>
                <w:szCs w:val="18"/>
                <w:lang w:val="es-ES"/>
              </w:rPr>
            </w:pPr>
            <w:r>
              <w:rPr>
                <w:rFonts w:ascii="Cambria" w:hAnsi="Cambria"/>
                <w:b/>
                <w:bCs/>
                <w:sz w:val="18"/>
                <w:szCs w:val="18"/>
                <w:lang w:val="es-ES"/>
              </w:rPr>
              <w:t>Saldo al 31.12.19</w:t>
            </w:r>
          </w:p>
        </w:tc>
      </w:tr>
      <w:tr w:rsidR="006A0670" w:rsidRPr="00F8465B" w14:paraId="7757DA90" w14:textId="77777777" w:rsidTr="0014541E">
        <w:trPr>
          <w:trHeight w:val="270"/>
          <w:jc w:val="center"/>
        </w:trPr>
        <w:tc>
          <w:tcPr>
            <w:tcW w:w="1522" w:type="pct"/>
            <w:tcBorders>
              <w:bottom w:val="nil"/>
            </w:tcBorders>
            <w:shd w:val="clear" w:color="auto" w:fill="FFFFFF"/>
            <w:noWrap/>
            <w:vAlign w:val="bottom"/>
          </w:tcPr>
          <w:p w14:paraId="4FB0E3C2" w14:textId="77777777" w:rsidR="006A0670" w:rsidRPr="00F8465B" w:rsidRDefault="006A0670" w:rsidP="0014541E">
            <w:pPr>
              <w:keepLines w:val="0"/>
              <w:widowControl/>
              <w:jc w:val="left"/>
              <w:rPr>
                <w:rFonts w:ascii="Cambria" w:hAnsi="Cambria"/>
                <w:bCs/>
                <w:sz w:val="18"/>
                <w:szCs w:val="18"/>
                <w:lang w:val="es-ES"/>
              </w:rPr>
            </w:pPr>
            <w:r w:rsidRPr="00F8465B">
              <w:rPr>
                <w:rFonts w:ascii="Cambria" w:hAnsi="Cambria"/>
                <w:bCs/>
                <w:sz w:val="18"/>
                <w:szCs w:val="18"/>
                <w:lang w:val="es-ES"/>
              </w:rPr>
              <w:t>Litigios</w:t>
            </w:r>
          </w:p>
        </w:tc>
        <w:tc>
          <w:tcPr>
            <w:tcW w:w="625" w:type="pct"/>
            <w:tcBorders>
              <w:bottom w:val="nil"/>
            </w:tcBorders>
            <w:shd w:val="clear" w:color="auto" w:fill="FFFFFF"/>
            <w:vAlign w:val="center"/>
          </w:tcPr>
          <w:p w14:paraId="501E5AD9" w14:textId="77777777" w:rsidR="006A0670" w:rsidRDefault="006A0670" w:rsidP="0014541E">
            <w:pPr>
              <w:keepLines w:val="0"/>
              <w:widowControl/>
              <w:jc w:val="right"/>
              <w:rPr>
                <w:rFonts w:ascii="Cambria" w:hAnsi="Cambria" w:cs="Arial"/>
                <w:sz w:val="18"/>
                <w:szCs w:val="18"/>
              </w:rPr>
            </w:pPr>
            <w:r>
              <w:rPr>
                <w:rFonts w:ascii="Cambria" w:hAnsi="Cambria" w:cs="Arial"/>
                <w:sz w:val="18"/>
                <w:szCs w:val="18"/>
              </w:rPr>
              <w:t>6.704</w:t>
            </w:r>
          </w:p>
        </w:tc>
        <w:tc>
          <w:tcPr>
            <w:tcW w:w="715" w:type="pct"/>
            <w:tcBorders>
              <w:bottom w:val="nil"/>
            </w:tcBorders>
            <w:shd w:val="clear" w:color="auto" w:fill="FFFFFF"/>
            <w:noWrap/>
            <w:vAlign w:val="center"/>
          </w:tcPr>
          <w:p w14:paraId="37901AB6" w14:textId="77777777" w:rsidR="006A0670" w:rsidRDefault="006A0670" w:rsidP="0014541E">
            <w:pPr>
              <w:jc w:val="right"/>
              <w:rPr>
                <w:rFonts w:ascii="Cambria" w:hAnsi="Cambria" w:cs="Arial"/>
                <w:sz w:val="18"/>
                <w:szCs w:val="18"/>
              </w:rPr>
            </w:pPr>
            <w:r>
              <w:rPr>
                <w:rFonts w:ascii="Cambria" w:hAnsi="Cambria" w:cs="Arial"/>
                <w:sz w:val="18"/>
                <w:szCs w:val="18"/>
              </w:rPr>
              <w:t>3.241</w:t>
            </w:r>
          </w:p>
        </w:tc>
        <w:tc>
          <w:tcPr>
            <w:tcW w:w="535" w:type="pct"/>
            <w:tcBorders>
              <w:bottom w:val="nil"/>
            </w:tcBorders>
            <w:shd w:val="clear" w:color="auto" w:fill="FFFFFF"/>
            <w:noWrap/>
            <w:vAlign w:val="center"/>
          </w:tcPr>
          <w:p w14:paraId="2E5D96D4" w14:textId="77777777" w:rsidR="006A0670" w:rsidRDefault="006A0670" w:rsidP="0014541E">
            <w:pPr>
              <w:jc w:val="right"/>
              <w:rPr>
                <w:rFonts w:ascii="Cambria" w:hAnsi="Cambria" w:cs="Arial"/>
                <w:sz w:val="18"/>
                <w:szCs w:val="18"/>
              </w:rPr>
            </w:pPr>
            <w:r>
              <w:rPr>
                <w:rFonts w:ascii="Cambria" w:hAnsi="Cambria" w:cs="Arial"/>
                <w:sz w:val="18"/>
                <w:szCs w:val="18"/>
              </w:rPr>
              <w:t>(2.148)</w:t>
            </w:r>
          </w:p>
        </w:tc>
        <w:tc>
          <w:tcPr>
            <w:tcW w:w="804" w:type="pct"/>
            <w:tcBorders>
              <w:bottom w:val="nil"/>
            </w:tcBorders>
            <w:shd w:val="clear" w:color="auto" w:fill="FFFFFF"/>
            <w:noWrap/>
            <w:vAlign w:val="center"/>
          </w:tcPr>
          <w:p w14:paraId="57700D45" w14:textId="77777777" w:rsidR="006A0670" w:rsidRDefault="006A0670" w:rsidP="0014541E">
            <w:pPr>
              <w:jc w:val="right"/>
              <w:rPr>
                <w:rFonts w:ascii="Cambria" w:hAnsi="Cambria" w:cs="Arial"/>
                <w:sz w:val="18"/>
                <w:szCs w:val="18"/>
              </w:rPr>
            </w:pPr>
            <w:r>
              <w:rPr>
                <w:rFonts w:ascii="Cambria" w:hAnsi="Cambria" w:cs="Arial"/>
                <w:sz w:val="18"/>
                <w:szCs w:val="18"/>
              </w:rPr>
              <w:t>(1.964)</w:t>
            </w:r>
          </w:p>
        </w:tc>
        <w:tc>
          <w:tcPr>
            <w:tcW w:w="799" w:type="pct"/>
            <w:tcBorders>
              <w:bottom w:val="nil"/>
            </w:tcBorders>
            <w:shd w:val="clear" w:color="auto" w:fill="FFFFFF" w:themeFill="background1"/>
            <w:noWrap/>
            <w:vAlign w:val="center"/>
          </w:tcPr>
          <w:p w14:paraId="00B9EA22" w14:textId="77777777" w:rsidR="006A0670" w:rsidRDefault="006A0670" w:rsidP="0014541E">
            <w:pPr>
              <w:jc w:val="right"/>
              <w:rPr>
                <w:rFonts w:ascii="Cambria" w:hAnsi="Cambria" w:cs="Arial"/>
                <w:sz w:val="18"/>
                <w:szCs w:val="18"/>
              </w:rPr>
            </w:pPr>
            <w:r>
              <w:rPr>
                <w:rFonts w:ascii="Cambria" w:hAnsi="Cambria" w:cs="Arial"/>
                <w:sz w:val="18"/>
                <w:szCs w:val="18"/>
              </w:rPr>
              <w:t>5.833</w:t>
            </w:r>
          </w:p>
        </w:tc>
      </w:tr>
      <w:tr w:rsidR="006A0670" w:rsidRPr="00F8465B" w14:paraId="79D1B73E" w14:textId="77777777" w:rsidTr="0014541E">
        <w:trPr>
          <w:trHeight w:val="270"/>
          <w:jc w:val="center"/>
        </w:trPr>
        <w:tc>
          <w:tcPr>
            <w:tcW w:w="1522" w:type="pct"/>
            <w:tcBorders>
              <w:top w:val="nil"/>
              <w:bottom w:val="nil"/>
            </w:tcBorders>
            <w:shd w:val="clear" w:color="auto" w:fill="FFFFFF"/>
            <w:noWrap/>
            <w:vAlign w:val="bottom"/>
          </w:tcPr>
          <w:p w14:paraId="0068B9B5" w14:textId="77777777" w:rsidR="006A0670" w:rsidRPr="00F8465B" w:rsidRDefault="006A0670" w:rsidP="0014541E">
            <w:pPr>
              <w:keepLines w:val="0"/>
              <w:widowControl/>
              <w:jc w:val="left"/>
              <w:rPr>
                <w:rFonts w:ascii="Cambria" w:hAnsi="Cambria"/>
                <w:bCs/>
                <w:sz w:val="18"/>
                <w:szCs w:val="18"/>
                <w:lang w:val="es-ES"/>
              </w:rPr>
            </w:pPr>
            <w:r w:rsidRPr="00F8465B">
              <w:rPr>
                <w:rFonts w:ascii="Cambria" w:hAnsi="Cambria"/>
                <w:bCs/>
                <w:sz w:val="18"/>
                <w:szCs w:val="18"/>
                <w:lang w:val="es-ES"/>
              </w:rPr>
              <w:t>Otras responsabilidades</w:t>
            </w:r>
          </w:p>
        </w:tc>
        <w:tc>
          <w:tcPr>
            <w:tcW w:w="625" w:type="pct"/>
            <w:tcBorders>
              <w:top w:val="nil"/>
              <w:bottom w:val="nil"/>
            </w:tcBorders>
            <w:shd w:val="clear" w:color="auto" w:fill="FFFFFF"/>
            <w:vAlign w:val="center"/>
          </w:tcPr>
          <w:p w14:paraId="4CA90947" w14:textId="77777777" w:rsidR="006A0670" w:rsidRDefault="006A0670" w:rsidP="0014541E">
            <w:pPr>
              <w:jc w:val="right"/>
              <w:rPr>
                <w:rFonts w:ascii="Cambria" w:hAnsi="Cambria" w:cs="Arial"/>
                <w:sz w:val="18"/>
                <w:szCs w:val="18"/>
              </w:rPr>
            </w:pPr>
            <w:r>
              <w:rPr>
                <w:rFonts w:ascii="Cambria" w:hAnsi="Cambria" w:cs="Arial"/>
                <w:sz w:val="18"/>
                <w:szCs w:val="18"/>
              </w:rPr>
              <w:t>3.487</w:t>
            </w:r>
          </w:p>
        </w:tc>
        <w:tc>
          <w:tcPr>
            <w:tcW w:w="715" w:type="pct"/>
            <w:tcBorders>
              <w:top w:val="nil"/>
              <w:bottom w:val="nil"/>
            </w:tcBorders>
            <w:shd w:val="clear" w:color="auto" w:fill="FFFFFF"/>
            <w:noWrap/>
            <w:vAlign w:val="center"/>
          </w:tcPr>
          <w:p w14:paraId="0BD5CF4D" w14:textId="77777777" w:rsidR="006A0670" w:rsidRDefault="006A0670" w:rsidP="0014541E">
            <w:pPr>
              <w:jc w:val="center"/>
              <w:rPr>
                <w:rFonts w:ascii="Cambria" w:hAnsi="Cambria" w:cs="Arial"/>
                <w:sz w:val="18"/>
                <w:szCs w:val="18"/>
              </w:rPr>
            </w:pPr>
            <w:r>
              <w:rPr>
                <w:rFonts w:ascii="Cambria" w:hAnsi="Cambria" w:cs="Arial"/>
                <w:sz w:val="18"/>
                <w:szCs w:val="18"/>
              </w:rPr>
              <w:t>-</w:t>
            </w:r>
          </w:p>
        </w:tc>
        <w:tc>
          <w:tcPr>
            <w:tcW w:w="535" w:type="pct"/>
            <w:tcBorders>
              <w:top w:val="nil"/>
              <w:bottom w:val="nil"/>
            </w:tcBorders>
            <w:shd w:val="clear" w:color="auto" w:fill="FFFFFF"/>
            <w:noWrap/>
            <w:vAlign w:val="center"/>
          </w:tcPr>
          <w:p w14:paraId="247E6B0E" w14:textId="77777777" w:rsidR="006A0670" w:rsidRDefault="006A0670" w:rsidP="0014541E">
            <w:pPr>
              <w:jc w:val="center"/>
              <w:rPr>
                <w:rFonts w:ascii="Cambria" w:hAnsi="Cambria" w:cs="Arial"/>
                <w:sz w:val="18"/>
                <w:szCs w:val="18"/>
              </w:rPr>
            </w:pPr>
            <w:r>
              <w:rPr>
                <w:rFonts w:ascii="Cambria" w:hAnsi="Cambria" w:cs="Arial"/>
                <w:sz w:val="18"/>
                <w:szCs w:val="18"/>
              </w:rPr>
              <w:t>-</w:t>
            </w:r>
          </w:p>
        </w:tc>
        <w:tc>
          <w:tcPr>
            <w:tcW w:w="804" w:type="pct"/>
            <w:tcBorders>
              <w:top w:val="nil"/>
              <w:bottom w:val="nil"/>
            </w:tcBorders>
            <w:shd w:val="clear" w:color="auto" w:fill="FFFFFF"/>
            <w:noWrap/>
            <w:vAlign w:val="center"/>
          </w:tcPr>
          <w:p w14:paraId="20DDC6C3" w14:textId="77777777" w:rsidR="006A0670" w:rsidRDefault="006A0670" w:rsidP="0014541E">
            <w:pPr>
              <w:jc w:val="center"/>
              <w:rPr>
                <w:rFonts w:ascii="Cambria" w:hAnsi="Cambria" w:cs="Arial"/>
                <w:sz w:val="18"/>
                <w:szCs w:val="18"/>
              </w:rPr>
            </w:pPr>
            <w:r>
              <w:rPr>
                <w:rFonts w:ascii="Cambria" w:hAnsi="Cambria" w:cs="Arial"/>
                <w:sz w:val="18"/>
                <w:szCs w:val="18"/>
              </w:rPr>
              <w:t>-</w:t>
            </w:r>
          </w:p>
        </w:tc>
        <w:tc>
          <w:tcPr>
            <w:tcW w:w="799" w:type="pct"/>
            <w:tcBorders>
              <w:top w:val="nil"/>
              <w:bottom w:val="nil"/>
            </w:tcBorders>
            <w:shd w:val="clear" w:color="auto" w:fill="FFFFFF" w:themeFill="background1"/>
            <w:noWrap/>
            <w:vAlign w:val="center"/>
          </w:tcPr>
          <w:p w14:paraId="771EF609" w14:textId="77777777" w:rsidR="006A0670" w:rsidRDefault="006A0670" w:rsidP="0014541E">
            <w:pPr>
              <w:jc w:val="right"/>
              <w:rPr>
                <w:rFonts w:ascii="Cambria" w:hAnsi="Cambria" w:cs="Arial"/>
                <w:sz w:val="18"/>
                <w:szCs w:val="18"/>
              </w:rPr>
            </w:pPr>
            <w:r>
              <w:rPr>
                <w:rFonts w:ascii="Cambria" w:hAnsi="Cambria" w:cs="Arial"/>
                <w:sz w:val="18"/>
                <w:szCs w:val="18"/>
              </w:rPr>
              <w:t>3.487</w:t>
            </w:r>
          </w:p>
        </w:tc>
      </w:tr>
      <w:tr w:rsidR="006A0670" w:rsidRPr="00F8465B" w14:paraId="1B1AA4D7" w14:textId="77777777" w:rsidTr="0014541E">
        <w:trPr>
          <w:trHeight w:val="270"/>
          <w:jc w:val="center"/>
        </w:trPr>
        <w:tc>
          <w:tcPr>
            <w:tcW w:w="1522" w:type="pct"/>
            <w:shd w:val="clear" w:color="auto" w:fill="FFFFFF"/>
            <w:noWrap/>
            <w:vAlign w:val="bottom"/>
          </w:tcPr>
          <w:p w14:paraId="7D6FCF03" w14:textId="77777777" w:rsidR="006A0670" w:rsidRPr="00F8465B" w:rsidRDefault="006A0670" w:rsidP="0014541E">
            <w:pPr>
              <w:keepLines w:val="0"/>
              <w:widowControl/>
              <w:jc w:val="left"/>
              <w:rPr>
                <w:rFonts w:ascii="Cambria" w:hAnsi="Cambria"/>
                <w:b/>
                <w:bCs/>
                <w:sz w:val="18"/>
                <w:szCs w:val="18"/>
                <w:lang w:val="es-ES"/>
              </w:rPr>
            </w:pPr>
            <w:r w:rsidRPr="00F8465B">
              <w:rPr>
                <w:rFonts w:ascii="Cambria" w:hAnsi="Cambria"/>
                <w:b/>
                <w:bCs/>
                <w:sz w:val="18"/>
                <w:szCs w:val="18"/>
                <w:lang w:val="es-ES"/>
              </w:rPr>
              <w:t>Total a largo plazo</w:t>
            </w:r>
          </w:p>
        </w:tc>
        <w:tc>
          <w:tcPr>
            <w:tcW w:w="625" w:type="pct"/>
            <w:shd w:val="clear" w:color="auto" w:fill="FFFFFF"/>
            <w:vAlign w:val="center"/>
          </w:tcPr>
          <w:p w14:paraId="4565B248" w14:textId="77777777" w:rsidR="006A0670" w:rsidRDefault="006A0670" w:rsidP="0014541E">
            <w:pPr>
              <w:jc w:val="right"/>
              <w:rPr>
                <w:rFonts w:ascii="Cambria" w:hAnsi="Cambria" w:cs="Arial"/>
                <w:b/>
                <w:bCs/>
                <w:sz w:val="18"/>
                <w:szCs w:val="18"/>
              </w:rPr>
            </w:pPr>
            <w:r>
              <w:rPr>
                <w:rFonts w:ascii="Cambria" w:hAnsi="Cambria" w:cs="Arial"/>
                <w:b/>
                <w:bCs/>
                <w:sz w:val="18"/>
                <w:szCs w:val="18"/>
              </w:rPr>
              <w:t>10.191</w:t>
            </w:r>
          </w:p>
        </w:tc>
        <w:tc>
          <w:tcPr>
            <w:tcW w:w="715" w:type="pct"/>
            <w:shd w:val="clear" w:color="auto" w:fill="FFFFFF"/>
            <w:noWrap/>
            <w:vAlign w:val="center"/>
          </w:tcPr>
          <w:p w14:paraId="6975484C" w14:textId="77777777" w:rsidR="006A0670" w:rsidRDefault="006A0670" w:rsidP="0014541E">
            <w:pPr>
              <w:jc w:val="right"/>
              <w:rPr>
                <w:rFonts w:ascii="Cambria" w:hAnsi="Cambria" w:cs="Arial"/>
                <w:b/>
                <w:bCs/>
                <w:sz w:val="18"/>
                <w:szCs w:val="18"/>
              </w:rPr>
            </w:pPr>
            <w:r>
              <w:rPr>
                <w:rFonts w:ascii="Cambria" w:hAnsi="Cambria" w:cs="Arial"/>
                <w:b/>
                <w:bCs/>
                <w:sz w:val="18"/>
                <w:szCs w:val="18"/>
              </w:rPr>
              <w:t>3.241</w:t>
            </w:r>
          </w:p>
        </w:tc>
        <w:tc>
          <w:tcPr>
            <w:tcW w:w="535" w:type="pct"/>
            <w:shd w:val="clear" w:color="auto" w:fill="FFFFFF"/>
            <w:noWrap/>
            <w:vAlign w:val="center"/>
          </w:tcPr>
          <w:p w14:paraId="53638B23" w14:textId="77777777" w:rsidR="006A0670" w:rsidRDefault="006A0670" w:rsidP="0014541E">
            <w:pPr>
              <w:jc w:val="right"/>
              <w:rPr>
                <w:rFonts w:ascii="Cambria" w:hAnsi="Cambria" w:cs="Arial"/>
                <w:b/>
                <w:bCs/>
                <w:sz w:val="18"/>
                <w:szCs w:val="18"/>
              </w:rPr>
            </w:pPr>
            <w:r>
              <w:rPr>
                <w:rFonts w:ascii="Cambria" w:hAnsi="Cambria" w:cs="Arial"/>
                <w:b/>
                <w:bCs/>
                <w:sz w:val="18"/>
                <w:szCs w:val="18"/>
              </w:rPr>
              <w:t>(2.148)</w:t>
            </w:r>
          </w:p>
        </w:tc>
        <w:tc>
          <w:tcPr>
            <w:tcW w:w="804" w:type="pct"/>
            <w:shd w:val="clear" w:color="auto" w:fill="FFFFFF"/>
            <w:noWrap/>
            <w:vAlign w:val="center"/>
          </w:tcPr>
          <w:p w14:paraId="2CDD9D66" w14:textId="77777777" w:rsidR="006A0670" w:rsidRDefault="006A0670" w:rsidP="0014541E">
            <w:pPr>
              <w:jc w:val="right"/>
              <w:rPr>
                <w:rFonts w:ascii="Cambria" w:hAnsi="Cambria" w:cs="Arial"/>
                <w:b/>
                <w:bCs/>
                <w:sz w:val="18"/>
                <w:szCs w:val="18"/>
              </w:rPr>
            </w:pPr>
            <w:r>
              <w:rPr>
                <w:rFonts w:ascii="Cambria" w:hAnsi="Cambria" w:cs="Arial"/>
                <w:b/>
                <w:bCs/>
                <w:sz w:val="18"/>
                <w:szCs w:val="18"/>
              </w:rPr>
              <w:t>(1.964)</w:t>
            </w:r>
          </w:p>
        </w:tc>
        <w:tc>
          <w:tcPr>
            <w:tcW w:w="799" w:type="pct"/>
            <w:shd w:val="clear" w:color="auto" w:fill="FFFFFF" w:themeFill="background1"/>
            <w:noWrap/>
            <w:vAlign w:val="center"/>
          </w:tcPr>
          <w:p w14:paraId="4CEC2A2B" w14:textId="77777777" w:rsidR="006A0670" w:rsidRDefault="006A0670" w:rsidP="0014541E">
            <w:pPr>
              <w:jc w:val="right"/>
              <w:rPr>
                <w:rFonts w:ascii="Cambria" w:hAnsi="Cambria" w:cs="Arial"/>
                <w:b/>
                <w:bCs/>
                <w:sz w:val="18"/>
                <w:szCs w:val="18"/>
              </w:rPr>
            </w:pPr>
            <w:r>
              <w:rPr>
                <w:rFonts w:ascii="Cambria" w:hAnsi="Cambria" w:cs="Arial"/>
                <w:b/>
                <w:bCs/>
                <w:sz w:val="18"/>
                <w:szCs w:val="18"/>
              </w:rPr>
              <w:t>9.320</w:t>
            </w:r>
          </w:p>
        </w:tc>
      </w:tr>
    </w:tbl>
    <w:p w14:paraId="68329130" w14:textId="77777777" w:rsidR="006A0670" w:rsidRPr="00F8465B" w:rsidRDefault="006A0670" w:rsidP="006A0670">
      <w:pPr>
        <w:pStyle w:val="Lista"/>
        <w:rPr>
          <w:rFonts w:ascii="Cambria" w:hAnsi="Cambria"/>
          <w:szCs w:val="22"/>
        </w:rPr>
      </w:pPr>
    </w:p>
    <w:tbl>
      <w:tblPr>
        <w:tblW w:w="7933" w:type="dxa"/>
        <w:jc w:val="center"/>
        <w:tblLayout w:type="fixed"/>
        <w:tblCellMar>
          <w:left w:w="70" w:type="dxa"/>
          <w:right w:w="70" w:type="dxa"/>
        </w:tblCellMar>
        <w:tblLook w:val="0000" w:firstRow="0" w:lastRow="0" w:firstColumn="0" w:lastColumn="0" w:noHBand="0" w:noVBand="0"/>
      </w:tblPr>
      <w:tblGrid>
        <w:gridCol w:w="2303"/>
        <w:gridCol w:w="992"/>
        <w:gridCol w:w="1134"/>
        <w:gridCol w:w="1095"/>
        <w:gridCol w:w="1275"/>
        <w:gridCol w:w="1134"/>
      </w:tblGrid>
      <w:tr w:rsidR="006A0670" w:rsidRPr="00F8465B" w14:paraId="66E4307D" w14:textId="77777777" w:rsidTr="0014541E">
        <w:trPr>
          <w:trHeight w:val="735"/>
          <w:jc w:val="center"/>
        </w:trPr>
        <w:tc>
          <w:tcPr>
            <w:tcW w:w="2303" w:type="dxa"/>
            <w:tcBorders>
              <w:top w:val="single" w:sz="4" w:space="0" w:color="auto"/>
              <w:left w:val="single" w:sz="4" w:space="0" w:color="auto"/>
              <w:bottom w:val="single" w:sz="4" w:space="0" w:color="auto"/>
              <w:right w:val="single" w:sz="4" w:space="0" w:color="auto"/>
            </w:tcBorders>
            <w:shd w:val="clear" w:color="auto" w:fill="FFFFFF"/>
            <w:vAlign w:val="bottom"/>
          </w:tcPr>
          <w:p w14:paraId="76F8CA68" w14:textId="77777777" w:rsidR="006A0670" w:rsidRPr="00F8465B" w:rsidRDefault="006A0670" w:rsidP="0014541E">
            <w:pPr>
              <w:keepLines w:val="0"/>
              <w:widowControl/>
              <w:jc w:val="left"/>
              <w:rPr>
                <w:rFonts w:ascii="Cambria" w:hAnsi="Cambria"/>
                <w:b/>
                <w:bCs/>
                <w:sz w:val="18"/>
                <w:szCs w:val="18"/>
                <w:lang w:val="es-ES"/>
              </w:rPr>
            </w:pPr>
            <w:r>
              <w:rPr>
                <w:rFonts w:ascii="Cambria" w:hAnsi="Cambria"/>
                <w:b/>
                <w:bCs/>
                <w:sz w:val="18"/>
                <w:szCs w:val="18"/>
                <w:lang w:val="es-ES"/>
              </w:rPr>
              <w:t>Otras p</w:t>
            </w:r>
            <w:r w:rsidRPr="00F8465B">
              <w:rPr>
                <w:rFonts w:ascii="Cambria" w:hAnsi="Cambria"/>
                <w:b/>
                <w:bCs/>
                <w:sz w:val="18"/>
                <w:szCs w:val="18"/>
                <w:lang w:val="es-ES"/>
              </w:rPr>
              <w:t>rovisiones a corto plazo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14:paraId="4179EE2B" w14:textId="77777777" w:rsidR="006A0670" w:rsidRDefault="006A0670" w:rsidP="0014541E">
            <w:pPr>
              <w:keepLines w:val="0"/>
              <w:widowControl/>
              <w:jc w:val="center"/>
              <w:rPr>
                <w:rFonts w:ascii="Cambria" w:hAnsi="Cambria"/>
                <w:b/>
                <w:bCs/>
                <w:sz w:val="18"/>
                <w:szCs w:val="18"/>
                <w:lang w:val="es-ES"/>
              </w:rPr>
            </w:pPr>
            <w:r>
              <w:rPr>
                <w:rFonts w:ascii="Cambria" w:hAnsi="Cambria"/>
                <w:b/>
                <w:bCs/>
                <w:sz w:val="18"/>
                <w:szCs w:val="18"/>
                <w:lang w:val="es-ES"/>
              </w:rPr>
              <w:t>Saldo al 31.12.18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7DB2C128" w14:textId="77777777" w:rsidR="006A0670" w:rsidRPr="00F8465B" w:rsidRDefault="006A0670" w:rsidP="0014541E">
            <w:pPr>
              <w:keepLines w:val="0"/>
              <w:widowControl/>
              <w:jc w:val="center"/>
              <w:rPr>
                <w:rFonts w:ascii="Cambria" w:hAnsi="Cambria"/>
                <w:b/>
                <w:bCs/>
                <w:sz w:val="18"/>
                <w:szCs w:val="18"/>
                <w:lang w:val="es-ES"/>
              </w:rPr>
            </w:pPr>
            <w:r w:rsidRPr="00F8465B">
              <w:rPr>
                <w:rFonts w:ascii="Cambria" w:hAnsi="Cambria"/>
                <w:b/>
                <w:bCs/>
                <w:sz w:val="18"/>
                <w:szCs w:val="18"/>
                <w:lang w:val="es-ES"/>
              </w:rPr>
              <w:t>Dotaciones</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bottom"/>
          </w:tcPr>
          <w:p w14:paraId="4DA91E0E" w14:textId="77777777" w:rsidR="006A0670" w:rsidRPr="00F8465B" w:rsidRDefault="006A0670" w:rsidP="0014541E">
            <w:pPr>
              <w:keepLines w:val="0"/>
              <w:widowControl/>
              <w:jc w:val="center"/>
              <w:rPr>
                <w:rFonts w:ascii="Cambria" w:hAnsi="Cambria"/>
                <w:b/>
                <w:bCs/>
                <w:sz w:val="18"/>
                <w:szCs w:val="18"/>
                <w:lang w:val="es-ES"/>
              </w:rPr>
            </w:pPr>
            <w:r>
              <w:rPr>
                <w:rFonts w:ascii="Cambria" w:hAnsi="Cambria"/>
                <w:b/>
                <w:bCs/>
                <w:sz w:val="18"/>
                <w:szCs w:val="18"/>
                <w:lang w:val="es-ES"/>
              </w:rPr>
              <w:t>Excesos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14:paraId="6BF2E91B" w14:textId="77777777" w:rsidR="006A0670" w:rsidRPr="00F8465B" w:rsidRDefault="006A0670" w:rsidP="0014541E">
            <w:pPr>
              <w:keepLines w:val="0"/>
              <w:widowControl/>
              <w:jc w:val="center"/>
              <w:rPr>
                <w:rFonts w:ascii="Cambria" w:hAnsi="Cambria"/>
                <w:b/>
                <w:bCs/>
                <w:sz w:val="18"/>
                <w:szCs w:val="18"/>
                <w:lang w:val="es-ES"/>
              </w:rPr>
            </w:pPr>
            <w:r w:rsidRPr="00F8465B">
              <w:rPr>
                <w:rFonts w:ascii="Cambria" w:hAnsi="Cambria"/>
                <w:b/>
                <w:bCs/>
                <w:sz w:val="18"/>
                <w:szCs w:val="18"/>
                <w:lang w:val="es-ES"/>
              </w:rPr>
              <w:t>Aplicaciones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60E5B1D5" w14:textId="77777777" w:rsidR="006A0670" w:rsidRPr="00F8465B" w:rsidRDefault="006A0670" w:rsidP="0014541E">
            <w:pPr>
              <w:keepLines w:val="0"/>
              <w:widowControl/>
              <w:jc w:val="center"/>
              <w:rPr>
                <w:rFonts w:ascii="Cambria" w:hAnsi="Cambria"/>
                <w:b/>
                <w:bCs/>
                <w:sz w:val="18"/>
                <w:szCs w:val="18"/>
                <w:lang w:val="es-ES"/>
              </w:rPr>
            </w:pPr>
            <w:r>
              <w:rPr>
                <w:rFonts w:ascii="Cambria" w:hAnsi="Cambria"/>
                <w:b/>
                <w:bCs/>
                <w:sz w:val="18"/>
                <w:szCs w:val="18"/>
                <w:lang w:val="es-ES"/>
              </w:rPr>
              <w:t>Saldo al 31.12.19</w:t>
            </w:r>
          </w:p>
        </w:tc>
      </w:tr>
      <w:tr w:rsidR="006A0670" w:rsidRPr="00F8465B" w14:paraId="350798C0" w14:textId="77777777" w:rsidTr="0014541E">
        <w:trPr>
          <w:trHeight w:val="245"/>
          <w:jc w:val="center"/>
        </w:trPr>
        <w:tc>
          <w:tcPr>
            <w:tcW w:w="2303" w:type="dxa"/>
            <w:tcBorders>
              <w:left w:val="single" w:sz="4" w:space="0" w:color="auto"/>
              <w:right w:val="single" w:sz="4" w:space="0" w:color="auto"/>
            </w:tcBorders>
            <w:shd w:val="clear" w:color="auto" w:fill="FFFFFF"/>
            <w:noWrap/>
            <w:vAlign w:val="center"/>
          </w:tcPr>
          <w:p w14:paraId="5B250BC4" w14:textId="77777777" w:rsidR="006A0670" w:rsidRDefault="006A0670" w:rsidP="0014541E">
            <w:pPr>
              <w:keepLines w:val="0"/>
              <w:widowControl/>
              <w:jc w:val="left"/>
              <w:rPr>
                <w:rFonts w:ascii="Cambria" w:hAnsi="Cambria" w:cs="Arial"/>
                <w:sz w:val="18"/>
                <w:szCs w:val="18"/>
                <w:lang w:val="es-ES"/>
              </w:rPr>
            </w:pPr>
            <w:r>
              <w:rPr>
                <w:rFonts w:ascii="Cambria" w:hAnsi="Cambria" w:cs="Arial"/>
                <w:sz w:val="18"/>
                <w:szCs w:val="18"/>
              </w:rPr>
              <w:t>Litigios</w:t>
            </w:r>
          </w:p>
        </w:tc>
        <w:tc>
          <w:tcPr>
            <w:tcW w:w="992" w:type="dxa"/>
            <w:tcBorders>
              <w:left w:val="single" w:sz="4" w:space="0" w:color="auto"/>
              <w:right w:val="single" w:sz="4" w:space="0" w:color="auto"/>
            </w:tcBorders>
            <w:shd w:val="clear" w:color="auto" w:fill="FFFFFF"/>
            <w:vAlign w:val="center"/>
          </w:tcPr>
          <w:p w14:paraId="37414EAC" w14:textId="77777777" w:rsidR="006A0670" w:rsidRDefault="006A0670" w:rsidP="0014541E">
            <w:pPr>
              <w:jc w:val="right"/>
              <w:rPr>
                <w:rFonts w:ascii="Cambria" w:hAnsi="Cambria" w:cs="Arial"/>
                <w:b/>
                <w:bCs/>
                <w:sz w:val="18"/>
                <w:szCs w:val="18"/>
              </w:rPr>
            </w:pPr>
            <w:r>
              <w:rPr>
                <w:rFonts w:ascii="Cambria" w:hAnsi="Cambria" w:cs="Arial"/>
                <w:sz w:val="18"/>
                <w:szCs w:val="18"/>
              </w:rPr>
              <w:t>102.634</w:t>
            </w:r>
          </w:p>
        </w:tc>
        <w:tc>
          <w:tcPr>
            <w:tcW w:w="1134" w:type="dxa"/>
            <w:tcBorders>
              <w:left w:val="single" w:sz="4" w:space="0" w:color="auto"/>
              <w:right w:val="single" w:sz="4" w:space="0" w:color="auto"/>
            </w:tcBorders>
            <w:shd w:val="clear" w:color="auto" w:fill="FFFFFF"/>
            <w:noWrap/>
            <w:vAlign w:val="center"/>
          </w:tcPr>
          <w:p w14:paraId="5F73E89C" w14:textId="77777777" w:rsidR="006A0670" w:rsidRPr="00F30349" w:rsidRDefault="006A0670" w:rsidP="0014541E">
            <w:pPr>
              <w:jc w:val="right"/>
              <w:rPr>
                <w:rFonts w:ascii="Cambria" w:hAnsi="Cambria" w:cs="Arial"/>
                <w:bCs/>
                <w:sz w:val="18"/>
                <w:szCs w:val="18"/>
              </w:rPr>
            </w:pPr>
            <w:r w:rsidRPr="00F30349">
              <w:rPr>
                <w:rFonts w:ascii="Cambria" w:hAnsi="Cambria" w:cs="Arial"/>
                <w:bCs/>
                <w:sz w:val="18"/>
                <w:szCs w:val="18"/>
              </w:rPr>
              <w:t>34</w:t>
            </w:r>
          </w:p>
        </w:tc>
        <w:tc>
          <w:tcPr>
            <w:tcW w:w="1095" w:type="dxa"/>
            <w:tcBorders>
              <w:left w:val="single" w:sz="4" w:space="0" w:color="auto"/>
              <w:right w:val="single" w:sz="4" w:space="0" w:color="auto"/>
            </w:tcBorders>
            <w:shd w:val="clear" w:color="auto" w:fill="FFFFFF"/>
          </w:tcPr>
          <w:p w14:paraId="7CAF977D" w14:textId="77777777" w:rsidR="006A0670" w:rsidRPr="00F30349" w:rsidRDefault="006A0670" w:rsidP="0014541E">
            <w:pPr>
              <w:jc w:val="right"/>
              <w:rPr>
                <w:rFonts w:ascii="Cambria" w:hAnsi="Cambria" w:cs="Arial"/>
                <w:bCs/>
                <w:sz w:val="18"/>
                <w:szCs w:val="18"/>
              </w:rPr>
            </w:pPr>
            <w:r w:rsidRPr="00F30349">
              <w:rPr>
                <w:rFonts w:ascii="Cambria" w:hAnsi="Cambria" w:cs="Arial"/>
                <w:bCs/>
                <w:sz w:val="18"/>
                <w:szCs w:val="18"/>
              </w:rPr>
              <w:t>(2.696)</w:t>
            </w:r>
          </w:p>
        </w:tc>
        <w:tc>
          <w:tcPr>
            <w:tcW w:w="1275" w:type="dxa"/>
            <w:tcBorders>
              <w:left w:val="single" w:sz="4" w:space="0" w:color="auto"/>
              <w:right w:val="single" w:sz="4" w:space="0" w:color="auto"/>
            </w:tcBorders>
            <w:shd w:val="clear" w:color="auto" w:fill="FFFFFF"/>
            <w:noWrap/>
            <w:vAlign w:val="center"/>
          </w:tcPr>
          <w:p w14:paraId="7753890C" w14:textId="77777777" w:rsidR="006A0670" w:rsidRPr="00F30349" w:rsidRDefault="006A0670" w:rsidP="0014541E">
            <w:pPr>
              <w:jc w:val="center"/>
              <w:rPr>
                <w:rFonts w:ascii="Cambria" w:hAnsi="Cambria" w:cs="Arial"/>
                <w:bCs/>
                <w:sz w:val="18"/>
                <w:szCs w:val="18"/>
              </w:rPr>
            </w:pPr>
            <w:r w:rsidRPr="00F30349">
              <w:rPr>
                <w:rFonts w:ascii="Cambria" w:hAnsi="Cambria" w:cs="Arial"/>
                <w:bCs/>
                <w:sz w:val="18"/>
                <w:szCs w:val="18"/>
              </w:rPr>
              <w:t>-</w:t>
            </w:r>
          </w:p>
        </w:tc>
        <w:tc>
          <w:tcPr>
            <w:tcW w:w="1134" w:type="dxa"/>
            <w:tcBorders>
              <w:left w:val="single" w:sz="4" w:space="0" w:color="auto"/>
              <w:right w:val="single" w:sz="4" w:space="0" w:color="auto"/>
            </w:tcBorders>
            <w:shd w:val="clear" w:color="auto" w:fill="FFFFFF"/>
            <w:noWrap/>
            <w:vAlign w:val="center"/>
          </w:tcPr>
          <w:p w14:paraId="5ABD8E43" w14:textId="77777777" w:rsidR="006A0670" w:rsidRDefault="006A0670" w:rsidP="0014541E">
            <w:pPr>
              <w:jc w:val="right"/>
              <w:rPr>
                <w:rFonts w:ascii="Cambria" w:hAnsi="Cambria" w:cs="Arial"/>
                <w:sz w:val="18"/>
                <w:szCs w:val="18"/>
              </w:rPr>
            </w:pPr>
            <w:r>
              <w:rPr>
                <w:rFonts w:ascii="Cambria" w:hAnsi="Cambria" w:cs="Arial"/>
                <w:sz w:val="18"/>
                <w:szCs w:val="18"/>
              </w:rPr>
              <w:t>99.972</w:t>
            </w:r>
          </w:p>
        </w:tc>
      </w:tr>
      <w:tr w:rsidR="006A0670" w:rsidRPr="00F8465B" w14:paraId="1EDDD554" w14:textId="77777777" w:rsidTr="0014541E">
        <w:trPr>
          <w:trHeight w:val="245"/>
          <w:jc w:val="center"/>
        </w:trPr>
        <w:tc>
          <w:tcPr>
            <w:tcW w:w="2303" w:type="dxa"/>
            <w:tcBorders>
              <w:left w:val="single" w:sz="4" w:space="0" w:color="auto"/>
              <w:right w:val="single" w:sz="4" w:space="0" w:color="auto"/>
            </w:tcBorders>
            <w:shd w:val="clear" w:color="auto" w:fill="FFFFFF"/>
            <w:noWrap/>
            <w:vAlign w:val="center"/>
          </w:tcPr>
          <w:p w14:paraId="7F7BD39D" w14:textId="77777777" w:rsidR="006A0670" w:rsidRDefault="006A0670" w:rsidP="0014541E">
            <w:pPr>
              <w:jc w:val="left"/>
              <w:rPr>
                <w:rFonts w:ascii="Cambria" w:hAnsi="Cambria" w:cs="Arial"/>
                <w:sz w:val="18"/>
                <w:szCs w:val="18"/>
              </w:rPr>
            </w:pPr>
            <w:r>
              <w:rPr>
                <w:rFonts w:ascii="Cambria" w:hAnsi="Cambria" w:cs="Arial"/>
                <w:bCs/>
                <w:sz w:val="18"/>
                <w:szCs w:val="18"/>
              </w:rPr>
              <w:t xml:space="preserve">Otras responsabilidades </w:t>
            </w:r>
          </w:p>
        </w:tc>
        <w:tc>
          <w:tcPr>
            <w:tcW w:w="992" w:type="dxa"/>
            <w:tcBorders>
              <w:left w:val="single" w:sz="4" w:space="0" w:color="auto"/>
              <w:right w:val="single" w:sz="4" w:space="0" w:color="auto"/>
            </w:tcBorders>
            <w:shd w:val="clear" w:color="auto" w:fill="FFFFFF"/>
            <w:vAlign w:val="center"/>
          </w:tcPr>
          <w:p w14:paraId="4C723462" w14:textId="77777777" w:rsidR="006A0670" w:rsidRDefault="006A0670" w:rsidP="0014541E">
            <w:pPr>
              <w:jc w:val="right"/>
              <w:rPr>
                <w:rFonts w:ascii="Cambria" w:hAnsi="Cambria" w:cs="Arial"/>
                <w:sz w:val="18"/>
                <w:szCs w:val="18"/>
              </w:rPr>
            </w:pPr>
            <w:r>
              <w:rPr>
                <w:rFonts w:ascii="Cambria" w:hAnsi="Cambria" w:cs="Arial"/>
                <w:sz w:val="18"/>
                <w:szCs w:val="18"/>
              </w:rPr>
              <w:t>80</w:t>
            </w:r>
          </w:p>
        </w:tc>
        <w:tc>
          <w:tcPr>
            <w:tcW w:w="1134" w:type="dxa"/>
            <w:tcBorders>
              <w:left w:val="single" w:sz="4" w:space="0" w:color="auto"/>
              <w:right w:val="single" w:sz="4" w:space="0" w:color="auto"/>
            </w:tcBorders>
            <w:shd w:val="clear" w:color="auto" w:fill="FFFFFF"/>
            <w:noWrap/>
            <w:vAlign w:val="center"/>
          </w:tcPr>
          <w:p w14:paraId="5450614D" w14:textId="77777777" w:rsidR="006A0670" w:rsidRDefault="006A0670" w:rsidP="0014541E">
            <w:pPr>
              <w:jc w:val="right"/>
              <w:rPr>
                <w:rFonts w:ascii="Cambria" w:hAnsi="Cambria" w:cs="Arial"/>
                <w:sz w:val="18"/>
                <w:szCs w:val="18"/>
              </w:rPr>
            </w:pPr>
            <w:r>
              <w:rPr>
                <w:rFonts w:ascii="Cambria" w:hAnsi="Cambria" w:cs="Arial"/>
                <w:sz w:val="18"/>
                <w:szCs w:val="18"/>
              </w:rPr>
              <w:t>1</w:t>
            </w:r>
          </w:p>
        </w:tc>
        <w:tc>
          <w:tcPr>
            <w:tcW w:w="1095" w:type="dxa"/>
            <w:tcBorders>
              <w:left w:val="single" w:sz="4" w:space="0" w:color="auto"/>
              <w:right w:val="single" w:sz="4" w:space="0" w:color="auto"/>
            </w:tcBorders>
            <w:shd w:val="clear" w:color="auto" w:fill="FFFFFF"/>
          </w:tcPr>
          <w:p w14:paraId="2AB1AEAD" w14:textId="77777777" w:rsidR="006A0670" w:rsidRDefault="006A0670" w:rsidP="0014541E">
            <w:pPr>
              <w:jc w:val="center"/>
              <w:rPr>
                <w:rFonts w:ascii="Cambria" w:hAnsi="Cambria" w:cs="Arial"/>
                <w:sz w:val="18"/>
                <w:szCs w:val="18"/>
              </w:rPr>
            </w:pPr>
            <w:r>
              <w:rPr>
                <w:rFonts w:ascii="Cambria" w:hAnsi="Cambria" w:cs="Arial"/>
                <w:sz w:val="18"/>
                <w:szCs w:val="18"/>
              </w:rPr>
              <w:t>-</w:t>
            </w:r>
          </w:p>
        </w:tc>
        <w:tc>
          <w:tcPr>
            <w:tcW w:w="1275" w:type="dxa"/>
            <w:tcBorders>
              <w:left w:val="single" w:sz="4" w:space="0" w:color="auto"/>
              <w:right w:val="single" w:sz="4" w:space="0" w:color="auto"/>
            </w:tcBorders>
            <w:shd w:val="clear" w:color="auto" w:fill="FFFFFF"/>
            <w:noWrap/>
            <w:vAlign w:val="bottom"/>
          </w:tcPr>
          <w:p w14:paraId="7D86E54E" w14:textId="77777777" w:rsidR="006A0670" w:rsidRDefault="006A0670" w:rsidP="0014541E">
            <w:pPr>
              <w:jc w:val="right"/>
              <w:rPr>
                <w:rFonts w:ascii="Cambria" w:hAnsi="Cambria" w:cs="Arial"/>
                <w:sz w:val="18"/>
                <w:szCs w:val="18"/>
              </w:rPr>
            </w:pPr>
            <w:r>
              <w:rPr>
                <w:rFonts w:ascii="Cambria" w:hAnsi="Cambria" w:cs="Arial"/>
                <w:sz w:val="18"/>
                <w:szCs w:val="18"/>
              </w:rPr>
              <w:t>(27)</w:t>
            </w:r>
          </w:p>
        </w:tc>
        <w:tc>
          <w:tcPr>
            <w:tcW w:w="1134" w:type="dxa"/>
            <w:tcBorders>
              <w:left w:val="single" w:sz="4" w:space="0" w:color="auto"/>
              <w:right w:val="single" w:sz="4" w:space="0" w:color="auto"/>
            </w:tcBorders>
            <w:shd w:val="clear" w:color="auto" w:fill="FFFFFF"/>
            <w:noWrap/>
            <w:vAlign w:val="center"/>
          </w:tcPr>
          <w:p w14:paraId="3B17E5F6" w14:textId="77777777" w:rsidR="006A0670" w:rsidRDefault="006A0670" w:rsidP="0014541E">
            <w:pPr>
              <w:jc w:val="right"/>
              <w:rPr>
                <w:rFonts w:ascii="Cambria" w:hAnsi="Cambria" w:cs="Arial"/>
                <w:sz w:val="18"/>
                <w:szCs w:val="18"/>
              </w:rPr>
            </w:pPr>
            <w:r>
              <w:rPr>
                <w:rFonts w:ascii="Cambria" w:hAnsi="Cambria" w:cs="Arial"/>
                <w:sz w:val="18"/>
                <w:szCs w:val="18"/>
              </w:rPr>
              <w:t>54</w:t>
            </w:r>
          </w:p>
        </w:tc>
      </w:tr>
      <w:tr w:rsidR="006A0670" w:rsidRPr="00F8465B" w14:paraId="7F24C62B" w14:textId="77777777" w:rsidTr="0014541E">
        <w:trPr>
          <w:trHeight w:val="241"/>
          <w:jc w:val="center"/>
        </w:trPr>
        <w:tc>
          <w:tcPr>
            <w:tcW w:w="230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4DAB84" w14:textId="77777777" w:rsidR="006A0670" w:rsidRDefault="006A0670" w:rsidP="0014541E">
            <w:pPr>
              <w:jc w:val="left"/>
              <w:rPr>
                <w:rFonts w:ascii="Cambria" w:hAnsi="Cambria" w:cs="Arial"/>
                <w:b/>
                <w:bCs/>
                <w:sz w:val="18"/>
                <w:szCs w:val="18"/>
              </w:rPr>
            </w:pPr>
            <w:r>
              <w:rPr>
                <w:rFonts w:ascii="Cambria" w:hAnsi="Cambria" w:cs="Arial"/>
                <w:b/>
                <w:bCs/>
                <w:sz w:val="18"/>
                <w:szCs w:val="18"/>
              </w:rPr>
              <w:t>Total a corto plazo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B9C30B" w14:textId="77777777" w:rsidR="006A0670" w:rsidRDefault="006A0670" w:rsidP="0014541E">
            <w:pPr>
              <w:jc w:val="right"/>
              <w:rPr>
                <w:rFonts w:ascii="Cambria" w:hAnsi="Cambria" w:cs="Arial"/>
                <w:b/>
                <w:bCs/>
                <w:sz w:val="18"/>
                <w:szCs w:val="18"/>
              </w:rPr>
            </w:pPr>
            <w:r>
              <w:rPr>
                <w:rFonts w:ascii="Cambria" w:hAnsi="Cambria" w:cs="Arial"/>
                <w:b/>
                <w:bCs/>
                <w:sz w:val="18"/>
                <w:szCs w:val="18"/>
              </w:rPr>
              <w:t xml:space="preserve">102.714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7C3989" w14:textId="77777777" w:rsidR="006A0670" w:rsidRDefault="006A0670" w:rsidP="0014541E">
            <w:pPr>
              <w:jc w:val="right"/>
              <w:rPr>
                <w:rFonts w:ascii="Cambria" w:hAnsi="Cambria" w:cs="Arial"/>
                <w:b/>
                <w:bCs/>
                <w:sz w:val="18"/>
                <w:szCs w:val="18"/>
              </w:rPr>
            </w:pPr>
            <w:r>
              <w:rPr>
                <w:rFonts w:ascii="Cambria" w:hAnsi="Cambria" w:cs="Arial"/>
                <w:b/>
                <w:bCs/>
                <w:sz w:val="18"/>
                <w:szCs w:val="18"/>
              </w:rPr>
              <w:t>35</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14:paraId="2EB833FB" w14:textId="77777777" w:rsidR="006A0670" w:rsidRDefault="006A0670" w:rsidP="0014541E">
            <w:pPr>
              <w:jc w:val="right"/>
              <w:rPr>
                <w:rFonts w:ascii="Cambria" w:hAnsi="Cambria" w:cs="Arial"/>
                <w:b/>
                <w:bCs/>
                <w:sz w:val="18"/>
                <w:szCs w:val="18"/>
              </w:rPr>
            </w:pPr>
            <w:r>
              <w:rPr>
                <w:rFonts w:ascii="Cambria" w:hAnsi="Cambria" w:cs="Arial"/>
                <w:b/>
                <w:bCs/>
                <w:sz w:val="18"/>
                <w:szCs w:val="18"/>
              </w:rPr>
              <w:t>(2.696)</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AEFDB8" w14:textId="77777777" w:rsidR="006A0670" w:rsidRDefault="006A0670" w:rsidP="0014541E">
            <w:pPr>
              <w:jc w:val="right"/>
              <w:rPr>
                <w:rFonts w:ascii="Cambria" w:hAnsi="Cambria" w:cs="Arial"/>
                <w:b/>
                <w:bCs/>
                <w:sz w:val="18"/>
                <w:szCs w:val="18"/>
              </w:rPr>
            </w:pPr>
            <w:r>
              <w:rPr>
                <w:rFonts w:ascii="Cambria" w:hAnsi="Cambria" w:cs="Arial"/>
                <w:b/>
                <w:bCs/>
                <w:sz w:val="18"/>
                <w:szCs w:val="18"/>
              </w:rPr>
              <w:t>(27)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487E5F" w14:textId="77777777" w:rsidR="006A0670" w:rsidRDefault="006A0670" w:rsidP="0014541E">
            <w:pPr>
              <w:jc w:val="right"/>
              <w:rPr>
                <w:rFonts w:ascii="Cambria" w:hAnsi="Cambria" w:cs="Arial"/>
                <w:b/>
                <w:bCs/>
                <w:sz w:val="18"/>
                <w:szCs w:val="18"/>
              </w:rPr>
            </w:pPr>
            <w:r>
              <w:rPr>
                <w:rFonts w:ascii="Cambria" w:hAnsi="Cambria" w:cs="Arial"/>
                <w:b/>
                <w:bCs/>
                <w:sz w:val="18"/>
                <w:szCs w:val="18"/>
              </w:rPr>
              <w:t>100.026</w:t>
            </w:r>
          </w:p>
        </w:tc>
      </w:tr>
    </w:tbl>
    <w:p w14:paraId="54FB1835" w14:textId="77777777" w:rsidR="00272894" w:rsidRDefault="00272894" w:rsidP="00272894">
      <w:pPr>
        <w:keepLines w:val="0"/>
        <w:widowControl/>
        <w:jc w:val="left"/>
        <w:rPr>
          <w:rFonts w:ascii="Cambria" w:hAnsi="Cambria"/>
          <w:i/>
          <w:sz w:val="24"/>
          <w:szCs w:val="24"/>
        </w:rPr>
      </w:pPr>
    </w:p>
    <w:p w14:paraId="47DADCA2" w14:textId="7AEDED92" w:rsidR="00356B0D" w:rsidRPr="00F8465B" w:rsidRDefault="00272894" w:rsidP="00272894">
      <w:pPr>
        <w:keepLines w:val="0"/>
        <w:widowControl/>
        <w:jc w:val="left"/>
        <w:rPr>
          <w:rFonts w:ascii="Cambria" w:hAnsi="Cambria"/>
          <w:i/>
          <w:sz w:val="24"/>
          <w:szCs w:val="24"/>
        </w:rPr>
      </w:pPr>
      <w:r>
        <w:rPr>
          <w:rFonts w:ascii="Cambria" w:hAnsi="Cambria"/>
          <w:i/>
          <w:sz w:val="24"/>
          <w:szCs w:val="24"/>
        </w:rPr>
        <w:t xml:space="preserve">           </w:t>
      </w:r>
      <w:r w:rsidR="00356B0D" w:rsidRPr="00F8465B">
        <w:rPr>
          <w:rFonts w:ascii="Cambria" w:hAnsi="Cambria"/>
          <w:i/>
          <w:sz w:val="24"/>
          <w:szCs w:val="24"/>
        </w:rPr>
        <w:t>Provisiones por litigios</w:t>
      </w:r>
      <w:r w:rsidR="00D859C6">
        <w:rPr>
          <w:rFonts w:ascii="Cambria" w:hAnsi="Cambria"/>
          <w:i/>
          <w:sz w:val="24"/>
          <w:szCs w:val="24"/>
        </w:rPr>
        <w:t xml:space="preserve"> </w:t>
      </w:r>
    </w:p>
    <w:p w14:paraId="324F0234" w14:textId="77777777" w:rsidR="00356B0D" w:rsidRPr="00F8465B" w:rsidRDefault="00356B0D" w:rsidP="00283492">
      <w:pPr>
        <w:pStyle w:val="Ttulo1a"/>
        <w:ind w:left="567"/>
        <w:rPr>
          <w:rFonts w:ascii="Cambria" w:hAnsi="Cambria"/>
          <w:sz w:val="24"/>
          <w:szCs w:val="24"/>
        </w:rPr>
      </w:pPr>
    </w:p>
    <w:p w14:paraId="1C144615" w14:textId="3A2429F5" w:rsidR="0038002D" w:rsidRDefault="003172B1" w:rsidP="00283492">
      <w:pPr>
        <w:pStyle w:val="Ttulo1a"/>
        <w:ind w:left="567"/>
        <w:rPr>
          <w:rFonts w:ascii="Cambria" w:hAnsi="Cambria"/>
          <w:sz w:val="24"/>
          <w:szCs w:val="24"/>
        </w:rPr>
      </w:pPr>
      <w:r w:rsidRPr="00F8465B">
        <w:rPr>
          <w:rFonts w:ascii="Cambria" w:hAnsi="Cambria"/>
          <w:sz w:val="24"/>
          <w:szCs w:val="24"/>
        </w:rPr>
        <w:t>La dotación realizada en el año 20</w:t>
      </w:r>
      <w:r w:rsidR="0014541E">
        <w:rPr>
          <w:rFonts w:ascii="Cambria" w:hAnsi="Cambria"/>
          <w:sz w:val="24"/>
          <w:szCs w:val="24"/>
        </w:rPr>
        <w:t>20</w:t>
      </w:r>
      <w:r w:rsidRPr="00F8465B">
        <w:rPr>
          <w:rFonts w:ascii="Cambria" w:hAnsi="Cambria"/>
          <w:sz w:val="24"/>
          <w:szCs w:val="24"/>
        </w:rPr>
        <w:t xml:space="preserve"> ha </w:t>
      </w:r>
      <w:r w:rsidRPr="001071A7">
        <w:rPr>
          <w:rFonts w:ascii="Cambria" w:hAnsi="Cambria"/>
          <w:sz w:val="24"/>
          <w:szCs w:val="24"/>
        </w:rPr>
        <w:t xml:space="preserve">ascendido a </w:t>
      </w:r>
      <w:r w:rsidR="0018112D">
        <w:rPr>
          <w:rFonts w:ascii="Cambria" w:hAnsi="Cambria"/>
          <w:sz w:val="24"/>
          <w:szCs w:val="24"/>
        </w:rPr>
        <w:t>7.592</w:t>
      </w:r>
      <w:r w:rsidR="0014541E" w:rsidRPr="001071A7">
        <w:rPr>
          <w:rFonts w:ascii="Cambria" w:hAnsi="Cambria"/>
          <w:sz w:val="24"/>
          <w:szCs w:val="24"/>
        </w:rPr>
        <w:t xml:space="preserve"> </w:t>
      </w:r>
      <w:r w:rsidRPr="001071A7">
        <w:rPr>
          <w:rFonts w:ascii="Cambria" w:hAnsi="Cambria"/>
          <w:sz w:val="24"/>
          <w:szCs w:val="24"/>
        </w:rPr>
        <w:t>miles</w:t>
      </w:r>
      <w:r w:rsidRPr="000D20D6">
        <w:rPr>
          <w:rFonts w:ascii="Cambria" w:hAnsi="Cambria"/>
          <w:sz w:val="24"/>
          <w:szCs w:val="24"/>
        </w:rPr>
        <w:t xml:space="preserve"> de euros</w:t>
      </w:r>
      <w:r w:rsidRPr="0060717E">
        <w:rPr>
          <w:rFonts w:ascii="Cambria" w:hAnsi="Cambria"/>
          <w:sz w:val="24"/>
          <w:szCs w:val="24"/>
        </w:rPr>
        <w:t xml:space="preserve"> (</w:t>
      </w:r>
      <w:r w:rsidR="0014541E">
        <w:rPr>
          <w:rFonts w:ascii="Cambria" w:hAnsi="Cambria"/>
          <w:sz w:val="24"/>
          <w:szCs w:val="24"/>
        </w:rPr>
        <w:t>3.275</w:t>
      </w:r>
      <w:r w:rsidR="006E1585" w:rsidRPr="00F8465B">
        <w:rPr>
          <w:rFonts w:ascii="Cambria" w:hAnsi="Cambria"/>
          <w:sz w:val="24"/>
          <w:szCs w:val="24"/>
        </w:rPr>
        <w:t xml:space="preserve"> </w:t>
      </w:r>
      <w:r w:rsidRPr="00F8465B">
        <w:rPr>
          <w:rFonts w:ascii="Cambria" w:hAnsi="Cambria"/>
          <w:sz w:val="24"/>
          <w:szCs w:val="24"/>
        </w:rPr>
        <w:t>miles de euros en 201</w:t>
      </w:r>
      <w:r w:rsidR="0014541E">
        <w:rPr>
          <w:rFonts w:ascii="Cambria" w:hAnsi="Cambria"/>
          <w:sz w:val="24"/>
          <w:szCs w:val="24"/>
        </w:rPr>
        <w:t>9</w:t>
      </w:r>
      <w:r w:rsidRPr="00F8465B">
        <w:rPr>
          <w:rFonts w:ascii="Cambria" w:hAnsi="Cambria"/>
          <w:sz w:val="24"/>
          <w:szCs w:val="24"/>
        </w:rPr>
        <w:t xml:space="preserve">) y se encuentra registrada en el epígrafe “Otros gastos de gestión corriente” de la cuenta de pérdidas y ganancias adjunta. </w:t>
      </w:r>
    </w:p>
    <w:p w14:paraId="50D14827" w14:textId="77777777" w:rsidR="00240425" w:rsidRDefault="00240425" w:rsidP="00C407D3"/>
    <w:p w14:paraId="1A042305" w14:textId="3893CDBD" w:rsidR="000D20D6" w:rsidRPr="00CD3DD1" w:rsidRDefault="00D93B21" w:rsidP="000D20D6">
      <w:pPr>
        <w:keepLines w:val="0"/>
        <w:widowControl/>
        <w:shd w:val="clear" w:color="auto" w:fill="FFFFFF" w:themeFill="background1"/>
        <w:ind w:left="567"/>
        <w:rPr>
          <w:rFonts w:ascii="Cambria" w:eastAsiaTheme="minorHAnsi" w:hAnsi="Cambria" w:cs="Arial"/>
          <w:bCs/>
          <w:sz w:val="24"/>
          <w:szCs w:val="24"/>
          <w:lang w:val="es-ES" w:eastAsia="en-US"/>
        </w:rPr>
      </w:pPr>
      <w:r w:rsidRPr="00CD3DD1">
        <w:rPr>
          <w:rFonts w:ascii="Cambria" w:eastAsiaTheme="minorHAnsi" w:hAnsi="Cambria" w:cs="Arial"/>
          <w:bCs/>
          <w:sz w:val="24"/>
          <w:szCs w:val="24"/>
          <w:lang w:val="es-ES" w:eastAsia="en-US"/>
        </w:rPr>
        <w:t>De l</w:t>
      </w:r>
      <w:r w:rsidR="003172B1" w:rsidRPr="00CD3DD1">
        <w:rPr>
          <w:rFonts w:ascii="Cambria" w:eastAsiaTheme="minorHAnsi" w:hAnsi="Cambria" w:cs="Arial"/>
          <w:bCs/>
          <w:sz w:val="24"/>
          <w:szCs w:val="24"/>
          <w:lang w:val="es-ES" w:eastAsia="en-US"/>
        </w:rPr>
        <w:t xml:space="preserve">as provisiones dotadas </w:t>
      </w:r>
      <w:r w:rsidR="00BB01A7" w:rsidRPr="00CD3DD1">
        <w:rPr>
          <w:rFonts w:ascii="Cambria" w:eastAsiaTheme="minorHAnsi" w:hAnsi="Cambria" w:cs="Arial"/>
          <w:bCs/>
          <w:sz w:val="24"/>
          <w:szCs w:val="24"/>
          <w:lang w:val="es-ES" w:eastAsia="en-US"/>
        </w:rPr>
        <w:t>en el ejercicio 20</w:t>
      </w:r>
      <w:r w:rsidR="0014541E">
        <w:rPr>
          <w:rFonts w:ascii="Cambria" w:eastAsiaTheme="minorHAnsi" w:hAnsi="Cambria" w:cs="Arial"/>
          <w:bCs/>
          <w:sz w:val="24"/>
          <w:szCs w:val="24"/>
          <w:lang w:val="es-ES" w:eastAsia="en-US"/>
        </w:rPr>
        <w:t>20</w:t>
      </w:r>
      <w:r w:rsidR="001D0D74" w:rsidRPr="0020729D">
        <w:rPr>
          <w:rFonts w:ascii="Cambria" w:eastAsiaTheme="minorHAnsi" w:hAnsi="Cambria" w:cs="Arial"/>
          <w:bCs/>
          <w:sz w:val="24"/>
          <w:szCs w:val="24"/>
          <w:lang w:val="es-ES" w:eastAsia="en-US"/>
        </w:rPr>
        <w:t>,</w:t>
      </w:r>
      <w:r w:rsidRPr="0020729D">
        <w:rPr>
          <w:rFonts w:ascii="Cambria" w:eastAsiaTheme="minorHAnsi" w:hAnsi="Cambria" w:cs="Arial"/>
          <w:bCs/>
          <w:sz w:val="24"/>
          <w:szCs w:val="24"/>
          <w:lang w:val="es-ES" w:eastAsia="en-US"/>
        </w:rPr>
        <w:t xml:space="preserve"> </w:t>
      </w:r>
      <w:r w:rsidR="0020729D">
        <w:rPr>
          <w:rFonts w:ascii="Cambria" w:eastAsiaTheme="minorHAnsi" w:hAnsi="Cambria" w:cs="Arial"/>
          <w:bCs/>
          <w:sz w:val="24"/>
          <w:szCs w:val="24"/>
          <w:lang w:val="es-ES" w:eastAsia="en-US"/>
        </w:rPr>
        <w:t>1.624</w:t>
      </w:r>
      <w:r w:rsidRPr="0020729D">
        <w:rPr>
          <w:rFonts w:ascii="Cambria" w:eastAsiaTheme="minorHAnsi" w:hAnsi="Cambria" w:cs="Arial"/>
          <w:bCs/>
          <w:sz w:val="24"/>
          <w:szCs w:val="24"/>
          <w:lang w:val="es-ES" w:eastAsia="en-US"/>
        </w:rPr>
        <w:t xml:space="preserve"> miles de</w:t>
      </w:r>
      <w:r w:rsidR="0060717E" w:rsidRPr="0020729D">
        <w:rPr>
          <w:rFonts w:ascii="Cambria" w:eastAsiaTheme="minorHAnsi" w:hAnsi="Cambria" w:cs="Arial"/>
          <w:bCs/>
          <w:sz w:val="24"/>
          <w:szCs w:val="24"/>
          <w:lang w:val="es-ES" w:eastAsia="en-US"/>
        </w:rPr>
        <w:t xml:space="preserve"> euros</w:t>
      </w:r>
      <w:r w:rsidR="00A8640A" w:rsidRPr="0020729D">
        <w:rPr>
          <w:rFonts w:ascii="Cambria" w:eastAsiaTheme="minorHAnsi" w:hAnsi="Cambria" w:cs="Arial"/>
          <w:bCs/>
          <w:sz w:val="24"/>
          <w:szCs w:val="24"/>
          <w:lang w:val="es-ES" w:eastAsia="en-US"/>
        </w:rPr>
        <w:t xml:space="preserve"> (</w:t>
      </w:r>
      <w:r w:rsidR="0014541E" w:rsidRPr="0020729D">
        <w:rPr>
          <w:rFonts w:ascii="Cambria" w:eastAsiaTheme="minorHAnsi" w:hAnsi="Cambria" w:cs="Arial"/>
          <w:bCs/>
          <w:sz w:val="24"/>
          <w:szCs w:val="24"/>
          <w:lang w:val="es-ES" w:eastAsia="en-US"/>
        </w:rPr>
        <w:t>3.241</w:t>
      </w:r>
      <w:r w:rsidR="00A8640A" w:rsidRPr="0020729D">
        <w:rPr>
          <w:rFonts w:ascii="Cambria" w:eastAsiaTheme="minorHAnsi" w:hAnsi="Cambria" w:cs="Arial"/>
          <w:bCs/>
          <w:sz w:val="24"/>
          <w:szCs w:val="24"/>
          <w:lang w:val="es-ES" w:eastAsia="en-US"/>
        </w:rPr>
        <w:t xml:space="preserve"> miles de euros en el ejercicio 201</w:t>
      </w:r>
      <w:r w:rsidR="0014541E" w:rsidRPr="0020729D">
        <w:rPr>
          <w:rFonts w:ascii="Cambria" w:eastAsiaTheme="minorHAnsi" w:hAnsi="Cambria" w:cs="Arial"/>
          <w:bCs/>
          <w:sz w:val="24"/>
          <w:szCs w:val="24"/>
          <w:lang w:val="es-ES" w:eastAsia="en-US"/>
        </w:rPr>
        <w:t>9</w:t>
      </w:r>
      <w:r w:rsidR="00A8640A" w:rsidRPr="0020729D">
        <w:rPr>
          <w:rFonts w:ascii="Cambria" w:eastAsiaTheme="minorHAnsi" w:hAnsi="Cambria" w:cs="Arial"/>
          <w:bCs/>
          <w:sz w:val="24"/>
          <w:szCs w:val="24"/>
          <w:lang w:val="es-ES" w:eastAsia="en-US"/>
        </w:rPr>
        <w:t>)</w:t>
      </w:r>
      <w:r w:rsidR="0060717E" w:rsidRPr="0020729D">
        <w:rPr>
          <w:rFonts w:ascii="Cambria" w:eastAsiaTheme="minorHAnsi" w:hAnsi="Cambria" w:cs="Arial"/>
          <w:bCs/>
          <w:sz w:val="24"/>
          <w:szCs w:val="24"/>
          <w:lang w:val="es-ES" w:eastAsia="en-US"/>
        </w:rPr>
        <w:t xml:space="preserve"> corresponden</w:t>
      </w:r>
      <w:r w:rsidRPr="0020729D">
        <w:rPr>
          <w:rFonts w:ascii="Cambria" w:eastAsiaTheme="minorHAnsi" w:hAnsi="Cambria" w:cs="Arial"/>
          <w:bCs/>
          <w:sz w:val="24"/>
          <w:szCs w:val="24"/>
          <w:lang w:val="es-ES" w:eastAsia="en-US"/>
        </w:rPr>
        <w:t xml:space="preserve"> a pleitos relacionados</w:t>
      </w:r>
      <w:r w:rsidRPr="00CD3DD1">
        <w:rPr>
          <w:rFonts w:ascii="Cambria" w:eastAsiaTheme="minorHAnsi" w:hAnsi="Cambria" w:cs="Arial"/>
          <w:bCs/>
          <w:sz w:val="24"/>
          <w:szCs w:val="24"/>
          <w:lang w:val="es-ES" w:eastAsia="en-US"/>
        </w:rPr>
        <w:t xml:space="preserve"> con enfermedades laborales del personal pasivo.</w:t>
      </w:r>
      <w:r w:rsidR="0060717E" w:rsidRPr="00CD3DD1">
        <w:rPr>
          <w:rFonts w:ascii="Cambria" w:eastAsiaTheme="minorHAnsi" w:hAnsi="Cambria" w:cs="Arial"/>
          <w:bCs/>
          <w:sz w:val="24"/>
          <w:szCs w:val="24"/>
          <w:lang w:val="es-ES" w:eastAsia="en-US"/>
        </w:rPr>
        <w:t xml:space="preserve"> </w:t>
      </w:r>
      <w:r w:rsidR="000D20D6" w:rsidRPr="00CD3DD1">
        <w:rPr>
          <w:rFonts w:ascii="Cambria" w:eastAsiaTheme="minorHAnsi" w:hAnsi="Cambria" w:cs="Arial"/>
          <w:bCs/>
          <w:sz w:val="24"/>
          <w:szCs w:val="24"/>
          <w:lang w:val="es-ES" w:eastAsia="en-US"/>
        </w:rPr>
        <w:t>El</w:t>
      </w:r>
      <w:r w:rsidR="000D20D6">
        <w:rPr>
          <w:rFonts w:ascii="Cambria" w:eastAsiaTheme="minorHAnsi" w:hAnsi="Cambria" w:cs="Arial"/>
          <w:bCs/>
          <w:sz w:val="24"/>
          <w:szCs w:val="24"/>
          <w:lang w:val="es-ES" w:eastAsia="en-US"/>
        </w:rPr>
        <w:t xml:space="preserve"> importe restante</w:t>
      </w:r>
      <w:r w:rsidR="000D20D6" w:rsidRPr="000D20D6">
        <w:rPr>
          <w:rFonts w:ascii="Cambria" w:eastAsiaTheme="minorHAnsi" w:hAnsi="Cambria" w:cs="Arial"/>
          <w:bCs/>
          <w:sz w:val="24"/>
          <w:szCs w:val="24"/>
          <w:lang w:val="es-ES" w:eastAsia="en-US"/>
        </w:rPr>
        <w:t xml:space="preserve">, </w:t>
      </w:r>
      <w:r w:rsidR="001C2F9F">
        <w:rPr>
          <w:rFonts w:ascii="Cambria" w:eastAsiaTheme="minorHAnsi" w:hAnsi="Cambria" w:cs="Arial"/>
          <w:bCs/>
          <w:sz w:val="24"/>
          <w:szCs w:val="24"/>
          <w:lang w:val="es-ES" w:eastAsia="en-US"/>
        </w:rPr>
        <w:t>5.968</w:t>
      </w:r>
      <w:r w:rsidR="000D20D6" w:rsidRPr="000D20D6">
        <w:rPr>
          <w:rFonts w:ascii="Cambria" w:eastAsiaTheme="minorHAnsi" w:hAnsi="Cambria" w:cs="Arial"/>
          <w:bCs/>
          <w:sz w:val="24"/>
          <w:szCs w:val="24"/>
          <w:lang w:val="es-ES" w:eastAsia="en-US"/>
        </w:rPr>
        <w:t xml:space="preserve"> miles de euros</w:t>
      </w:r>
      <w:r w:rsidR="000D20D6">
        <w:rPr>
          <w:rFonts w:ascii="Cambria" w:eastAsiaTheme="minorHAnsi" w:hAnsi="Cambria" w:cs="Arial"/>
          <w:bCs/>
          <w:sz w:val="24"/>
          <w:szCs w:val="24"/>
          <w:lang w:val="es-ES" w:eastAsia="en-US"/>
        </w:rPr>
        <w:t xml:space="preserve"> (</w:t>
      </w:r>
      <w:r w:rsidR="0014541E">
        <w:rPr>
          <w:rFonts w:ascii="Cambria" w:eastAsiaTheme="minorHAnsi" w:hAnsi="Cambria" w:cs="Arial"/>
          <w:bCs/>
          <w:sz w:val="24"/>
          <w:szCs w:val="24"/>
          <w:lang w:val="es-ES" w:eastAsia="en-US"/>
        </w:rPr>
        <w:t>34</w:t>
      </w:r>
      <w:r w:rsidR="000D20D6">
        <w:rPr>
          <w:rFonts w:ascii="Cambria" w:eastAsiaTheme="minorHAnsi" w:hAnsi="Cambria" w:cs="Arial"/>
          <w:bCs/>
          <w:sz w:val="24"/>
          <w:szCs w:val="24"/>
          <w:lang w:val="es-ES" w:eastAsia="en-US"/>
        </w:rPr>
        <w:t xml:space="preserve"> miles de euros en el ejercicio 201</w:t>
      </w:r>
      <w:r w:rsidR="0014541E">
        <w:rPr>
          <w:rFonts w:ascii="Cambria" w:eastAsiaTheme="minorHAnsi" w:hAnsi="Cambria" w:cs="Arial"/>
          <w:bCs/>
          <w:sz w:val="24"/>
          <w:szCs w:val="24"/>
          <w:lang w:val="es-ES" w:eastAsia="en-US"/>
        </w:rPr>
        <w:t>9</w:t>
      </w:r>
      <w:r w:rsidR="000D20D6">
        <w:rPr>
          <w:rFonts w:ascii="Cambria" w:eastAsiaTheme="minorHAnsi" w:hAnsi="Cambria" w:cs="Arial"/>
          <w:bCs/>
          <w:sz w:val="24"/>
          <w:szCs w:val="24"/>
          <w:lang w:val="es-ES" w:eastAsia="en-US"/>
        </w:rPr>
        <w:t xml:space="preserve">), </w:t>
      </w:r>
      <w:r w:rsidR="000D20D6" w:rsidRPr="00CD3DD1">
        <w:rPr>
          <w:rFonts w:ascii="Cambria" w:eastAsiaTheme="minorHAnsi" w:hAnsi="Cambria" w:cs="Arial"/>
          <w:bCs/>
          <w:sz w:val="24"/>
          <w:szCs w:val="24"/>
          <w:lang w:val="es-ES" w:eastAsia="en-US"/>
        </w:rPr>
        <w:t>corresponde</w:t>
      </w:r>
      <w:r w:rsidR="000D20D6">
        <w:rPr>
          <w:rFonts w:ascii="Cambria" w:eastAsiaTheme="minorHAnsi" w:hAnsi="Cambria" w:cs="Arial"/>
          <w:bCs/>
          <w:sz w:val="24"/>
          <w:szCs w:val="24"/>
          <w:lang w:val="es-ES" w:eastAsia="en-US"/>
        </w:rPr>
        <w:t>n</w:t>
      </w:r>
      <w:r w:rsidR="000D20D6" w:rsidRPr="00CD3DD1">
        <w:rPr>
          <w:rFonts w:ascii="Cambria" w:eastAsiaTheme="minorHAnsi" w:hAnsi="Cambria" w:cs="Arial"/>
          <w:bCs/>
          <w:sz w:val="24"/>
          <w:szCs w:val="24"/>
          <w:lang w:val="es-ES" w:eastAsia="en-US"/>
        </w:rPr>
        <w:t xml:space="preserve"> a la mejor estimación de la Sociedad respecto a los posibles efectos económicos de una serie de demandas relacionadas con pleitos de integración en plantilla</w:t>
      </w:r>
      <w:r w:rsidR="000D20D6">
        <w:rPr>
          <w:rFonts w:ascii="Cambria" w:eastAsiaTheme="minorHAnsi" w:hAnsi="Cambria" w:cs="Arial"/>
          <w:bCs/>
          <w:sz w:val="24"/>
          <w:szCs w:val="24"/>
          <w:lang w:val="es-ES" w:eastAsia="en-US"/>
        </w:rPr>
        <w:t xml:space="preserve"> procedentes de la sociedad Babcock Power España S.A en concurso (BPE)</w:t>
      </w:r>
      <w:r w:rsidR="000D20D6" w:rsidRPr="00CD3DD1">
        <w:rPr>
          <w:rFonts w:ascii="Cambria" w:eastAsiaTheme="minorHAnsi" w:hAnsi="Cambria" w:cs="Arial"/>
          <w:bCs/>
          <w:sz w:val="24"/>
          <w:szCs w:val="24"/>
          <w:lang w:val="es-ES" w:eastAsia="en-US"/>
        </w:rPr>
        <w:t xml:space="preserve">. </w:t>
      </w:r>
    </w:p>
    <w:p w14:paraId="68484F1A" w14:textId="77777777" w:rsidR="000D20D6" w:rsidRDefault="000D20D6" w:rsidP="00CD3DD1">
      <w:pPr>
        <w:keepLines w:val="0"/>
        <w:widowControl/>
        <w:shd w:val="clear" w:color="auto" w:fill="FFFFFF" w:themeFill="background1"/>
        <w:ind w:left="567"/>
        <w:rPr>
          <w:rFonts w:ascii="Cambria" w:eastAsiaTheme="minorHAnsi" w:hAnsi="Cambria" w:cs="Arial"/>
          <w:bCs/>
          <w:sz w:val="24"/>
          <w:szCs w:val="24"/>
          <w:lang w:val="es-ES" w:eastAsia="en-US"/>
        </w:rPr>
      </w:pPr>
    </w:p>
    <w:p w14:paraId="04E0FF79" w14:textId="166C5E44" w:rsidR="00FB304D" w:rsidRDefault="00FB304D" w:rsidP="000D20D6">
      <w:pPr>
        <w:keepLines w:val="0"/>
        <w:widowControl/>
        <w:shd w:val="clear" w:color="auto" w:fill="FFFFFF" w:themeFill="background1"/>
        <w:ind w:left="567"/>
        <w:rPr>
          <w:rFonts w:ascii="Cambria" w:eastAsiaTheme="minorHAnsi" w:hAnsi="Cambria" w:cs="Arial"/>
          <w:bCs/>
          <w:sz w:val="24"/>
          <w:szCs w:val="24"/>
          <w:lang w:val="es-ES" w:eastAsia="en-US"/>
        </w:rPr>
      </w:pPr>
      <w:r>
        <w:rPr>
          <w:rFonts w:ascii="Cambria" w:eastAsiaTheme="minorHAnsi" w:hAnsi="Cambria" w:cs="Arial"/>
          <w:bCs/>
          <w:sz w:val="24"/>
          <w:szCs w:val="24"/>
          <w:lang w:val="es-ES" w:eastAsia="en-US"/>
        </w:rPr>
        <w:t>De l</w:t>
      </w:r>
      <w:r w:rsidR="000D20D6" w:rsidRPr="000D20D6">
        <w:rPr>
          <w:rFonts w:ascii="Cambria" w:eastAsiaTheme="minorHAnsi" w:hAnsi="Cambria" w:cs="Arial"/>
          <w:bCs/>
          <w:sz w:val="24"/>
          <w:szCs w:val="24"/>
          <w:lang w:val="es-ES" w:eastAsia="en-US"/>
        </w:rPr>
        <w:t>os excesos de provisiones habidos en el ejerci</w:t>
      </w:r>
      <w:r w:rsidR="000D20D6">
        <w:rPr>
          <w:rFonts w:ascii="Cambria" w:eastAsiaTheme="minorHAnsi" w:hAnsi="Cambria" w:cs="Arial"/>
          <w:bCs/>
          <w:sz w:val="24"/>
          <w:szCs w:val="24"/>
          <w:lang w:val="es-ES" w:eastAsia="en-US"/>
        </w:rPr>
        <w:t>cio 20</w:t>
      </w:r>
      <w:r w:rsidR="0014541E">
        <w:rPr>
          <w:rFonts w:ascii="Cambria" w:eastAsiaTheme="minorHAnsi" w:hAnsi="Cambria" w:cs="Arial"/>
          <w:bCs/>
          <w:sz w:val="24"/>
          <w:szCs w:val="24"/>
          <w:lang w:val="es-ES" w:eastAsia="en-US"/>
        </w:rPr>
        <w:t>20</w:t>
      </w:r>
      <w:r w:rsidR="0014541E" w:rsidRPr="0020729D">
        <w:rPr>
          <w:rFonts w:ascii="Cambria" w:eastAsiaTheme="minorHAnsi" w:hAnsi="Cambria" w:cs="Arial"/>
          <w:bCs/>
          <w:sz w:val="24"/>
          <w:szCs w:val="24"/>
          <w:lang w:val="es-ES" w:eastAsia="en-US"/>
        </w:rPr>
        <w:t xml:space="preserve">, </w:t>
      </w:r>
      <w:r w:rsidR="0020729D" w:rsidRPr="0020729D">
        <w:rPr>
          <w:rFonts w:ascii="Cambria" w:eastAsiaTheme="minorHAnsi" w:hAnsi="Cambria" w:cs="Arial"/>
          <w:bCs/>
          <w:sz w:val="24"/>
          <w:szCs w:val="24"/>
          <w:lang w:val="es-ES" w:eastAsia="en-US"/>
        </w:rPr>
        <w:t>1.096</w:t>
      </w:r>
      <w:r w:rsidR="0014541E" w:rsidRPr="0020729D">
        <w:rPr>
          <w:rFonts w:ascii="Cambria" w:eastAsiaTheme="minorHAnsi" w:hAnsi="Cambria" w:cs="Arial"/>
          <w:bCs/>
          <w:sz w:val="24"/>
          <w:szCs w:val="24"/>
          <w:lang w:val="es-ES" w:eastAsia="en-US"/>
        </w:rPr>
        <w:t xml:space="preserve"> miles de euros</w:t>
      </w:r>
      <w:r w:rsidR="0014541E">
        <w:rPr>
          <w:rFonts w:ascii="Cambria" w:eastAsiaTheme="minorHAnsi" w:hAnsi="Cambria" w:cs="Arial"/>
          <w:bCs/>
          <w:sz w:val="24"/>
          <w:szCs w:val="24"/>
          <w:lang w:val="es-ES" w:eastAsia="en-US"/>
        </w:rPr>
        <w:t xml:space="preserve"> </w:t>
      </w:r>
      <w:r w:rsidR="00A50046">
        <w:rPr>
          <w:rFonts w:ascii="Cambria" w:eastAsiaTheme="minorHAnsi" w:hAnsi="Cambria" w:cs="Arial"/>
          <w:bCs/>
          <w:sz w:val="24"/>
          <w:szCs w:val="24"/>
          <w:lang w:val="es-ES" w:eastAsia="en-US"/>
        </w:rPr>
        <w:t xml:space="preserve">corresponden </w:t>
      </w:r>
      <w:r w:rsidR="0014541E">
        <w:rPr>
          <w:rFonts w:ascii="Cambria" w:eastAsiaTheme="minorHAnsi" w:hAnsi="Cambria" w:cs="Arial"/>
          <w:bCs/>
          <w:sz w:val="24"/>
          <w:szCs w:val="24"/>
          <w:lang w:val="es-ES" w:eastAsia="en-US"/>
        </w:rPr>
        <w:t xml:space="preserve">a la mejor estimación citada en el párrafo anterior. </w:t>
      </w:r>
      <w:r>
        <w:rPr>
          <w:rFonts w:ascii="Cambria" w:eastAsiaTheme="minorHAnsi" w:hAnsi="Cambria" w:cs="Arial"/>
          <w:bCs/>
          <w:sz w:val="24"/>
          <w:szCs w:val="24"/>
          <w:lang w:val="es-ES" w:eastAsia="en-US"/>
        </w:rPr>
        <w:t>(</w:t>
      </w:r>
      <w:r w:rsidR="00A50046">
        <w:rPr>
          <w:rFonts w:ascii="Cambria" w:eastAsiaTheme="minorHAnsi" w:hAnsi="Cambria" w:cs="Arial"/>
          <w:bCs/>
          <w:sz w:val="24"/>
          <w:szCs w:val="24"/>
          <w:lang w:val="es-ES" w:eastAsia="en-US"/>
        </w:rPr>
        <w:t>2.696</w:t>
      </w:r>
      <w:r>
        <w:rPr>
          <w:rFonts w:ascii="Cambria" w:eastAsiaTheme="minorHAnsi" w:hAnsi="Cambria" w:cs="Arial"/>
          <w:bCs/>
          <w:sz w:val="24"/>
          <w:szCs w:val="24"/>
          <w:lang w:val="es-ES" w:eastAsia="en-US"/>
        </w:rPr>
        <w:t xml:space="preserve"> miles de euros</w:t>
      </w:r>
      <w:r w:rsidR="0014541E">
        <w:rPr>
          <w:rFonts w:ascii="Cambria" w:eastAsiaTheme="minorHAnsi" w:hAnsi="Cambria" w:cs="Arial"/>
          <w:bCs/>
          <w:sz w:val="24"/>
          <w:szCs w:val="24"/>
          <w:lang w:val="es-ES" w:eastAsia="en-US"/>
        </w:rPr>
        <w:t xml:space="preserve"> en 2019)</w:t>
      </w:r>
      <w:r>
        <w:rPr>
          <w:rFonts w:ascii="Cambria" w:eastAsiaTheme="minorHAnsi" w:hAnsi="Cambria" w:cs="Arial"/>
          <w:bCs/>
          <w:sz w:val="24"/>
          <w:szCs w:val="24"/>
          <w:lang w:val="es-ES" w:eastAsia="en-US"/>
        </w:rPr>
        <w:t>.</w:t>
      </w:r>
    </w:p>
    <w:p w14:paraId="3D63AEC5" w14:textId="77777777" w:rsidR="00FB304D" w:rsidRDefault="00FB304D" w:rsidP="000D20D6">
      <w:pPr>
        <w:keepLines w:val="0"/>
        <w:widowControl/>
        <w:shd w:val="clear" w:color="auto" w:fill="FFFFFF" w:themeFill="background1"/>
        <w:ind w:left="567"/>
        <w:rPr>
          <w:rFonts w:ascii="Cambria" w:eastAsiaTheme="minorHAnsi" w:hAnsi="Cambria" w:cs="Arial"/>
          <w:bCs/>
          <w:sz w:val="24"/>
          <w:szCs w:val="24"/>
          <w:lang w:val="es-ES" w:eastAsia="en-US"/>
        </w:rPr>
      </w:pPr>
    </w:p>
    <w:p w14:paraId="20E4F13F" w14:textId="77777777" w:rsidR="00272894" w:rsidRDefault="00272894">
      <w:pPr>
        <w:keepLines w:val="0"/>
        <w:widowControl/>
        <w:jc w:val="left"/>
        <w:rPr>
          <w:rFonts w:ascii="Cambria" w:hAnsi="Cambria"/>
          <w:sz w:val="24"/>
          <w:szCs w:val="24"/>
        </w:rPr>
      </w:pPr>
      <w:bookmarkStart w:id="15" w:name="_Hlk64031759"/>
      <w:r>
        <w:rPr>
          <w:rFonts w:ascii="Cambria" w:hAnsi="Cambria"/>
          <w:sz w:val="24"/>
          <w:szCs w:val="24"/>
        </w:rPr>
        <w:br w:type="page"/>
      </w:r>
    </w:p>
    <w:p w14:paraId="22DBE23C" w14:textId="77777777" w:rsidR="00272894" w:rsidRDefault="00272894" w:rsidP="00FB304D">
      <w:pPr>
        <w:pStyle w:val="Ttulo1a"/>
        <w:ind w:left="567"/>
        <w:rPr>
          <w:rFonts w:ascii="Cambria" w:hAnsi="Cambria"/>
          <w:sz w:val="24"/>
          <w:szCs w:val="24"/>
        </w:rPr>
      </w:pPr>
    </w:p>
    <w:p w14:paraId="773E19F7" w14:textId="12CB7889" w:rsidR="00C3782C" w:rsidRDefault="00C3782C" w:rsidP="00FB304D">
      <w:pPr>
        <w:pStyle w:val="Ttulo1a"/>
        <w:ind w:left="567"/>
        <w:rPr>
          <w:rFonts w:ascii="Cambria" w:hAnsi="Cambria"/>
          <w:sz w:val="24"/>
          <w:szCs w:val="24"/>
        </w:rPr>
      </w:pPr>
      <w:r w:rsidRPr="00FB304D">
        <w:rPr>
          <w:rFonts w:ascii="Cambria" w:hAnsi="Cambria"/>
          <w:sz w:val="24"/>
          <w:szCs w:val="24"/>
        </w:rPr>
        <w:t>Dichos pleitos de integración se refieren principalmente a:</w:t>
      </w:r>
    </w:p>
    <w:p w14:paraId="7E83E214" w14:textId="24851294" w:rsidR="000E7CBF" w:rsidRDefault="000E7CBF" w:rsidP="000E7CBF"/>
    <w:p w14:paraId="75E92924" w14:textId="1DE44E5E" w:rsidR="000E7CBF" w:rsidRPr="000E7CBF" w:rsidRDefault="000E7CBF" w:rsidP="000E7CBF">
      <w:pPr>
        <w:pStyle w:val="Prrafodelista"/>
        <w:keepLines w:val="0"/>
        <w:widowControl/>
        <w:numPr>
          <w:ilvl w:val="0"/>
          <w:numId w:val="26"/>
        </w:numPr>
        <w:shd w:val="clear" w:color="auto" w:fill="FFFFFF"/>
        <w:contextualSpacing/>
        <w:rPr>
          <w:rFonts w:ascii="Cambria" w:hAnsi="Cambria"/>
          <w:sz w:val="24"/>
          <w:szCs w:val="24"/>
          <w:lang w:val="es-ES"/>
        </w:rPr>
      </w:pPr>
      <w:r>
        <w:rPr>
          <w:rFonts w:ascii="Cambria" w:hAnsi="Cambria"/>
          <w:color w:val="000000"/>
          <w:sz w:val="24"/>
          <w:szCs w:val="24"/>
        </w:rPr>
        <w:t xml:space="preserve">La Sentencia del Tribunal Superior de Justicia del País Vasco, de fecha 24 de noviembre de 2015, relativa a 54 demandantes. Con fecha de 6 de noviembre de 2018, el Tribunal Supremo inadmitió el recurso de casación interpuesto por COFIVACASA contra la sentencia. </w:t>
      </w:r>
      <w:r w:rsidRPr="000E7CBF">
        <w:rPr>
          <w:rFonts w:ascii="Cambria" w:hAnsi="Cambria"/>
          <w:color w:val="000000"/>
          <w:sz w:val="24"/>
          <w:szCs w:val="24"/>
        </w:rPr>
        <w:t>Con fecha 2 de marzo de 2020 se emitió auto de ejecución, declarando la imposibilidad de integración, y fijando salarios e indemnizaciones.</w:t>
      </w:r>
    </w:p>
    <w:p w14:paraId="2A21DA09" w14:textId="77777777" w:rsidR="000E7CBF" w:rsidRDefault="000E7CBF" w:rsidP="000E7CBF">
      <w:pPr>
        <w:shd w:val="clear" w:color="auto" w:fill="FFFFFF"/>
        <w:ind w:left="927"/>
        <w:rPr>
          <w:rFonts w:ascii="Cambria" w:hAnsi="Cambria"/>
          <w:color w:val="000000"/>
          <w:sz w:val="24"/>
          <w:szCs w:val="24"/>
        </w:rPr>
      </w:pPr>
    </w:p>
    <w:p w14:paraId="5A418A0B" w14:textId="3BD8A72C" w:rsidR="004D1091" w:rsidRDefault="000E7CBF" w:rsidP="00DA0147">
      <w:pPr>
        <w:shd w:val="clear" w:color="auto" w:fill="FFFFFF"/>
        <w:ind w:left="927"/>
        <w:rPr>
          <w:rFonts w:ascii="Cambria" w:hAnsi="Cambria"/>
          <w:color w:val="000000"/>
          <w:sz w:val="24"/>
          <w:szCs w:val="24"/>
        </w:rPr>
      </w:pPr>
      <w:r w:rsidRPr="00272894">
        <w:rPr>
          <w:rFonts w:ascii="Cambria" w:hAnsi="Cambria"/>
          <w:color w:val="000000"/>
          <w:sz w:val="24"/>
          <w:szCs w:val="24"/>
        </w:rPr>
        <w:t xml:space="preserve">El Tribunal Superior de Justicia del País Vasco ha emitido sentencia el 2 de febrero de 2021 admitiendo parcialmente el recurso, y condenando al pago de cantidades. </w:t>
      </w:r>
      <w:r w:rsidR="004D1091" w:rsidRPr="00D86D55">
        <w:rPr>
          <w:rFonts w:ascii="Cambria" w:hAnsi="Cambria"/>
          <w:color w:val="000000"/>
          <w:sz w:val="24"/>
          <w:szCs w:val="24"/>
        </w:rPr>
        <w:t>El 16 de febrero de 2021 se pronunció dicho Tribunal en aclaración de sentencia.</w:t>
      </w:r>
      <w:r w:rsidR="00DA0147" w:rsidRPr="00D86D55">
        <w:rPr>
          <w:rFonts w:ascii="Cambria" w:hAnsi="Cambria"/>
          <w:color w:val="000000"/>
          <w:sz w:val="24"/>
          <w:szCs w:val="24"/>
        </w:rPr>
        <w:t xml:space="preserve"> </w:t>
      </w:r>
      <w:r w:rsidR="004D1091" w:rsidRPr="00D86D55">
        <w:rPr>
          <w:rFonts w:ascii="Cambria" w:hAnsi="Cambria"/>
          <w:color w:val="000000"/>
          <w:sz w:val="24"/>
          <w:szCs w:val="24"/>
        </w:rPr>
        <w:t>Esta sentencia está en proceso de recurso ante el Tribunal Supremo.</w:t>
      </w:r>
    </w:p>
    <w:p w14:paraId="250226E9" w14:textId="77777777" w:rsidR="000E7CBF" w:rsidRPr="000E7CBF" w:rsidRDefault="000E7CBF" w:rsidP="000E7CBF">
      <w:pPr>
        <w:shd w:val="clear" w:color="auto" w:fill="FFFFFF"/>
        <w:rPr>
          <w:rFonts w:ascii="Cambria" w:hAnsi="Cambria"/>
          <w:sz w:val="24"/>
          <w:szCs w:val="24"/>
          <w:highlight w:val="cyan"/>
        </w:rPr>
      </w:pPr>
    </w:p>
    <w:p w14:paraId="5BA5945E" w14:textId="54903017" w:rsidR="000E7CBF" w:rsidRPr="000E7CBF" w:rsidRDefault="000E7CBF" w:rsidP="000E7CBF">
      <w:pPr>
        <w:pStyle w:val="Prrafodelista"/>
        <w:keepLines w:val="0"/>
        <w:widowControl/>
        <w:numPr>
          <w:ilvl w:val="0"/>
          <w:numId w:val="26"/>
        </w:numPr>
        <w:shd w:val="clear" w:color="auto" w:fill="FFFFFF"/>
        <w:contextualSpacing/>
        <w:rPr>
          <w:rFonts w:ascii="Cambria" w:hAnsi="Cambria"/>
          <w:sz w:val="24"/>
          <w:szCs w:val="24"/>
        </w:rPr>
      </w:pPr>
      <w:r w:rsidRPr="000E7CBF">
        <w:rPr>
          <w:rFonts w:ascii="Cambria" w:hAnsi="Cambria"/>
          <w:color w:val="000000"/>
          <w:sz w:val="24"/>
          <w:szCs w:val="24"/>
        </w:rPr>
        <w:t>La Sentencia del Tribunal Superior de Justicia del País Vasco, de fecha 2 de febrero de 2016, declaró la integración en plantilla de 3 demandantes. Con fecha 19 de julio de 2018, el Tribunal Supremo desestimó los recursos de casación interpuestos por el Ministerio Fiscal y COFIVACASA contra la sentencia. El auto de ejecución de 24 de mayo de 2019 estimó la imposibilidad de integración, pronunciándose sobre la indemnización sustitutoria. Con fecha 29 de abril de 2020</w:t>
      </w:r>
      <w:r>
        <w:rPr>
          <w:rFonts w:ascii="Cambria" w:hAnsi="Cambria"/>
          <w:color w:val="000000"/>
          <w:sz w:val="24"/>
          <w:szCs w:val="24"/>
        </w:rPr>
        <w:t xml:space="preserve"> ha sido desestimado e</w:t>
      </w:r>
      <w:r w:rsidRPr="000E7CBF">
        <w:rPr>
          <w:rFonts w:ascii="Cambria" w:hAnsi="Cambria"/>
          <w:color w:val="000000"/>
          <w:sz w:val="24"/>
          <w:szCs w:val="24"/>
        </w:rPr>
        <w:t>l recurso ante el Tribunal Superior de Justicia del País Vasco</w:t>
      </w:r>
      <w:r>
        <w:rPr>
          <w:rFonts w:ascii="Cambria" w:hAnsi="Cambria"/>
          <w:color w:val="000000"/>
          <w:sz w:val="24"/>
          <w:szCs w:val="24"/>
        </w:rPr>
        <w:t>.</w:t>
      </w:r>
    </w:p>
    <w:p w14:paraId="3A91D572" w14:textId="77777777" w:rsidR="000E7CBF" w:rsidRPr="000E7CBF" w:rsidRDefault="000E7CBF" w:rsidP="000E7CBF">
      <w:pPr>
        <w:pStyle w:val="Prrafodelista"/>
        <w:keepLines w:val="0"/>
        <w:widowControl/>
        <w:shd w:val="clear" w:color="auto" w:fill="FFFFFF"/>
        <w:ind w:left="927"/>
        <w:contextualSpacing/>
        <w:rPr>
          <w:rFonts w:ascii="Cambria" w:hAnsi="Cambria"/>
          <w:sz w:val="24"/>
          <w:szCs w:val="24"/>
        </w:rPr>
      </w:pPr>
    </w:p>
    <w:p w14:paraId="7EE3F4B3" w14:textId="386AF043" w:rsidR="000E7CBF" w:rsidRDefault="000E7CBF" w:rsidP="000E7CBF">
      <w:pPr>
        <w:shd w:val="clear" w:color="auto" w:fill="FFFFFF"/>
        <w:ind w:left="927"/>
        <w:rPr>
          <w:rFonts w:ascii="Cambria" w:hAnsi="Cambria"/>
          <w:color w:val="000000"/>
          <w:sz w:val="24"/>
          <w:szCs w:val="24"/>
        </w:rPr>
      </w:pPr>
      <w:r>
        <w:rPr>
          <w:rFonts w:ascii="Cambria" w:hAnsi="Cambria"/>
          <w:color w:val="000000"/>
          <w:sz w:val="24"/>
          <w:szCs w:val="24"/>
        </w:rPr>
        <w:t xml:space="preserve">Esta sentencia del </w:t>
      </w:r>
      <w:r w:rsidR="00E75C14">
        <w:rPr>
          <w:rFonts w:ascii="Cambria" w:hAnsi="Cambria"/>
          <w:color w:val="000000"/>
          <w:sz w:val="24"/>
          <w:szCs w:val="24"/>
        </w:rPr>
        <w:t>Tribunal Superior de Justicia del País Vasco</w:t>
      </w:r>
      <w:r>
        <w:rPr>
          <w:rFonts w:ascii="Cambria" w:hAnsi="Cambria"/>
          <w:color w:val="000000"/>
          <w:sz w:val="24"/>
          <w:szCs w:val="24"/>
        </w:rPr>
        <w:t xml:space="preserve"> ha sido recurrida ante el Tribunal Supremo, encontrándose a la espera de admisión.</w:t>
      </w:r>
    </w:p>
    <w:p w14:paraId="468EA185" w14:textId="68D7460D" w:rsidR="00272894" w:rsidRDefault="00272894" w:rsidP="000E7CBF">
      <w:pPr>
        <w:shd w:val="clear" w:color="auto" w:fill="FFFFFF"/>
        <w:ind w:left="927"/>
        <w:rPr>
          <w:rFonts w:ascii="Cambria" w:hAnsi="Cambria"/>
          <w:color w:val="000000"/>
          <w:sz w:val="24"/>
          <w:szCs w:val="24"/>
        </w:rPr>
      </w:pPr>
    </w:p>
    <w:p w14:paraId="35B70F9E" w14:textId="210D57F8" w:rsidR="00272894" w:rsidRDefault="00272894" w:rsidP="00272894">
      <w:pPr>
        <w:pStyle w:val="Prrafodelista"/>
        <w:keepLines w:val="0"/>
        <w:widowControl/>
        <w:numPr>
          <w:ilvl w:val="0"/>
          <w:numId w:val="26"/>
        </w:numPr>
        <w:shd w:val="clear" w:color="auto" w:fill="FFFFFF"/>
        <w:contextualSpacing/>
        <w:rPr>
          <w:rFonts w:ascii="Cambria" w:hAnsi="Cambria"/>
          <w:sz w:val="24"/>
          <w:szCs w:val="24"/>
        </w:rPr>
      </w:pPr>
      <w:r>
        <w:rPr>
          <w:rFonts w:ascii="Cambria" w:hAnsi="Cambria"/>
          <w:color w:val="000000"/>
          <w:sz w:val="24"/>
          <w:szCs w:val="24"/>
        </w:rPr>
        <w:t>El Auto del Juzgado de lo Social número 4 de Bilbao, de 18 de febrero de 2016, declaró la integración de 117 trabajadores de BPE, con fecha efecto 17 de julio de 2006. El recurso ante el Tribunal Superior de Justicia del País Vasco fue resuelto por sentencia desfavorable de 11 de abril de 2017. El Ministerio Fiscal recurrió esta sentencia ante el Tribunal Supremo, que ha inadmitido el recurso.</w:t>
      </w:r>
    </w:p>
    <w:p w14:paraId="4ADEF84A" w14:textId="5C3EEA34" w:rsidR="00272894" w:rsidRPr="00662994" w:rsidRDefault="00272894" w:rsidP="00272894">
      <w:pPr>
        <w:shd w:val="clear" w:color="auto" w:fill="FFFFFF"/>
        <w:ind w:left="927"/>
        <w:rPr>
          <w:rFonts w:ascii="Cambria" w:eastAsiaTheme="minorHAnsi" w:hAnsi="Cambria"/>
          <w:sz w:val="24"/>
          <w:szCs w:val="24"/>
        </w:rPr>
      </w:pPr>
      <w:r>
        <w:rPr>
          <w:rFonts w:ascii="Cambria" w:hAnsi="Cambria"/>
          <w:color w:val="000000"/>
          <w:sz w:val="24"/>
          <w:szCs w:val="24"/>
        </w:rPr>
        <w:t>Actualmente está pendiente de que el Juzgado fije la fecha para la vista de ejecución y provea la prueba solicitada.</w:t>
      </w:r>
      <w:r>
        <w:rPr>
          <w:rFonts w:ascii="Cambria" w:eastAsiaTheme="minorHAnsi" w:hAnsi="Cambria"/>
          <w:sz w:val="24"/>
          <w:szCs w:val="24"/>
        </w:rPr>
        <w:t xml:space="preserve"> </w:t>
      </w:r>
      <w:r>
        <w:rPr>
          <w:rFonts w:ascii="Cambria" w:hAnsi="Cambria"/>
          <w:color w:val="000000"/>
          <w:sz w:val="24"/>
          <w:szCs w:val="24"/>
        </w:rPr>
        <w:t xml:space="preserve">Cuando se devuelvan los autos al Juzgado de Instrucción se iniciará la ejecución de </w:t>
      </w:r>
      <w:r w:rsidR="00E75C14">
        <w:rPr>
          <w:rFonts w:ascii="Cambria" w:hAnsi="Cambria"/>
          <w:color w:val="000000"/>
          <w:sz w:val="24"/>
          <w:szCs w:val="24"/>
        </w:rPr>
        <w:t xml:space="preserve">la </w:t>
      </w:r>
      <w:r>
        <w:rPr>
          <w:rFonts w:ascii="Cambria" w:hAnsi="Cambria"/>
          <w:color w:val="000000"/>
          <w:sz w:val="24"/>
          <w:szCs w:val="24"/>
        </w:rPr>
        <w:t>sentencia.</w:t>
      </w:r>
    </w:p>
    <w:p w14:paraId="0D68CFBC" w14:textId="31ECE239" w:rsidR="000E7CBF" w:rsidRDefault="000E7CBF" w:rsidP="000E7CBF">
      <w:pPr>
        <w:rPr>
          <w:rFonts w:ascii="Cambria" w:hAnsi="Cambria"/>
          <w:sz w:val="24"/>
          <w:szCs w:val="24"/>
        </w:rPr>
      </w:pPr>
    </w:p>
    <w:p w14:paraId="4CA2BE18" w14:textId="7F130400" w:rsidR="000E7CBF" w:rsidRPr="00662994" w:rsidRDefault="000E7CBF" w:rsidP="00662994">
      <w:pPr>
        <w:pStyle w:val="Prrafodelista"/>
        <w:keepLines w:val="0"/>
        <w:widowControl/>
        <w:numPr>
          <w:ilvl w:val="0"/>
          <w:numId w:val="26"/>
        </w:numPr>
        <w:shd w:val="clear" w:color="auto" w:fill="FFFFFF"/>
        <w:contextualSpacing/>
        <w:rPr>
          <w:rFonts w:ascii="Cambria" w:hAnsi="Cambria"/>
          <w:sz w:val="24"/>
          <w:szCs w:val="24"/>
        </w:rPr>
      </w:pPr>
      <w:r>
        <w:rPr>
          <w:rFonts w:ascii="Cambria" w:hAnsi="Cambria"/>
          <w:color w:val="000000"/>
          <w:sz w:val="24"/>
          <w:szCs w:val="24"/>
        </w:rPr>
        <w:t xml:space="preserve">Sentencia del Tribunal Superior de Justicia del País Vasco de 2 de octubre de 2017, que declara la integración de un trabajador que ocupaba un puesto directivo en BPE. El recurso de suplicación fue rechazado por el mismo tribunal, y el Ministerio Fiscal presentó recurso de casación ante el Tribunal Supremo. Con fecha 8 de octubre de 2018 el Ministerio Fiscal desistió del recurso presentado ante el Tribunal Supremo. </w:t>
      </w:r>
      <w:r w:rsidRPr="00662994">
        <w:rPr>
          <w:rFonts w:ascii="Cambria" w:hAnsi="Cambria"/>
          <w:color w:val="000000"/>
          <w:sz w:val="24"/>
          <w:szCs w:val="24"/>
        </w:rPr>
        <w:t xml:space="preserve">Por auto de 16 de diciembre de 2019 se acordó la integración en plantilla de la ejecutante. </w:t>
      </w:r>
      <w:r w:rsidR="00662994">
        <w:rPr>
          <w:rFonts w:ascii="Cambria" w:hAnsi="Cambria"/>
          <w:color w:val="000000"/>
          <w:sz w:val="24"/>
          <w:szCs w:val="24"/>
        </w:rPr>
        <w:t xml:space="preserve"> </w:t>
      </w:r>
      <w:r w:rsidRPr="00662994">
        <w:rPr>
          <w:rFonts w:ascii="Cambria" w:hAnsi="Cambria"/>
          <w:color w:val="000000"/>
          <w:sz w:val="24"/>
          <w:szCs w:val="24"/>
        </w:rPr>
        <w:t>La integración se produjo el 16 de marzo de 2020.</w:t>
      </w:r>
    </w:p>
    <w:p w14:paraId="2A92AAEA" w14:textId="5DAA2422" w:rsidR="00272894" w:rsidRDefault="00272894">
      <w:pPr>
        <w:keepLines w:val="0"/>
        <w:widowControl/>
        <w:jc w:val="left"/>
        <w:rPr>
          <w:rFonts w:ascii="Cambria" w:hAnsi="Cambria"/>
          <w:color w:val="000000"/>
          <w:sz w:val="24"/>
          <w:szCs w:val="24"/>
        </w:rPr>
      </w:pPr>
      <w:r>
        <w:rPr>
          <w:rFonts w:ascii="Cambria" w:hAnsi="Cambria"/>
          <w:color w:val="000000"/>
          <w:sz w:val="24"/>
          <w:szCs w:val="24"/>
        </w:rPr>
        <w:br w:type="page"/>
      </w:r>
    </w:p>
    <w:p w14:paraId="633911A7" w14:textId="77777777" w:rsidR="00662994" w:rsidRDefault="00662994" w:rsidP="000E7CBF">
      <w:pPr>
        <w:ind w:left="927"/>
        <w:rPr>
          <w:rFonts w:ascii="Cambria" w:hAnsi="Cambria"/>
          <w:color w:val="000000"/>
          <w:sz w:val="24"/>
          <w:szCs w:val="24"/>
        </w:rPr>
      </w:pPr>
    </w:p>
    <w:p w14:paraId="1A637A22" w14:textId="45BB78CC" w:rsidR="000E7CBF" w:rsidRDefault="00662994" w:rsidP="000E7CBF">
      <w:pPr>
        <w:ind w:left="927"/>
        <w:rPr>
          <w:rFonts w:ascii="Calibri" w:hAnsi="Calibri"/>
          <w:szCs w:val="22"/>
        </w:rPr>
      </w:pPr>
      <w:r>
        <w:rPr>
          <w:rFonts w:ascii="Cambria" w:hAnsi="Cambria"/>
          <w:color w:val="000000"/>
          <w:sz w:val="24"/>
          <w:szCs w:val="24"/>
        </w:rPr>
        <w:t xml:space="preserve">Por </w:t>
      </w:r>
      <w:r w:rsidR="000E7CBF">
        <w:rPr>
          <w:rFonts w:ascii="Cambria" w:hAnsi="Cambria"/>
          <w:color w:val="000000"/>
          <w:sz w:val="24"/>
          <w:szCs w:val="24"/>
        </w:rPr>
        <w:t>Sentencia del Tribunal Superior de Justicia del País Vasco de 19 de noviembre de 2020 se anuló la modificación sustancial de las condiciones de trabajo realizada. Esta sentencia se encuentra recurrida ante el Tribunal Supremo.</w:t>
      </w:r>
    </w:p>
    <w:p w14:paraId="755134E7" w14:textId="77777777" w:rsidR="000E7CBF" w:rsidRDefault="000E7CBF" w:rsidP="000E7CBF"/>
    <w:bookmarkEnd w:id="15"/>
    <w:p w14:paraId="4B0CA06D" w14:textId="7314EDC7" w:rsidR="00FB304D" w:rsidRDefault="00FB304D" w:rsidP="00FB304D">
      <w:pPr>
        <w:keepLines w:val="0"/>
        <w:widowControl/>
        <w:shd w:val="clear" w:color="auto" w:fill="FFFFFF" w:themeFill="background1"/>
        <w:ind w:left="567"/>
        <w:rPr>
          <w:rFonts w:ascii="Cambria" w:eastAsiaTheme="minorHAnsi" w:hAnsi="Cambria" w:cs="Arial"/>
          <w:bCs/>
          <w:sz w:val="24"/>
          <w:szCs w:val="24"/>
          <w:lang w:val="es-ES" w:eastAsia="en-US"/>
        </w:rPr>
      </w:pPr>
      <w:r w:rsidRPr="003E0527">
        <w:rPr>
          <w:rFonts w:ascii="Cambria" w:eastAsiaTheme="minorHAnsi" w:hAnsi="Cambria" w:cs="Arial"/>
          <w:bCs/>
          <w:sz w:val="24"/>
          <w:szCs w:val="24"/>
          <w:lang w:val="es-ES" w:eastAsia="en-US"/>
        </w:rPr>
        <w:t xml:space="preserve">El importe restante de los excesos de </w:t>
      </w:r>
      <w:r w:rsidRPr="00272894">
        <w:rPr>
          <w:rFonts w:ascii="Cambria" w:eastAsiaTheme="minorHAnsi" w:hAnsi="Cambria" w:cs="Arial"/>
          <w:bCs/>
          <w:sz w:val="24"/>
          <w:szCs w:val="24"/>
          <w:lang w:val="es-ES" w:eastAsia="en-US"/>
        </w:rPr>
        <w:t>provisiones de 20</w:t>
      </w:r>
      <w:r w:rsidR="0014541E" w:rsidRPr="00272894">
        <w:rPr>
          <w:rFonts w:ascii="Cambria" w:eastAsiaTheme="minorHAnsi" w:hAnsi="Cambria" w:cs="Arial"/>
          <w:bCs/>
          <w:sz w:val="24"/>
          <w:szCs w:val="24"/>
          <w:lang w:val="es-ES" w:eastAsia="en-US"/>
        </w:rPr>
        <w:t>20</w:t>
      </w:r>
      <w:r w:rsidRPr="00E75C14">
        <w:rPr>
          <w:rFonts w:ascii="Cambria" w:eastAsiaTheme="minorHAnsi" w:hAnsi="Cambria" w:cs="Arial"/>
          <w:bCs/>
          <w:sz w:val="24"/>
          <w:szCs w:val="24"/>
          <w:lang w:val="es-ES" w:eastAsia="en-US"/>
        </w:rPr>
        <w:t xml:space="preserve">, </w:t>
      </w:r>
      <w:r w:rsidR="00272894" w:rsidRPr="00E75C14">
        <w:rPr>
          <w:rFonts w:ascii="Cambria" w:eastAsiaTheme="minorHAnsi" w:hAnsi="Cambria" w:cs="Arial"/>
          <w:bCs/>
          <w:sz w:val="24"/>
          <w:szCs w:val="24"/>
          <w:lang w:val="es-ES" w:eastAsia="en-US"/>
        </w:rPr>
        <w:t>2.517</w:t>
      </w:r>
      <w:r w:rsidRPr="00E75C14">
        <w:rPr>
          <w:rFonts w:ascii="Cambria" w:eastAsiaTheme="minorHAnsi" w:hAnsi="Cambria" w:cs="Arial"/>
          <w:bCs/>
          <w:sz w:val="24"/>
          <w:szCs w:val="24"/>
          <w:lang w:val="es-ES" w:eastAsia="en-US"/>
        </w:rPr>
        <w:t xml:space="preserve"> miles de euros  (</w:t>
      </w:r>
      <w:r w:rsidR="0014541E" w:rsidRPr="00E75C14">
        <w:rPr>
          <w:rFonts w:ascii="Cambria" w:eastAsiaTheme="minorHAnsi" w:hAnsi="Cambria" w:cs="Arial"/>
          <w:bCs/>
          <w:sz w:val="24"/>
          <w:szCs w:val="24"/>
          <w:lang w:val="es-ES" w:eastAsia="en-US"/>
        </w:rPr>
        <w:t>2.148</w:t>
      </w:r>
      <w:r w:rsidRPr="00E75C14">
        <w:rPr>
          <w:rFonts w:ascii="Cambria" w:eastAsiaTheme="minorHAnsi" w:hAnsi="Cambria" w:cs="Arial"/>
          <w:bCs/>
          <w:sz w:val="24"/>
          <w:szCs w:val="24"/>
          <w:lang w:val="es-ES" w:eastAsia="en-US"/>
        </w:rPr>
        <w:t xml:space="preserve"> en 201</w:t>
      </w:r>
      <w:r w:rsidR="0014541E" w:rsidRPr="00E75C14">
        <w:rPr>
          <w:rFonts w:ascii="Cambria" w:eastAsiaTheme="minorHAnsi" w:hAnsi="Cambria" w:cs="Arial"/>
          <w:bCs/>
          <w:sz w:val="24"/>
          <w:szCs w:val="24"/>
          <w:lang w:val="es-ES" w:eastAsia="en-US"/>
        </w:rPr>
        <w:t>9</w:t>
      </w:r>
      <w:r w:rsidRPr="00E75C14">
        <w:rPr>
          <w:rFonts w:ascii="Cambria" w:eastAsiaTheme="minorHAnsi" w:hAnsi="Cambria" w:cs="Arial"/>
          <w:bCs/>
          <w:sz w:val="24"/>
          <w:szCs w:val="24"/>
          <w:lang w:val="es-ES" w:eastAsia="en-US"/>
        </w:rPr>
        <w:t>)  corresponden a resoluciones favorables de pleitos relacionados con enfermedades laborales del personal pasivo</w:t>
      </w:r>
      <w:r w:rsidR="00272894" w:rsidRPr="00E75C14">
        <w:rPr>
          <w:rFonts w:ascii="Cambria" w:eastAsiaTheme="minorHAnsi" w:hAnsi="Cambria" w:cs="Arial"/>
          <w:bCs/>
          <w:sz w:val="24"/>
          <w:szCs w:val="24"/>
          <w:lang w:val="es-ES" w:eastAsia="en-US"/>
        </w:rPr>
        <w:t>.</w:t>
      </w:r>
    </w:p>
    <w:p w14:paraId="3E7353A2" w14:textId="77777777" w:rsidR="00FB304D" w:rsidRDefault="00FB304D" w:rsidP="00FB304D">
      <w:pPr>
        <w:keepLines w:val="0"/>
        <w:widowControl/>
        <w:shd w:val="clear" w:color="auto" w:fill="FFFFFF" w:themeFill="background1"/>
        <w:rPr>
          <w:rFonts w:ascii="Cambria" w:eastAsiaTheme="minorHAnsi" w:hAnsi="Cambria" w:cs="Arial"/>
          <w:bCs/>
          <w:sz w:val="24"/>
          <w:szCs w:val="24"/>
          <w:lang w:val="es-ES" w:eastAsia="en-US"/>
        </w:rPr>
      </w:pPr>
    </w:p>
    <w:p w14:paraId="1E9B9A84" w14:textId="77777777" w:rsidR="008A1057" w:rsidRPr="00F8465B" w:rsidRDefault="009C3EFF" w:rsidP="00AF3519">
      <w:pPr>
        <w:keepLines w:val="0"/>
        <w:widowControl/>
        <w:ind w:left="567"/>
        <w:jc w:val="left"/>
        <w:rPr>
          <w:rFonts w:ascii="Cambria" w:hAnsi="Cambria"/>
          <w:i/>
          <w:sz w:val="24"/>
          <w:szCs w:val="24"/>
        </w:rPr>
      </w:pPr>
      <w:r w:rsidRPr="00F8465B">
        <w:rPr>
          <w:rFonts w:ascii="Cambria" w:hAnsi="Cambria"/>
          <w:i/>
          <w:sz w:val="24"/>
          <w:szCs w:val="24"/>
        </w:rPr>
        <w:t xml:space="preserve">Otras responsabilidades </w:t>
      </w:r>
    </w:p>
    <w:p w14:paraId="52838076" w14:textId="77777777" w:rsidR="008A1057" w:rsidRPr="00F8465B" w:rsidRDefault="008A1057" w:rsidP="008A1057">
      <w:pPr>
        <w:pStyle w:val="Lista"/>
      </w:pPr>
    </w:p>
    <w:p w14:paraId="19E405C9" w14:textId="77777777" w:rsidR="00322F49" w:rsidRDefault="007B0A5B" w:rsidP="00AF3519">
      <w:pPr>
        <w:pStyle w:val="Ttulo1a"/>
        <w:ind w:left="567"/>
        <w:rPr>
          <w:rFonts w:ascii="Cambria" w:hAnsi="Cambria"/>
          <w:sz w:val="24"/>
          <w:szCs w:val="24"/>
        </w:rPr>
      </w:pPr>
      <w:r w:rsidRPr="00F8465B">
        <w:rPr>
          <w:rFonts w:ascii="Cambria" w:hAnsi="Cambria"/>
          <w:sz w:val="24"/>
          <w:szCs w:val="24"/>
        </w:rPr>
        <w:t>La provisión reg</w:t>
      </w:r>
      <w:r w:rsidR="00FF51EC">
        <w:rPr>
          <w:rFonts w:ascii="Cambria" w:hAnsi="Cambria"/>
          <w:sz w:val="24"/>
          <w:szCs w:val="24"/>
        </w:rPr>
        <w:t>istrada a largo plazo procede</w:t>
      </w:r>
      <w:r w:rsidRPr="00F8465B">
        <w:rPr>
          <w:rFonts w:ascii="Cambria" w:hAnsi="Cambria"/>
          <w:sz w:val="24"/>
          <w:szCs w:val="24"/>
        </w:rPr>
        <w:t xml:space="preserve"> de la filial absorbida AEC</w:t>
      </w:r>
      <w:r w:rsidR="00FF51EC">
        <w:rPr>
          <w:rFonts w:ascii="Cambria" w:hAnsi="Cambria"/>
          <w:sz w:val="24"/>
          <w:szCs w:val="24"/>
        </w:rPr>
        <w:t xml:space="preserve"> y</w:t>
      </w:r>
      <w:r w:rsidRPr="00F8465B">
        <w:rPr>
          <w:rFonts w:ascii="Cambria" w:hAnsi="Cambria"/>
          <w:sz w:val="24"/>
          <w:szCs w:val="24"/>
        </w:rPr>
        <w:t xml:space="preserve"> corresponde a una estimación realizada por la Administración para cubrir posibles mantenimientos que la Sociedad se viera obligada a asumir como consecuencia de la sentencia del Tribunal Superior del País Vasco en la que declara un Alto Horno propiedad de la Sociedad como Bien de Interés Cultural. </w:t>
      </w:r>
    </w:p>
    <w:p w14:paraId="5BBEBE78" w14:textId="4833E616" w:rsidR="00322F49" w:rsidRPr="00CD3DD1" w:rsidRDefault="00322F49" w:rsidP="00322F49">
      <w:pPr>
        <w:spacing w:before="100" w:beforeAutospacing="1" w:after="100" w:afterAutospacing="1"/>
        <w:ind w:left="567"/>
        <w:rPr>
          <w:rFonts w:ascii="Cambria" w:hAnsi="Cambria"/>
          <w:sz w:val="24"/>
          <w:szCs w:val="24"/>
        </w:rPr>
      </w:pPr>
      <w:r w:rsidRPr="00CD3DD1">
        <w:rPr>
          <w:rFonts w:ascii="Cambria" w:hAnsi="Cambria"/>
          <w:sz w:val="24"/>
          <w:szCs w:val="24"/>
        </w:rPr>
        <w:t>A cierre del ejercicio 20</w:t>
      </w:r>
      <w:r w:rsidR="00A50046">
        <w:rPr>
          <w:rFonts w:ascii="Cambria" w:hAnsi="Cambria"/>
          <w:sz w:val="24"/>
          <w:szCs w:val="24"/>
        </w:rPr>
        <w:t>20</w:t>
      </w:r>
      <w:r w:rsidRPr="00CD3DD1">
        <w:rPr>
          <w:rFonts w:ascii="Cambria" w:hAnsi="Cambria"/>
          <w:sz w:val="24"/>
          <w:szCs w:val="24"/>
        </w:rPr>
        <w:t xml:space="preserve">, el importe de la provisión asciende a </w:t>
      </w:r>
      <w:r w:rsidR="00CD3DD1" w:rsidRPr="00061E26">
        <w:rPr>
          <w:rFonts w:ascii="Cambria" w:hAnsi="Cambria"/>
          <w:sz w:val="24"/>
          <w:szCs w:val="24"/>
        </w:rPr>
        <w:t>3.487</w:t>
      </w:r>
      <w:r w:rsidRPr="00061E26">
        <w:rPr>
          <w:rFonts w:ascii="Cambria" w:hAnsi="Cambria"/>
          <w:sz w:val="24"/>
          <w:szCs w:val="24"/>
        </w:rPr>
        <w:t xml:space="preserve"> miles de euros</w:t>
      </w:r>
      <w:r w:rsidR="00240425" w:rsidRPr="00061E26">
        <w:rPr>
          <w:rFonts w:ascii="Cambria" w:hAnsi="Cambria"/>
          <w:sz w:val="24"/>
          <w:szCs w:val="24"/>
        </w:rPr>
        <w:t xml:space="preserve"> (</w:t>
      </w:r>
      <w:r w:rsidR="008B3670" w:rsidRPr="00061E26">
        <w:rPr>
          <w:rFonts w:ascii="Cambria" w:hAnsi="Cambria"/>
          <w:sz w:val="24"/>
          <w:szCs w:val="24"/>
        </w:rPr>
        <w:t xml:space="preserve">3.487 </w:t>
      </w:r>
      <w:r w:rsidR="00240425" w:rsidRPr="00061E26">
        <w:rPr>
          <w:rFonts w:ascii="Cambria" w:hAnsi="Cambria"/>
          <w:sz w:val="24"/>
          <w:szCs w:val="24"/>
        </w:rPr>
        <w:t>miles de euros en 201</w:t>
      </w:r>
      <w:r w:rsidR="00A50046">
        <w:rPr>
          <w:rFonts w:ascii="Cambria" w:hAnsi="Cambria"/>
          <w:sz w:val="24"/>
          <w:szCs w:val="24"/>
        </w:rPr>
        <w:t>9</w:t>
      </w:r>
      <w:r w:rsidR="00240425" w:rsidRPr="00061E26">
        <w:rPr>
          <w:rFonts w:ascii="Cambria" w:hAnsi="Cambria"/>
          <w:sz w:val="24"/>
          <w:szCs w:val="24"/>
        </w:rPr>
        <w:t>)</w:t>
      </w:r>
      <w:r w:rsidRPr="00061E26">
        <w:rPr>
          <w:rFonts w:ascii="Cambria" w:hAnsi="Cambria"/>
          <w:sz w:val="24"/>
          <w:szCs w:val="24"/>
        </w:rPr>
        <w:t>. La Sociedad proce</w:t>
      </w:r>
      <w:r w:rsidR="00061E26">
        <w:rPr>
          <w:rFonts w:ascii="Cambria" w:hAnsi="Cambria"/>
          <w:sz w:val="24"/>
          <w:szCs w:val="24"/>
        </w:rPr>
        <w:t>dió</w:t>
      </w:r>
      <w:r w:rsidRPr="00061E26">
        <w:rPr>
          <w:rFonts w:ascii="Cambria" w:hAnsi="Cambria"/>
          <w:sz w:val="24"/>
          <w:szCs w:val="24"/>
        </w:rPr>
        <w:t xml:space="preserve"> a revisar </w:t>
      </w:r>
      <w:r w:rsidR="00E149FF">
        <w:rPr>
          <w:rFonts w:ascii="Cambria" w:hAnsi="Cambria"/>
          <w:sz w:val="24"/>
          <w:szCs w:val="24"/>
        </w:rPr>
        <w:t>en los</w:t>
      </w:r>
      <w:r w:rsidR="00061E26">
        <w:rPr>
          <w:rFonts w:ascii="Cambria" w:hAnsi="Cambria"/>
          <w:sz w:val="24"/>
          <w:szCs w:val="24"/>
        </w:rPr>
        <w:t xml:space="preserve"> ejercicio</w:t>
      </w:r>
      <w:r w:rsidR="00E149FF">
        <w:rPr>
          <w:rFonts w:ascii="Cambria" w:hAnsi="Cambria"/>
          <w:sz w:val="24"/>
          <w:szCs w:val="24"/>
        </w:rPr>
        <w:t>s</w:t>
      </w:r>
      <w:r w:rsidR="00061E26">
        <w:rPr>
          <w:rFonts w:ascii="Cambria" w:hAnsi="Cambria"/>
          <w:sz w:val="24"/>
          <w:szCs w:val="24"/>
        </w:rPr>
        <w:t xml:space="preserve"> </w:t>
      </w:r>
      <w:r w:rsidR="00E149FF">
        <w:rPr>
          <w:rFonts w:ascii="Cambria" w:hAnsi="Cambria"/>
          <w:sz w:val="24"/>
          <w:szCs w:val="24"/>
        </w:rPr>
        <w:t>20</w:t>
      </w:r>
      <w:r w:rsidR="00A50046">
        <w:rPr>
          <w:rFonts w:ascii="Cambria" w:hAnsi="Cambria"/>
          <w:sz w:val="24"/>
          <w:szCs w:val="24"/>
        </w:rPr>
        <w:t>20</w:t>
      </w:r>
      <w:r w:rsidR="00E149FF">
        <w:rPr>
          <w:rFonts w:ascii="Cambria" w:hAnsi="Cambria"/>
          <w:sz w:val="24"/>
          <w:szCs w:val="24"/>
        </w:rPr>
        <w:t xml:space="preserve"> y </w:t>
      </w:r>
      <w:r w:rsidR="00061E26">
        <w:rPr>
          <w:rFonts w:ascii="Cambria" w:hAnsi="Cambria"/>
          <w:sz w:val="24"/>
          <w:szCs w:val="24"/>
        </w:rPr>
        <w:t>201</w:t>
      </w:r>
      <w:r w:rsidR="00A50046">
        <w:rPr>
          <w:rFonts w:ascii="Cambria" w:hAnsi="Cambria"/>
          <w:sz w:val="24"/>
          <w:szCs w:val="24"/>
        </w:rPr>
        <w:t>9</w:t>
      </w:r>
      <w:r w:rsidR="00061E26">
        <w:rPr>
          <w:rFonts w:ascii="Cambria" w:hAnsi="Cambria"/>
          <w:sz w:val="24"/>
          <w:szCs w:val="24"/>
        </w:rPr>
        <w:t xml:space="preserve"> el importe de </w:t>
      </w:r>
      <w:r w:rsidRPr="00061E26">
        <w:rPr>
          <w:rFonts w:ascii="Cambria" w:hAnsi="Cambria"/>
          <w:sz w:val="24"/>
          <w:szCs w:val="24"/>
        </w:rPr>
        <w:t>la</w:t>
      </w:r>
      <w:r w:rsidRPr="00CD3DD1">
        <w:rPr>
          <w:rFonts w:ascii="Cambria" w:hAnsi="Cambria"/>
          <w:sz w:val="24"/>
          <w:szCs w:val="24"/>
        </w:rPr>
        <w:t xml:space="preserve"> provisión, atendiendo al inicio de las actuaciones de mantenimiento de pintura y cubiertas, seg</w:t>
      </w:r>
      <w:r w:rsidR="00E149FF">
        <w:rPr>
          <w:rFonts w:ascii="Cambria" w:hAnsi="Cambria"/>
          <w:sz w:val="24"/>
          <w:szCs w:val="24"/>
        </w:rPr>
        <w:t>uridad del recinto, y ascensor. A</w:t>
      </w:r>
      <w:r w:rsidR="00830B27">
        <w:rPr>
          <w:rFonts w:ascii="Cambria" w:hAnsi="Cambria"/>
          <w:sz w:val="24"/>
          <w:szCs w:val="24"/>
        </w:rPr>
        <w:t xml:space="preserve"> cierre de 20</w:t>
      </w:r>
      <w:r w:rsidR="00A50046">
        <w:rPr>
          <w:rFonts w:ascii="Cambria" w:hAnsi="Cambria"/>
          <w:sz w:val="24"/>
          <w:szCs w:val="24"/>
        </w:rPr>
        <w:t>20</w:t>
      </w:r>
      <w:r w:rsidR="00830B27">
        <w:rPr>
          <w:rFonts w:ascii="Cambria" w:hAnsi="Cambria"/>
          <w:sz w:val="24"/>
          <w:szCs w:val="24"/>
        </w:rPr>
        <w:t xml:space="preserve"> </w:t>
      </w:r>
      <w:r w:rsidR="00E149FF">
        <w:rPr>
          <w:rFonts w:ascii="Cambria" w:hAnsi="Cambria"/>
          <w:sz w:val="24"/>
          <w:szCs w:val="24"/>
        </w:rPr>
        <w:t xml:space="preserve">la sociedad no ha dotado provisión al </w:t>
      </w:r>
      <w:r w:rsidR="00830B27">
        <w:rPr>
          <w:rFonts w:ascii="Cambria" w:hAnsi="Cambria"/>
          <w:sz w:val="24"/>
          <w:szCs w:val="24"/>
        </w:rPr>
        <w:t>considera</w:t>
      </w:r>
      <w:r w:rsidR="00E149FF">
        <w:rPr>
          <w:rFonts w:ascii="Cambria" w:hAnsi="Cambria"/>
          <w:sz w:val="24"/>
          <w:szCs w:val="24"/>
        </w:rPr>
        <w:t>r</w:t>
      </w:r>
      <w:r w:rsidR="00830B27">
        <w:rPr>
          <w:rFonts w:ascii="Cambria" w:hAnsi="Cambria"/>
          <w:sz w:val="24"/>
          <w:szCs w:val="24"/>
        </w:rPr>
        <w:t xml:space="preserve"> </w:t>
      </w:r>
      <w:r w:rsidR="00E149FF">
        <w:rPr>
          <w:rFonts w:ascii="Cambria" w:hAnsi="Cambria"/>
          <w:sz w:val="24"/>
          <w:szCs w:val="24"/>
        </w:rPr>
        <w:t xml:space="preserve">cubiertas </w:t>
      </w:r>
      <w:r w:rsidR="00830B27">
        <w:rPr>
          <w:rFonts w:ascii="Cambria" w:hAnsi="Cambria"/>
          <w:sz w:val="24"/>
          <w:szCs w:val="24"/>
        </w:rPr>
        <w:t>las actuaciones pendientes</w:t>
      </w:r>
      <w:r w:rsidR="00561394">
        <w:rPr>
          <w:rFonts w:ascii="Cambria" w:hAnsi="Cambria"/>
          <w:sz w:val="24"/>
          <w:szCs w:val="24"/>
        </w:rPr>
        <w:t>, (en 2019 tampoco se procedió a dotar ninguna provisión adicional).</w:t>
      </w:r>
    </w:p>
    <w:p w14:paraId="3F9DE240" w14:textId="14FE8C06" w:rsidR="00EA56DE" w:rsidRPr="00CD3DD1" w:rsidRDefault="00D859C6" w:rsidP="00AF3519">
      <w:pPr>
        <w:pStyle w:val="Ttulo1a"/>
        <w:ind w:left="567"/>
        <w:rPr>
          <w:rFonts w:ascii="Cambria" w:hAnsi="Cambria"/>
          <w:sz w:val="24"/>
          <w:szCs w:val="24"/>
        </w:rPr>
      </w:pPr>
      <w:r w:rsidRPr="00830B27">
        <w:rPr>
          <w:rFonts w:ascii="Cambria" w:hAnsi="Cambria"/>
          <w:sz w:val="24"/>
          <w:szCs w:val="24"/>
        </w:rPr>
        <w:t>A corto plazo, l</w:t>
      </w:r>
      <w:r w:rsidR="00D84B23">
        <w:rPr>
          <w:rFonts w:ascii="Cambria" w:hAnsi="Cambria"/>
          <w:sz w:val="24"/>
          <w:szCs w:val="24"/>
        </w:rPr>
        <w:t>a provisión registrada en e</w:t>
      </w:r>
      <w:r w:rsidR="00EA56DE" w:rsidRPr="00830B27">
        <w:rPr>
          <w:rFonts w:ascii="Cambria" w:hAnsi="Cambria"/>
          <w:sz w:val="24"/>
          <w:szCs w:val="24"/>
        </w:rPr>
        <w:t xml:space="preserve">ste epígrafe </w:t>
      </w:r>
      <w:r w:rsidRPr="00830B27">
        <w:rPr>
          <w:rFonts w:ascii="Cambria" w:hAnsi="Cambria"/>
          <w:sz w:val="24"/>
          <w:szCs w:val="24"/>
        </w:rPr>
        <w:t>a cierre del ejercicio 20</w:t>
      </w:r>
      <w:r w:rsidR="00A50046">
        <w:rPr>
          <w:rFonts w:ascii="Cambria" w:hAnsi="Cambria"/>
          <w:sz w:val="24"/>
          <w:szCs w:val="24"/>
        </w:rPr>
        <w:t>20</w:t>
      </w:r>
      <w:r w:rsidR="00776AC0" w:rsidRPr="00830B27">
        <w:rPr>
          <w:rFonts w:ascii="Cambria" w:hAnsi="Cambria"/>
          <w:sz w:val="24"/>
          <w:szCs w:val="24"/>
        </w:rPr>
        <w:t xml:space="preserve"> incluye</w:t>
      </w:r>
      <w:r w:rsidR="00EA56DE" w:rsidRPr="00830B27">
        <w:rPr>
          <w:rFonts w:ascii="Cambria" w:hAnsi="Cambria"/>
          <w:sz w:val="24"/>
          <w:szCs w:val="24"/>
        </w:rPr>
        <w:t xml:space="preserve"> </w:t>
      </w:r>
      <w:r w:rsidR="002325DF" w:rsidRPr="00830B27">
        <w:rPr>
          <w:rFonts w:ascii="Cambria" w:hAnsi="Cambria"/>
          <w:sz w:val="24"/>
          <w:szCs w:val="24"/>
        </w:rPr>
        <w:t>los costes de depósito y mantenimiento</w:t>
      </w:r>
      <w:r w:rsidR="00EA56DE" w:rsidRPr="00830B27">
        <w:rPr>
          <w:rFonts w:ascii="Cambria" w:hAnsi="Cambria"/>
          <w:sz w:val="24"/>
          <w:szCs w:val="24"/>
        </w:rPr>
        <w:t xml:space="preserve"> </w:t>
      </w:r>
      <w:r w:rsidR="002325DF" w:rsidRPr="00830B27">
        <w:rPr>
          <w:rFonts w:ascii="Cambria" w:hAnsi="Cambria"/>
          <w:sz w:val="24"/>
          <w:szCs w:val="24"/>
        </w:rPr>
        <w:t>de los equipos procedentes de la extinta filial ETM hasta la fecha estimada de cobro de la deuda asociada.</w:t>
      </w:r>
    </w:p>
    <w:p w14:paraId="26FD973B" w14:textId="77777777" w:rsidR="001826CF" w:rsidRPr="00F8465B" w:rsidRDefault="001826CF" w:rsidP="00AF3519">
      <w:pPr>
        <w:pStyle w:val="Ttulo1a"/>
        <w:ind w:left="567"/>
        <w:rPr>
          <w:rFonts w:ascii="Cambria" w:hAnsi="Cambria"/>
          <w:sz w:val="24"/>
          <w:szCs w:val="24"/>
        </w:rPr>
      </w:pPr>
    </w:p>
    <w:p w14:paraId="244EBF39" w14:textId="5FBB8A08" w:rsidR="00E51C7F" w:rsidRDefault="00E51C7F">
      <w:pPr>
        <w:keepLines w:val="0"/>
        <w:widowControl/>
        <w:jc w:val="left"/>
      </w:pPr>
      <w:r>
        <w:br w:type="page"/>
      </w:r>
    </w:p>
    <w:p w14:paraId="38AB4E97" w14:textId="77777777" w:rsidR="00496456" w:rsidRPr="00F8465B" w:rsidRDefault="00496456" w:rsidP="00496456">
      <w:pPr>
        <w:pStyle w:val="Lista"/>
      </w:pPr>
    </w:p>
    <w:p w14:paraId="7C0AABE5" w14:textId="77777777" w:rsidR="00705999" w:rsidRPr="00F8465B" w:rsidRDefault="00705999" w:rsidP="00E96394">
      <w:pPr>
        <w:pStyle w:val="Ttulo4"/>
        <w:widowControl/>
        <w:numPr>
          <w:ilvl w:val="0"/>
          <w:numId w:val="3"/>
        </w:numPr>
        <w:tabs>
          <w:tab w:val="clear" w:pos="360"/>
          <w:tab w:val="left" w:pos="-448"/>
          <w:tab w:val="num" w:pos="567"/>
        </w:tabs>
        <w:spacing w:before="0" w:after="0"/>
        <w:ind w:left="567" w:right="-1" w:hanging="567"/>
        <w:rPr>
          <w:rFonts w:ascii="Cambria" w:hAnsi="Cambria"/>
          <w:kern w:val="28"/>
          <w:sz w:val="24"/>
          <w:szCs w:val="24"/>
          <w:u w:val="single"/>
          <w:lang w:val="es-ES" w:eastAsia="en-US"/>
        </w:rPr>
      </w:pPr>
      <w:r w:rsidRPr="00F8465B">
        <w:rPr>
          <w:rFonts w:ascii="Cambria" w:hAnsi="Cambria"/>
          <w:kern w:val="28"/>
          <w:sz w:val="24"/>
          <w:szCs w:val="24"/>
          <w:u w:val="single"/>
          <w:lang w:val="es-ES" w:eastAsia="en-US"/>
        </w:rPr>
        <w:t>Administraciones Públicas y situación fiscal</w:t>
      </w:r>
    </w:p>
    <w:p w14:paraId="40716741" w14:textId="77777777" w:rsidR="00705999" w:rsidRPr="00F8465B" w:rsidRDefault="00705999" w:rsidP="00705999">
      <w:pPr>
        <w:rPr>
          <w:rFonts w:ascii="Cambria" w:hAnsi="Cambria"/>
          <w:sz w:val="24"/>
          <w:szCs w:val="24"/>
        </w:rPr>
      </w:pPr>
    </w:p>
    <w:p w14:paraId="5992F437" w14:textId="77777777" w:rsidR="00705999" w:rsidRPr="00F8465B" w:rsidRDefault="00705999" w:rsidP="00E96394">
      <w:pPr>
        <w:pStyle w:val="Ttulo2"/>
        <w:keepNext/>
        <w:ind w:left="567"/>
        <w:rPr>
          <w:rFonts w:ascii="Cambria" w:hAnsi="Cambria"/>
          <w:sz w:val="24"/>
          <w:szCs w:val="24"/>
        </w:rPr>
      </w:pPr>
      <w:r w:rsidRPr="00F8465B">
        <w:rPr>
          <w:rFonts w:ascii="Cambria" w:hAnsi="Cambria"/>
          <w:sz w:val="24"/>
          <w:szCs w:val="24"/>
        </w:rPr>
        <w:t>1</w:t>
      </w:r>
      <w:r w:rsidR="002C5320" w:rsidRPr="00F8465B">
        <w:rPr>
          <w:rFonts w:ascii="Cambria" w:hAnsi="Cambria"/>
          <w:sz w:val="24"/>
          <w:szCs w:val="24"/>
        </w:rPr>
        <w:t>2</w:t>
      </w:r>
      <w:r w:rsidRPr="00F8465B">
        <w:rPr>
          <w:rFonts w:ascii="Cambria" w:hAnsi="Cambria"/>
          <w:sz w:val="24"/>
          <w:szCs w:val="24"/>
        </w:rPr>
        <w:t xml:space="preserve">.1 Saldos corrientes con las Administraciones Públicas </w:t>
      </w:r>
    </w:p>
    <w:p w14:paraId="75AFC662" w14:textId="77777777" w:rsidR="00705999" w:rsidRPr="00F8465B" w:rsidRDefault="00705999" w:rsidP="00705999">
      <w:pPr>
        <w:pStyle w:val="Listaconnmeros"/>
        <w:ind w:left="426" w:firstLine="0"/>
        <w:rPr>
          <w:rFonts w:ascii="Cambria" w:hAnsi="Cambria"/>
          <w:sz w:val="24"/>
          <w:szCs w:val="24"/>
        </w:rPr>
      </w:pPr>
    </w:p>
    <w:p w14:paraId="735A86B9" w14:textId="2532409B" w:rsidR="007F365E" w:rsidRPr="00F8465B" w:rsidRDefault="00496456" w:rsidP="002D6127">
      <w:pPr>
        <w:pStyle w:val="Ttulo1a"/>
        <w:ind w:left="567"/>
        <w:rPr>
          <w:rFonts w:ascii="Cambria" w:hAnsi="Cambria"/>
          <w:sz w:val="24"/>
          <w:szCs w:val="24"/>
        </w:rPr>
      </w:pPr>
      <w:r w:rsidRPr="00F8465B">
        <w:rPr>
          <w:rFonts w:ascii="Cambria" w:hAnsi="Cambria"/>
          <w:sz w:val="24"/>
          <w:szCs w:val="24"/>
        </w:rPr>
        <w:t>La composición de los saldos corrientes con las Administraciones Públicas, al 31 de diciembre de 20</w:t>
      </w:r>
      <w:r w:rsidR="00A50046">
        <w:rPr>
          <w:rFonts w:ascii="Cambria" w:hAnsi="Cambria"/>
          <w:sz w:val="24"/>
          <w:szCs w:val="24"/>
        </w:rPr>
        <w:t>20</w:t>
      </w:r>
      <w:r w:rsidRPr="00F8465B">
        <w:rPr>
          <w:rFonts w:ascii="Cambria" w:hAnsi="Cambria"/>
          <w:sz w:val="24"/>
          <w:szCs w:val="24"/>
        </w:rPr>
        <w:t xml:space="preserve"> y 201</w:t>
      </w:r>
      <w:r w:rsidR="00A50046">
        <w:rPr>
          <w:rFonts w:ascii="Cambria" w:hAnsi="Cambria"/>
          <w:sz w:val="24"/>
          <w:szCs w:val="24"/>
        </w:rPr>
        <w:t>9</w:t>
      </w:r>
      <w:r w:rsidRPr="00F8465B">
        <w:rPr>
          <w:rFonts w:ascii="Cambria" w:hAnsi="Cambria"/>
          <w:sz w:val="24"/>
          <w:szCs w:val="24"/>
        </w:rPr>
        <w:t>, es la siguiente (en miles de euros):</w:t>
      </w:r>
    </w:p>
    <w:p w14:paraId="72EF616A" w14:textId="50420790" w:rsidR="007F365E" w:rsidRPr="00F8465B" w:rsidRDefault="007F365E" w:rsidP="002D6127">
      <w:pPr>
        <w:pStyle w:val="Ttulo1a"/>
        <w:ind w:left="567"/>
        <w:rPr>
          <w:rFonts w:ascii="Cambria" w:hAnsi="Cambria"/>
          <w:sz w:val="24"/>
          <w:szCs w:val="24"/>
        </w:rPr>
      </w:pPr>
    </w:p>
    <w:p w14:paraId="6479033C" w14:textId="77777777" w:rsidR="007F365E" w:rsidRPr="00F8465B" w:rsidRDefault="007F365E" w:rsidP="002D6127">
      <w:pPr>
        <w:pStyle w:val="Ttulo1a"/>
        <w:ind w:left="567"/>
        <w:rPr>
          <w:rFonts w:ascii="Cambria" w:hAnsi="Cambria"/>
          <w:sz w:val="24"/>
          <w:szCs w:val="24"/>
        </w:rPr>
      </w:pPr>
    </w:p>
    <w:p w14:paraId="117E0C03" w14:textId="77777777" w:rsidR="007F365E" w:rsidRPr="00F8465B" w:rsidRDefault="007F365E" w:rsidP="007F365E">
      <w:pPr>
        <w:pStyle w:val="Ttulo2"/>
        <w:keepNext/>
        <w:ind w:left="567"/>
        <w:rPr>
          <w:rFonts w:ascii="Cambria" w:hAnsi="Cambria"/>
          <w:i/>
          <w:sz w:val="24"/>
          <w:szCs w:val="24"/>
        </w:rPr>
      </w:pPr>
      <w:r w:rsidRPr="00F8465B">
        <w:rPr>
          <w:rFonts w:ascii="Cambria" w:hAnsi="Cambria"/>
          <w:i/>
          <w:sz w:val="24"/>
          <w:szCs w:val="24"/>
        </w:rPr>
        <w:t>Saldos deudores</w:t>
      </w:r>
    </w:p>
    <w:p w14:paraId="2B9F8231" w14:textId="77777777" w:rsidR="007F365E" w:rsidRPr="00F8465B" w:rsidRDefault="007F365E" w:rsidP="002D6127">
      <w:pPr>
        <w:pStyle w:val="Ttulo1a"/>
        <w:ind w:left="567"/>
        <w:rPr>
          <w:rFonts w:ascii="Cambria" w:hAnsi="Cambria"/>
          <w:i/>
          <w:sz w:val="24"/>
          <w:szCs w:val="24"/>
        </w:rPr>
      </w:pPr>
      <w:r w:rsidRPr="00F8465B" w:rsidDel="007F365E">
        <w:rPr>
          <w:rFonts w:ascii="Cambria" w:hAnsi="Cambria"/>
          <w:sz w:val="24"/>
          <w:szCs w:val="24"/>
        </w:rPr>
        <w:t xml:space="preserve"> </w:t>
      </w:r>
    </w:p>
    <w:tbl>
      <w:tblPr>
        <w:tblW w:w="7884" w:type="dxa"/>
        <w:jc w:val="center"/>
        <w:tblCellMar>
          <w:left w:w="70" w:type="dxa"/>
          <w:right w:w="70" w:type="dxa"/>
        </w:tblCellMar>
        <w:tblLook w:val="04A0" w:firstRow="1" w:lastRow="0" w:firstColumn="1" w:lastColumn="0" w:noHBand="0" w:noVBand="1"/>
      </w:tblPr>
      <w:tblGrid>
        <w:gridCol w:w="5728"/>
        <w:gridCol w:w="1051"/>
        <w:gridCol w:w="1105"/>
      </w:tblGrid>
      <w:tr w:rsidR="00A50046" w:rsidRPr="00F8465B" w14:paraId="7C92094E" w14:textId="77777777" w:rsidTr="00A50046">
        <w:trPr>
          <w:cantSplit/>
          <w:trHeight w:val="270"/>
          <w:jc w:val="center"/>
        </w:trPr>
        <w:tc>
          <w:tcPr>
            <w:tcW w:w="5728" w:type="dxa"/>
            <w:tcBorders>
              <w:top w:val="nil"/>
              <w:left w:val="nil"/>
              <w:bottom w:val="single" w:sz="8" w:space="0" w:color="auto"/>
              <w:right w:val="nil"/>
            </w:tcBorders>
            <w:shd w:val="clear" w:color="000000" w:fill="FFFFFF"/>
            <w:noWrap/>
            <w:vAlign w:val="bottom"/>
          </w:tcPr>
          <w:p w14:paraId="215266FF" w14:textId="77777777" w:rsidR="00A50046" w:rsidRPr="00F8465B" w:rsidRDefault="00A50046" w:rsidP="00A50046">
            <w:pPr>
              <w:keepLines w:val="0"/>
              <w:widowControl/>
              <w:jc w:val="center"/>
              <w:rPr>
                <w:rFonts w:ascii="Cambria" w:hAnsi="Cambria"/>
                <w:sz w:val="20"/>
                <w:lang w:val="es-ES"/>
              </w:rPr>
            </w:pPr>
            <w:r w:rsidRPr="00F8465B">
              <w:rPr>
                <w:rFonts w:ascii="Cambria" w:hAnsi="Cambria"/>
                <w:sz w:val="20"/>
                <w:lang w:val="es-ES"/>
              </w:rPr>
              <w:t> </w:t>
            </w:r>
          </w:p>
        </w:tc>
        <w:tc>
          <w:tcPr>
            <w:tcW w:w="1051" w:type="dxa"/>
            <w:tcBorders>
              <w:top w:val="single" w:sz="8" w:space="0" w:color="auto"/>
              <w:left w:val="single" w:sz="8" w:space="0" w:color="auto"/>
              <w:bottom w:val="single" w:sz="4" w:space="0" w:color="auto"/>
              <w:right w:val="single" w:sz="8" w:space="0" w:color="auto"/>
            </w:tcBorders>
            <w:shd w:val="clear" w:color="000000" w:fill="FFFFFF"/>
          </w:tcPr>
          <w:p w14:paraId="71460C44" w14:textId="2DC908FE" w:rsidR="00A50046" w:rsidRPr="00D5774E" w:rsidRDefault="00A50046" w:rsidP="00A50046">
            <w:pPr>
              <w:keepLines w:val="0"/>
              <w:widowControl/>
              <w:jc w:val="center"/>
              <w:rPr>
                <w:rFonts w:ascii="Cambria" w:hAnsi="Cambria"/>
                <w:b/>
                <w:bCs/>
                <w:snapToGrid w:val="0"/>
                <w:sz w:val="20"/>
                <w:lang w:val="es-ES"/>
              </w:rPr>
            </w:pPr>
            <w:r w:rsidRPr="00D5774E">
              <w:rPr>
                <w:rFonts w:ascii="Cambria" w:hAnsi="Cambria"/>
                <w:b/>
                <w:bCs/>
                <w:snapToGrid w:val="0"/>
                <w:sz w:val="20"/>
                <w:lang w:val="es-ES"/>
              </w:rPr>
              <w:t>2020</w:t>
            </w:r>
          </w:p>
        </w:tc>
        <w:tc>
          <w:tcPr>
            <w:tcW w:w="1105" w:type="dxa"/>
            <w:tcBorders>
              <w:top w:val="single" w:sz="8" w:space="0" w:color="auto"/>
              <w:left w:val="single" w:sz="8" w:space="0" w:color="auto"/>
              <w:bottom w:val="single" w:sz="8" w:space="0" w:color="auto"/>
              <w:right w:val="single" w:sz="8" w:space="0" w:color="auto"/>
            </w:tcBorders>
            <w:shd w:val="clear" w:color="000000" w:fill="FFFFFF"/>
          </w:tcPr>
          <w:p w14:paraId="6CAA4DBD" w14:textId="4C18ED7E" w:rsidR="00A50046" w:rsidRDefault="00A50046" w:rsidP="00A50046">
            <w:pPr>
              <w:keepLines w:val="0"/>
              <w:widowControl/>
              <w:jc w:val="center"/>
              <w:rPr>
                <w:rFonts w:ascii="Cambria" w:hAnsi="Cambria"/>
                <w:b/>
                <w:bCs/>
                <w:snapToGrid w:val="0"/>
                <w:sz w:val="20"/>
                <w:lang w:val="es-ES"/>
              </w:rPr>
            </w:pPr>
            <w:r>
              <w:rPr>
                <w:rFonts w:ascii="Cambria" w:hAnsi="Cambria"/>
                <w:b/>
                <w:bCs/>
                <w:snapToGrid w:val="0"/>
                <w:sz w:val="20"/>
                <w:lang w:val="es-ES"/>
              </w:rPr>
              <w:t>2019</w:t>
            </w:r>
          </w:p>
        </w:tc>
      </w:tr>
      <w:tr w:rsidR="00A50046" w:rsidRPr="00F8465B" w14:paraId="504C67ED" w14:textId="77777777" w:rsidTr="00A50046">
        <w:trPr>
          <w:cantSplit/>
          <w:trHeight w:val="255"/>
          <w:jc w:val="center"/>
        </w:trPr>
        <w:tc>
          <w:tcPr>
            <w:tcW w:w="5728" w:type="dxa"/>
            <w:tcBorders>
              <w:top w:val="nil"/>
              <w:left w:val="single" w:sz="8" w:space="0" w:color="auto"/>
              <w:bottom w:val="nil"/>
              <w:right w:val="single" w:sz="4" w:space="0" w:color="auto"/>
            </w:tcBorders>
            <w:shd w:val="clear" w:color="000000" w:fill="FFFFFF"/>
          </w:tcPr>
          <w:p w14:paraId="097BE296" w14:textId="77777777" w:rsidR="00A50046" w:rsidRPr="00F8465B" w:rsidRDefault="00A50046" w:rsidP="00A50046">
            <w:pPr>
              <w:keepLines w:val="0"/>
              <w:widowControl/>
              <w:jc w:val="left"/>
              <w:rPr>
                <w:rFonts w:ascii="Cambria" w:hAnsi="Cambria"/>
                <w:b/>
                <w:bCs/>
                <w:sz w:val="20"/>
                <w:lang w:val="es-ES"/>
              </w:rPr>
            </w:pPr>
            <w:r w:rsidRPr="00F8465B">
              <w:rPr>
                <w:rFonts w:ascii="Cambria" w:hAnsi="Cambria"/>
                <w:b/>
                <w:bCs/>
                <w:snapToGrid w:val="0"/>
                <w:sz w:val="20"/>
                <w:lang w:val="es-ES"/>
              </w:rPr>
              <w:t> </w:t>
            </w:r>
          </w:p>
        </w:tc>
        <w:tc>
          <w:tcPr>
            <w:tcW w:w="1051" w:type="dxa"/>
            <w:tcBorders>
              <w:top w:val="single" w:sz="4" w:space="0" w:color="auto"/>
              <w:left w:val="single" w:sz="4" w:space="0" w:color="auto"/>
              <w:bottom w:val="nil"/>
              <w:right w:val="single" w:sz="4" w:space="0" w:color="auto"/>
            </w:tcBorders>
            <w:shd w:val="clear" w:color="000000" w:fill="FFFFFF"/>
          </w:tcPr>
          <w:p w14:paraId="70B041AC" w14:textId="2EA4C3D7" w:rsidR="00A50046" w:rsidRPr="00D5774E" w:rsidRDefault="00A50046" w:rsidP="00A50046">
            <w:pPr>
              <w:keepLines w:val="0"/>
              <w:widowControl/>
              <w:jc w:val="left"/>
              <w:rPr>
                <w:rFonts w:ascii="Cambria" w:hAnsi="Cambria"/>
                <w:snapToGrid w:val="0"/>
                <w:sz w:val="20"/>
                <w:lang w:val="es-ES"/>
              </w:rPr>
            </w:pPr>
          </w:p>
        </w:tc>
        <w:tc>
          <w:tcPr>
            <w:tcW w:w="1105" w:type="dxa"/>
            <w:tcBorders>
              <w:top w:val="nil"/>
              <w:left w:val="single" w:sz="4" w:space="0" w:color="auto"/>
              <w:bottom w:val="nil"/>
              <w:right w:val="single" w:sz="4" w:space="0" w:color="auto"/>
            </w:tcBorders>
            <w:shd w:val="clear" w:color="000000" w:fill="FFFFFF"/>
          </w:tcPr>
          <w:p w14:paraId="18850AB6" w14:textId="77777777" w:rsidR="00A50046" w:rsidRPr="00F8465B" w:rsidRDefault="00A50046" w:rsidP="00A50046">
            <w:pPr>
              <w:keepLines w:val="0"/>
              <w:widowControl/>
              <w:jc w:val="left"/>
              <w:rPr>
                <w:rFonts w:ascii="Cambria" w:hAnsi="Cambria"/>
                <w:snapToGrid w:val="0"/>
                <w:sz w:val="20"/>
                <w:lang w:val="es-ES"/>
              </w:rPr>
            </w:pPr>
          </w:p>
        </w:tc>
      </w:tr>
      <w:tr w:rsidR="00A50046" w:rsidRPr="00F8465B" w14:paraId="15CE313B" w14:textId="77777777" w:rsidTr="00A50046">
        <w:trPr>
          <w:cantSplit/>
          <w:trHeight w:val="255"/>
          <w:jc w:val="center"/>
        </w:trPr>
        <w:tc>
          <w:tcPr>
            <w:tcW w:w="5728" w:type="dxa"/>
            <w:tcBorders>
              <w:top w:val="nil"/>
              <w:left w:val="single" w:sz="8" w:space="0" w:color="auto"/>
              <w:bottom w:val="nil"/>
              <w:right w:val="single" w:sz="4" w:space="0" w:color="auto"/>
            </w:tcBorders>
            <w:shd w:val="clear" w:color="000000" w:fill="FFFFFF"/>
          </w:tcPr>
          <w:p w14:paraId="1E3BD228" w14:textId="77777777" w:rsidR="00A50046" w:rsidRPr="00F8465B" w:rsidRDefault="00A50046" w:rsidP="00A50046">
            <w:pPr>
              <w:keepLines w:val="0"/>
              <w:widowControl/>
              <w:jc w:val="left"/>
              <w:rPr>
                <w:rFonts w:ascii="Cambria" w:hAnsi="Cambria"/>
                <w:b/>
                <w:bCs/>
                <w:sz w:val="20"/>
                <w:lang w:val="es-ES"/>
              </w:rPr>
            </w:pPr>
            <w:r w:rsidRPr="00F8465B">
              <w:rPr>
                <w:rFonts w:ascii="Cambria" w:hAnsi="Cambria"/>
                <w:b/>
                <w:bCs/>
                <w:snapToGrid w:val="0"/>
                <w:sz w:val="20"/>
                <w:lang w:val="es-ES"/>
              </w:rPr>
              <w:t>Activo no corriente</w:t>
            </w:r>
          </w:p>
        </w:tc>
        <w:tc>
          <w:tcPr>
            <w:tcW w:w="1051" w:type="dxa"/>
            <w:tcBorders>
              <w:top w:val="nil"/>
              <w:left w:val="single" w:sz="4" w:space="0" w:color="auto"/>
              <w:bottom w:val="nil"/>
              <w:right w:val="single" w:sz="4" w:space="0" w:color="auto"/>
            </w:tcBorders>
            <w:shd w:val="clear" w:color="000000" w:fill="FFFFFF"/>
          </w:tcPr>
          <w:p w14:paraId="77FA00F3" w14:textId="77777777" w:rsidR="00A50046" w:rsidRPr="00D5774E" w:rsidRDefault="00A50046" w:rsidP="00A50046">
            <w:pPr>
              <w:keepLines w:val="0"/>
              <w:widowControl/>
              <w:jc w:val="right"/>
              <w:rPr>
                <w:rFonts w:ascii="Cambria" w:hAnsi="Cambria"/>
                <w:b/>
                <w:sz w:val="20"/>
                <w:lang w:val="es-ES"/>
              </w:rPr>
            </w:pPr>
          </w:p>
        </w:tc>
        <w:tc>
          <w:tcPr>
            <w:tcW w:w="1105" w:type="dxa"/>
            <w:tcBorders>
              <w:top w:val="nil"/>
              <w:left w:val="single" w:sz="4" w:space="0" w:color="auto"/>
              <w:bottom w:val="nil"/>
              <w:right w:val="single" w:sz="4" w:space="0" w:color="auto"/>
            </w:tcBorders>
            <w:shd w:val="clear" w:color="000000" w:fill="FFFFFF"/>
          </w:tcPr>
          <w:p w14:paraId="575EBD6A" w14:textId="77777777" w:rsidR="00A50046" w:rsidRPr="00F8465B" w:rsidRDefault="00A50046" w:rsidP="00A50046">
            <w:pPr>
              <w:keepLines w:val="0"/>
              <w:widowControl/>
              <w:jc w:val="right"/>
              <w:rPr>
                <w:rFonts w:ascii="Cambria" w:hAnsi="Cambria"/>
                <w:b/>
                <w:sz w:val="20"/>
                <w:lang w:val="es-ES"/>
              </w:rPr>
            </w:pPr>
          </w:p>
        </w:tc>
      </w:tr>
      <w:tr w:rsidR="00A50046" w:rsidRPr="00F8465B" w14:paraId="4061CEA3" w14:textId="77777777" w:rsidTr="00A50046">
        <w:trPr>
          <w:cantSplit/>
          <w:trHeight w:val="270"/>
          <w:jc w:val="center"/>
        </w:trPr>
        <w:tc>
          <w:tcPr>
            <w:tcW w:w="5728" w:type="dxa"/>
            <w:tcBorders>
              <w:top w:val="nil"/>
              <w:left w:val="single" w:sz="8" w:space="0" w:color="auto"/>
              <w:bottom w:val="nil"/>
              <w:right w:val="single" w:sz="4" w:space="0" w:color="auto"/>
            </w:tcBorders>
            <w:shd w:val="clear" w:color="000000" w:fill="FFFFFF"/>
          </w:tcPr>
          <w:p w14:paraId="22436506" w14:textId="77777777" w:rsidR="00A50046" w:rsidRPr="00F8465B" w:rsidRDefault="00A50046" w:rsidP="00A50046">
            <w:pPr>
              <w:keepLines w:val="0"/>
              <w:widowControl/>
              <w:jc w:val="left"/>
              <w:rPr>
                <w:rFonts w:ascii="Cambria" w:hAnsi="Cambria"/>
                <w:sz w:val="20"/>
                <w:lang w:val="es-ES"/>
              </w:rPr>
            </w:pPr>
            <w:r w:rsidRPr="00F8465B">
              <w:rPr>
                <w:rFonts w:ascii="Cambria" w:hAnsi="Cambria"/>
                <w:snapToGrid w:val="0"/>
                <w:sz w:val="20"/>
                <w:lang w:val="es-ES"/>
              </w:rPr>
              <w:t>Activos por impuesto diferido</w:t>
            </w:r>
          </w:p>
        </w:tc>
        <w:tc>
          <w:tcPr>
            <w:tcW w:w="1051" w:type="dxa"/>
            <w:tcBorders>
              <w:top w:val="nil"/>
              <w:left w:val="single" w:sz="4" w:space="0" w:color="auto"/>
              <w:bottom w:val="nil"/>
              <w:right w:val="single" w:sz="4" w:space="0" w:color="auto"/>
            </w:tcBorders>
            <w:shd w:val="clear" w:color="000000" w:fill="FFFFFF"/>
          </w:tcPr>
          <w:p w14:paraId="0E8760B0" w14:textId="6451B1B4" w:rsidR="00A50046" w:rsidRPr="00D5774E" w:rsidRDefault="00D5774E" w:rsidP="00A50046">
            <w:pPr>
              <w:keepLines w:val="0"/>
              <w:widowControl/>
              <w:jc w:val="right"/>
              <w:rPr>
                <w:rFonts w:ascii="Cambria" w:hAnsi="Cambria"/>
                <w:b/>
                <w:sz w:val="20"/>
                <w:lang w:val="es-ES"/>
              </w:rPr>
            </w:pPr>
            <w:r w:rsidRPr="00D5774E">
              <w:rPr>
                <w:rFonts w:ascii="Cambria" w:hAnsi="Cambria"/>
                <w:b/>
                <w:sz w:val="20"/>
                <w:lang w:val="es-ES"/>
              </w:rPr>
              <w:t>3.087</w:t>
            </w:r>
          </w:p>
        </w:tc>
        <w:tc>
          <w:tcPr>
            <w:tcW w:w="1105" w:type="dxa"/>
            <w:tcBorders>
              <w:top w:val="nil"/>
              <w:left w:val="single" w:sz="4" w:space="0" w:color="auto"/>
              <w:bottom w:val="nil"/>
              <w:right w:val="single" w:sz="4" w:space="0" w:color="auto"/>
            </w:tcBorders>
            <w:shd w:val="clear" w:color="000000" w:fill="FFFFFF"/>
          </w:tcPr>
          <w:p w14:paraId="480465FE" w14:textId="735BCA6B" w:rsidR="00A50046" w:rsidRDefault="00A50046" w:rsidP="00A50046">
            <w:pPr>
              <w:keepLines w:val="0"/>
              <w:widowControl/>
              <w:jc w:val="right"/>
              <w:rPr>
                <w:rFonts w:ascii="Cambria" w:hAnsi="Cambria"/>
                <w:b/>
                <w:sz w:val="20"/>
                <w:lang w:val="es-ES"/>
              </w:rPr>
            </w:pPr>
            <w:r>
              <w:rPr>
                <w:rFonts w:ascii="Cambria" w:hAnsi="Cambria"/>
                <w:b/>
                <w:sz w:val="20"/>
                <w:lang w:val="es-ES"/>
              </w:rPr>
              <w:t>3.640</w:t>
            </w:r>
          </w:p>
        </w:tc>
      </w:tr>
      <w:tr w:rsidR="00A50046" w:rsidRPr="00F8465B" w14:paraId="0A1AE746" w14:textId="77777777" w:rsidTr="00A50046">
        <w:trPr>
          <w:cantSplit/>
          <w:trHeight w:val="270"/>
          <w:jc w:val="center"/>
        </w:trPr>
        <w:tc>
          <w:tcPr>
            <w:tcW w:w="5728" w:type="dxa"/>
            <w:tcBorders>
              <w:top w:val="nil"/>
              <w:left w:val="single" w:sz="8" w:space="0" w:color="auto"/>
              <w:right w:val="single" w:sz="4" w:space="0" w:color="auto"/>
            </w:tcBorders>
            <w:shd w:val="clear" w:color="000000" w:fill="FFFFFF"/>
          </w:tcPr>
          <w:p w14:paraId="03410C93" w14:textId="77777777" w:rsidR="00A50046" w:rsidRPr="00F8465B" w:rsidRDefault="00A50046" w:rsidP="00A50046">
            <w:pPr>
              <w:keepLines w:val="0"/>
              <w:widowControl/>
              <w:jc w:val="left"/>
              <w:rPr>
                <w:rFonts w:ascii="Cambria" w:hAnsi="Cambria"/>
                <w:b/>
                <w:snapToGrid w:val="0"/>
                <w:sz w:val="20"/>
                <w:lang w:val="es-ES"/>
              </w:rPr>
            </w:pPr>
            <w:r w:rsidRPr="00F8465B">
              <w:rPr>
                <w:rFonts w:ascii="Cambria" w:hAnsi="Cambria"/>
                <w:b/>
                <w:snapToGrid w:val="0"/>
                <w:sz w:val="20"/>
                <w:lang w:val="es-ES"/>
              </w:rPr>
              <w:t>Otros créditos con las Administraciones Públicas</w:t>
            </w:r>
          </w:p>
        </w:tc>
        <w:tc>
          <w:tcPr>
            <w:tcW w:w="1051" w:type="dxa"/>
            <w:tcBorders>
              <w:top w:val="nil"/>
              <w:left w:val="single" w:sz="4" w:space="0" w:color="auto"/>
              <w:right w:val="single" w:sz="4" w:space="0" w:color="auto"/>
            </w:tcBorders>
            <w:shd w:val="clear" w:color="000000" w:fill="FFFFFF"/>
          </w:tcPr>
          <w:p w14:paraId="718C1035" w14:textId="0728ACA8" w:rsidR="00A50046" w:rsidRPr="00D5774E" w:rsidRDefault="00D5774E" w:rsidP="00D5774E">
            <w:pPr>
              <w:keepLines w:val="0"/>
              <w:widowControl/>
              <w:jc w:val="center"/>
              <w:rPr>
                <w:rFonts w:ascii="Cambria" w:hAnsi="Cambria"/>
                <w:b/>
                <w:snapToGrid w:val="0"/>
                <w:sz w:val="20"/>
                <w:lang w:val="es-ES"/>
              </w:rPr>
            </w:pPr>
            <w:r w:rsidRPr="00D5774E">
              <w:rPr>
                <w:rFonts w:ascii="Cambria" w:hAnsi="Cambria"/>
                <w:b/>
                <w:snapToGrid w:val="0"/>
                <w:sz w:val="20"/>
                <w:lang w:val="es-ES"/>
              </w:rPr>
              <w:t>-</w:t>
            </w:r>
          </w:p>
        </w:tc>
        <w:tc>
          <w:tcPr>
            <w:tcW w:w="1105" w:type="dxa"/>
            <w:tcBorders>
              <w:top w:val="nil"/>
              <w:left w:val="single" w:sz="4" w:space="0" w:color="auto"/>
              <w:right w:val="single" w:sz="4" w:space="0" w:color="auto"/>
            </w:tcBorders>
            <w:shd w:val="clear" w:color="000000" w:fill="FFFFFF"/>
          </w:tcPr>
          <w:p w14:paraId="3172CC25" w14:textId="23716E4C" w:rsidR="00A50046" w:rsidRDefault="00A50046" w:rsidP="00A50046">
            <w:pPr>
              <w:keepLines w:val="0"/>
              <w:widowControl/>
              <w:jc w:val="right"/>
              <w:rPr>
                <w:rFonts w:ascii="Cambria" w:hAnsi="Cambria"/>
                <w:b/>
                <w:snapToGrid w:val="0"/>
                <w:sz w:val="20"/>
                <w:lang w:val="es-ES"/>
              </w:rPr>
            </w:pPr>
            <w:r>
              <w:rPr>
                <w:rFonts w:ascii="Cambria" w:hAnsi="Cambria"/>
                <w:b/>
                <w:snapToGrid w:val="0"/>
                <w:sz w:val="20"/>
                <w:lang w:val="es-ES"/>
              </w:rPr>
              <w:t>3</w:t>
            </w:r>
          </w:p>
        </w:tc>
      </w:tr>
      <w:tr w:rsidR="00A50046" w:rsidRPr="00F8465B" w14:paraId="6CA88CC0" w14:textId="77777777" w:rsidTr="00A50046">
        <w:trPr>
          <w:cantSplit/>
          <w:trHeight w:val="270"/>
          <w:jc w:val="center"/>
        </w:trPr>
        <w:tc>
          <w:tcPr>
            <w:tcW w:w="5728" w:type="dxa"/>
            <w:tcBorders>
              <w:top w:val="nil"/>
              <w:left w:val="single" w:sz="8" w:space="0" w:color="auto"/>
              <w:bottom w:val="single" w:sz="8" w:space="0" w:color="auto"/>
              <w:right w:val="single" w:sz="4" w:space="0" w:color="auto"/>
            </w:tcBorders>
            <w:shd w:val="clear" w:color="000000" w:fill="FFFFFF"/>
          </w:tcPr>
          <w:p w14:paraId="45270C3F" w14:textId="77777777" w:rsidR="00A50046" w:rsidRPr="00F8465B" w:rsidRDefault="00A50046" w:rsidP="00A50046">
            <w:pPr>
              <w:keepLines w:val="0"/>
              <w:widowControl/>
              <w:jc w:val="left"/>
              <w:rPr>
                <w:rFonts w:ascii="Cambria" w:hAnsi="Cambria"/>
                <w:snapToGrid w:val="0"/>
                <w:sz w:val="20"/>
                <w:lang w:val="es-ES"/>
              </w:rPr>
            </w:pPr>
            <w:r w:rsidRPr="00F8465B">
              <w:rPr>
                <w:rFonts w:ascii="Cambria" w:hAnsi="Cambria"/>
                <w:snapToGrid w:val="0"/>
                <w:sz w:val="20"/>
                <w:lang w:val="es-ES"/>
              </w:rPr>
              <w:t>Hacienda Pública deudora por IVA</w:t>
            </w:r>
          </w:p>
        </w:tc>
        <w:tc>
          <w:tcPr>
            <w:tcW w:w="1051" w:type="dxa"/>
            <w:tcBorders>
              <w:top w:val="nil"/>
              <w:left w:val="single" w:sz="4" w:space="0" w:color="auto"/>
              <w:bottom w:val="single" w:sz="4" w:space="0" w:color="auto"/>
              <w:right w:val="single" w:sz="4" w:space="0" w:color="auto"/>
            </w:tcBorders>
            <w:shd w:val="clear" w:color="000000" w:fill="FFFFFF"/>
          </w:tcPr>
          <w:p w14:paraId="060D9FFC" w14:textId="2D1B30B7" w:rsidR="00A50046" w:rsidRPr="00D5774E" w:rsidRDefault="00D5774E" w:rsidP="00D5774E">
            <w:pPr>
              <w:keepLines w:val="0"/>
              <w:widowControl/>
              <w:jc w:val="center"/>
              <w:rPr>
                <w:rFonts w:ascii="Cambria" w:hAnsi="Cambria"/>
                <w:snapToGrid w:val="0"/>
                <w:sz w:val="20"/>
                <w:lang w:val="es-ES"/>
              </w:rPr>
            </w:pPr>
            <w:r w:rsidRPr="00D5774E">
              <w:rPr>
                <w:rFonts w:ascii="Cambria" w:hAnsi="Cambria"/>
                <w:snapToGrid w:val="0"/>
                <w:sz w:val="20"/>
                <w:lang w:val="es-ES"/>
              </w:rPr>
              <w:t>-</w:t>
            </w:r>
          </w:p>
        </w:tc>
        <w:tc>
          <w:tcPr>
            <w:tcW w:w="1105" w:type="dxa"/>
            <w:tcBorders>
              <w:top w:val="nil"/>
              <w:left w:val="single" w:sz="4" w:space="0" w:color="auto"/>
              <w:bottom w:val="single" w:sz="8" w:space="0" w:color="auto"/>
              <w:right w:val="single" w:sz="4" w:space="0" w:color="auto"/>
            </w:tcBorders>
            <w:shd w:val="clear" w:color="000000" w:fill="FFFFFF"/>
          </w:tcPr>
          <w:p w14:paraId="74516F84" w14:textId="51A1242A" w:rsidR="00A50046" w:rsidRDefault="00A50046" w:rsidP="00A50046">
            <w:pPr>
              <w:keepLines w:val="0"/>
              <w:widowControl/>
              <w:jc w:val="right"/>
              <w:rPr>
                <w:rFonts w:ascii="Cambria" w:hAnsi="Cambria"/>
                <w:snapToGrid w:val="0"/>
                <w:sz w:val="20"/>
                <w:lang w:val="es-ES"/>
              </w:rPr>
            </w:pPr>
            <w:r>
              <w:rPr>
                <w:rFonts w:ascii="Cambria" w:hAnsi="Cambria"/>
                <w:snapToGrid w:val="0"/>
                <w:sz w:val="20"/>
                <w:lang w:val="es-ES"/>
              </w:rPr>
              <w:t>3</w:t>
            </w:r>
          </w:p>
        </w:tc>
      </w:tr>
    </w:tbl>
    <w:p w14:paraId="192C9AFD" w14:textId="77777777" w:rsidR="007F365E" w:rsidRPr="00F8465B" w:rsidRDefault="007F365E" w:rsidP="007F365E">
      <w:pPr>
        <w:pStyle w:val="Ttulo2"/>
        <w:keepNext/>
        <w:ind w:left="426"/>
        <w:rPr>
          <w:rFonts w:ascii="Cambria" w:hAnsi="Cambria"/>
          <w:i/>
          <w:szCs w:val="22"/>
        </w:rPr>
      </w:pPr>
    </w:p>
    <w:p w14:paraId="5F428B7D" w14:textId="77777777" w:rsidR="007F365E" w:rsidRPr="00F8465B" w:rsidRDefault="007F365E" w:rsidP="007F365E">
      <w:pPr>
        <w:pStyle w:val="Ttulo2"/>
        <w:keepNext/>
        <w:ind w:left="567"/>
        <w:rPr>
          <w:rFonts w:ascii="Cambria" w:hAnsi="Cambria"/>
          <w:i/>
          <w:sz w:val="24"/>
          <w:szCs w:val="24"/>
        </w:rPr>
      </w:pPr>
      <w:r w:rsidRPr="00F8465B">
        <w:rPr>
          <w:rFonts w:ascii="Cambria" w:hAnsi="Cambria"/>
          <w:i/>
          <w:sz w:val="24"/>
          <w:szCs w:val="24"/>
        </w:rPr>
        <w:t>Saldos acreedores</w:t>
      </w:r>
    </w:p>
    <w:tbl>
      <w:tblPr>
        <w:tblW w:w="7909" w:type="dxa"/>
        <w:tblInd w:w="596" w:type="dxa"/>
        <w:tblCellMar>
          <w:left w:w="70" w:type="dxa"/>
          <w:right w:w="70" w:type="dxa"/>
        </w:tblCellMar>
        <w:tblLook w:val="04A0" w:firstRow="1" w:lastRow="0" w:firstColumn="1" w:lastColumn="0" w:noHBand="0" w:noVBand="1"/>
      </w:tblPr>
      <w:tblGrid>
        <w:gridCol w:w="5731"/>
        <w:gridCol w:w="1054"/>
        <w:gridCol w:w="1124"/>
      </w:tblGrid>
      <w:tr w:rsidR="00A50046" w:rsidRPr="00F8465B" w14:paraId="3A907456" w14:textId="77777777" w:rsidTr="00D5774E">
        <w:trPr>
          <w:trHeight w:val="270"/>
        </w:trPr>
        <w:tc>
          <w:tcPr>
            <w:tcW w:w="5731" w:type="dxa"/>
            <w:tcBorders>
              <w:top w:val="nil"/>
              <w:left w:val="nil"/>
              <w:bottom w:val="single" w:sz="8" w:space="0" w:color="auto"/>
              <w:right w:val="nil"/>
            </w:tcBorders>
            <w:shd w:val="clear" w:color="000000" w:fill="FFFFFF"/>
            <w:noWrap/>
            <w:vAlign w:val="bottom"/>
          </w:tcPr>
          <w:p w14:paraId="16EE215D" w14:textId="77777777" w:rsidR="00A50046" w:rsidRPr="00F8465B" w:rsidRDefault="00A50046" w:rsidP="00A50046">
            <w:pPr>
              <w:keepLines w:val="0"/>
              <w:widowControl/>
              <w:jc w:val="center"/>
              <w:rPr>
                <w:rFonts w:ascii="Cambria" w:hAnsi="Cambria"/>
                <w:color w:val="000000"/>
                <w:sz w:val="20"/>
                <w:lang w:val="es-ES"/>
              </w:rPr>
            </w:pPr>
            <w:r w:rsidRPr="00F8465B">
              <w:rPr>
                <w:rFonts w:ascii="Cambria" w:hAnsi="Cambria"/>
                <w:color w:val="000000"/>
                <w:sz w:val="20"/>
                <w:lang w:val="es-ES"/>
              </w:rPr>
              <w:t> </w:t>
            </w:r>
          </w:p>
        </w:tc>
        <w:tc>
          <w:tcPr>
            <w:tcW w:w="1054" w:type="dxa"/>
            <w:tcBorders>
              <w:top w:val="single" w:sz="8" w:space="0" w:color="auto"/>
              <w:left w:val="single" w:sz="8" w:space="0" w:color="auto"/>
              <w:bottom w:val="single" w:sz="4" w:space="0" w:color="auto"/>
              <w:right w:val="single" w:sz="8" w:space="0" w:color="auto"/>
            </w:tcBorders>
            <w:shd w:val="clear" w:color="auto" w:fill="auto"/>
          </w:tcPr>
          <w:p w14:paraId="4882B64A" w14:textId="70BFCDD2" w:rsidR="00A50046" w:rsidRPr="00D5774E" w:rsidRDefault="00A50046" w:rsidP="00A50046">
            <w:pPr>
              <w:keepLines w:val="0"/>
              <w:widowControl/>
              <w:jc w:val="center"/>
              <w:rPr>
                <w:rFonts w:ascii="Cambria" w:hAnsi="Cambria"/>
                <w:b/>
                <w:bCs/>
                <w:snapToGrid w:val="0"/>
                <w:sz w:val="20"/>
                <w:lang w:val="es-ES"/>
              </w:rPr>
            </w:pPr>
            <w:r w:rsidRPr="00D5774E">
              <w:rPr>
                <w:rFonts w:ascii="Cambria" w:hAnsi="Cambria"/>
                <w:b/>
                <w:bCs/>
                <w:snapToGrid w:val="0"/>
                <w:sz w:val="20"/>
                <w:lang w:val="es-ES"/>
              </w:rPr>
              <w:t>2020</w:t>
            </w:r>
          </w:p>
        </w:tc>
        <w:tc>
          <w:tcPr>
            <w:tcW w:w="1124" w:type="dxa"/>
            <w:tcBorders>
              <w:top w:val="single" w:sz="8" w:space="0" w:color="auto"/>
              <w:left w:val="single" w:sz="8" w:space="0" w:color="auto"/>
              <w:bottom w:val="single" w:sz="4" w:space="0" w:color="auto"/>
              <w:right w:val="single" w:sz="8" w:space="0" w:color="auto"/>
            </w:tcBorders>
            <w:shd w:val="clear" w:color="auto" w:fill="auto"/>
          </w:tcPr>
          <w:p w14:paraId="1577ED8D" w14:textId="266707BC" w:rsidR="00A50046" w:rsidRPr="00D5774E" w:rsidRDefault="00A50046" w:rsidP="00A50046">
            <w:pPr>
              <w:keepLines w:val="0"/>
              <w:widowControl/>
              <w:jc w:val="center"/>
              <w:rPr>
                <w:rFonts w:ascii="Cambria" w:hAnsi="Cambria"/>
                <w:b/>
                <w:bCs/>
                <w:snapToGrid w:val="0"/>
                <w:sz w:val="20"/>
                <w:lang w:val="es-ES"/>
              </w:rPr>
            </w:pPr>
            <w:r w:rsidRPr="00D5774E">
              <w:rPr>
                <w:rFonts w:ascii="Cambria" w:hAnsi="Cambria"/>
                <w:b/>
                <w:bCs/>
                <w:snapToGrid w:val="0"/>
                <w:sz w:val="20"/>
                <w:lang w:val="es-ES"/>
              </w:rPr>
              <w:t>2019</w:t>
            </w:r>
          </w:p>
        </w:tc>
      </w:tr>
      <w:tr w:rsidR="00A50046" w:rsidRPr="00F8465B" w14:paraId="636ECC32" w14:textId="77777777" w:rsidTr="00A50046">
        <w:trPr>
          <w:cantSplit/>
          <w:trHeight w:val="255"/>
        </w:trPr>
        <w:tc>
          <w:tcPr>
            <w:tcW w:w="5731" w:type="dxa"/>
            <w:tcBorders>
              <w:top w:val="nil"/>
              <w:left w:val="single" w:sz="8" w:space="0" w:color="auto"/>
              <w:bottom w:val="nil"/>
              <w:right w:val="single" w:sz="4" w:space="0" w:color="auto"/>
            </w:tcBorders>
            <w:shd w:val="clear" w:color="000000" w:fill="FFFFFF"/>
          </w:tcPr>
          <w:p w14:paraId="52CBD085" w14:textId="77777777" w:rsidR="00A50046" w:rsidRPr="00F8465B" w:rsidRDefault="00A50046" w:rsidP="00A50046">
            <w:pPr>
              <w:keepLines w:val="0"/>
              <w:widowControl/>
              <w:jc w:val="left"/>
              <w:rPr>
                <w:rFonts w:ascii="Cambria" w:hAnsi="Cambria"/>
                <w:b/>
                <w:bCs/>
                <w:color w:val="000000"/>
                <w:sz w:val="20"/>
                <w:lang w:val="es-ES"/>
              </w:rPr>
            </w:pPr>
            <w:r w:rsidRPr="00F8465B">
              <w:rPr>
                <w:rFonts w:ascii="Cambria" w:hAnsi="Cambria"/>
                <w:b/>
                <w:bCs/>
                <w:snapToGrid w:val="0"/>
                <w:color w:val="000000"/>
                <w:sz w:val="20"/>
                <w:lang w:val="es-ES"/>
              </w:rPr>
              <w:t> </w:t>
            </w:r>
          </w:p>
        </w:tc>
        <w:tc>
          <w:tcPr>
            <w:tcW w:w="1054" w:type="dxa"/>
            <w:tcBorders>
              <w:top w:val="single" w:sz="4" w:space="0" w:color="auto"/>
              <w:left w:val="single" w:sz="4" w:space="0" w:color="auto"/>
              <w:bottom w:val="nil"/>
              <w:right w:val="single" w:sz="4" w:space="0" w:color="auto"/>
            </w:tcBorders>
            <w:shd w:val="clear" w:color="000000" w:fill="FFFFFF"/>
          </w:tcPr>
          <w:p w14:paraId="700B70E1" w14:textId="4E87DC55" w:rsidR="00A50046" w:rsidRPr="00F8465B" w:rsidRDefault="00A50046" w:rsidP="00A50046">
            <w:pPr>
              <w:keepLines w:val="0"/>
              <w:widowControl/>
              <w:jc w:val="center"/>
              <w:rPr>
                <w:rFonts w:ascii="Cambria" w:hAnsi="Cambria"/>
                <w:snapToGrid w:val="0"/>
                <w:sz w:val="20"/>
                <w:lang w:val="es-ES"/>
              </w:rPr>
            </w:pPr>
          </w:p>
        </w:tc>
        <w:tc>
          <w:tcPr>
            <w:tcW w:w="1124" w:type="dxa"/>
            <w:tcBorders>
              <w:top w:val="single" w:sz="4" w:space="0" w:color="auto"/>
              <w:left w:val="single" w:sz="4" w:space="0" w:color="auto"/>
              <w:bottom w:val="nil"/>
              <w:right w:val="single" w:sz="4" w:space="0" w:color="auto"/>
            </w:tcBorders>
            <w:shd w:val="clear" w:color="000000" w:fill="FFFFFF"/>
          </w:tcPr>
          <w:p w14:paraId="35E6085D" w14:textId="77777777" w:rsidR="00A50046" w:rsidRPr="00F8465B" w:rsidRDefault="00A50046" w:rsidP="00A50046">
            <w:pPr>
              <w:keepLines w:val="0"/>
              <w:widowControl/>
              <w:jc w:val="center"/>
              <w:rPr>
                <w:rFonts w:ascii="Cambria" w:hAnsi="Cambria"/>
                <w:snapToGrid w:val="0"/>
                <w:sz w:val="20"/>
                <w:lang w:val="es-ES"/>
              </w:rPr>
            </w:pPr>
          </w:p>
        </w:tc>
      </w:tr>
      <w:tr w:rsidR="00A50046" w:rsidRPr="00F8465B" w14:paraId="6887D38E" w14:textId="77777777" w:rsidTr="00A50046">
        <w:trPr>
          <w:cantSplit/>
          <w:trHeight w:val="255"/>
        </w:trPr>
        <w:tc>
          <w:tcPr>
            <w:tcW w:w="5731" w:type="dxa"/>
            <w:tcBorders>
              <w:top w:val="nil"/>
              <w:left w:val="single" w:sz="8" w:space="0" w:color="auto"/>
              <w:bottom w:val="nil"/>
              <w:right w:val="single" w:sz="4" w:space="0" w:color="auto"/>
            </w:tcBorders>
            <w:shd w:val="clear" w:color="000000" w:fill="FFFFFF"/>
          </w:tcPr>
          <w:p w14:paraId="2C9C974C" w14:textId="77777777" w:rsidR="00A50046" w:rsidRPr="00F8465B" w:rsidRDefault="00A50046" w:rsidP="00A50046">
            <w:pPr>
              <w:keepLines w:val="0"/>
              <w:widowControl/>
              <w:jc w:val="left"/>
              <w:rPr>
                <w:rFonts w:ascii="Cambria" w:hAnsi="Cambria"/>
                <w:b/>
                <w:bCs/>
                <w:color w:val="000000"/>
                <w:sz w:val="20"/>
                <w:lang w:val="es-ES"/>
              </w:rPr>
            </w:pPr>
            <w:r w:rsidRPr="00F8465B">
              <w:rPr>
                <w:rFonts w:ascii="Cambria" w:hAnsi="Cambria"/>
                <w:b/>
                <w:bCs/>
                <w:snapToGrid w:val="0"/>
                <w:color w:val="000000"/>
                <w:sz w:val="20"/>
                <w:lang w:val="es-ES"/>
              </w:rPr>
              <w:t>Otras deudas con las Administraciones Públicas</w:t>
            </w:r>
          </w:p>
        </w:tc>
        <w:tc>
          <w:tcPr>
            <w:tcW w:w="1054" w:type="dxa"/>
            <w:tcBorders>
              <w:top w:val="nil"/>
              <w:left w:val="single" w:sz="4" w:space="0" w:color="auto"/>
              <w:bottom w:val="nil"/>
              <w:right w:val="single" w:sz="4" w:space="0" w:color="auto"/>
            </w:tcBorders>
            <w:shd w:val="clear" w:color="000000" w:fill="FFFFFF"/>
          </w:tcPr>
          <w:p w14:paraId="0E651621" w14:textId="7D7F586F" w:rsidR="00A50046" w:rsidRPr="00F8465B" w:rsidRDefault="00D5774E" w:rsidP="00A50046">
            <w:pPr>
              <w:keepLines w:val="0"/>
              <w:widowControl/>
              <w:jc w:val="right"/>
              <w:rPr>
                <w:rFonts w:ascii="Cambria" w:hAnsi="Cambria"/>
                <w:b/>
                <w:bCs/>
                <w:sz w:val="20"/>
                <w:lang w:val="es-ES"/>
              </w:rPr>
            </w:pPr>
            <w:r>
              <w:rPr>
                <w:rFonts w:ascii="Cambria" w:hAnsi="Cambria"/>
                <w:b/>
                <w:bCs/>
                <w:sz w:val="20"/>
                <w:lang w:val="es-ES"/>
              </w:rPr>
              <w:t>344</w:t>
            </w:r>
          </w:p>
        </w:tc>
        <w:tc>
          <w:tcPr>
            <w:tcW w:w="1124" w:type="dxa"/>
            <w:tcBorders>
              <w:top w:val="nil"/>
              <w:left w:val="single" w:sz="4" w:space="0" w:color="auto"/>
              <w:bottom w:val="nil"/>
              <w:right w:val="single" w:sz="4" w:space="0" w:color="auto"/>
            </w:tcBorders>
            <w:shd w:val="clear" w:color="000000" w:fill="FFFFFF"/>
          </w:tcPr>
          <w:p w14:paraId="06FE698E" w14:textId="59A06ED1" w:rsidR="00A50046" w:rsidRPr="00F8465B" w:rsidRDefault="00A50046" w:rsidP="00A50046">
            <w:pPr>
              <w:keepLines w:val="0"/>
              <w:widowControl/>
              <w:jc w:val="right"/>
              <w:rPr>
                <w:rFonts w:ascii="Cambria" w:hAnsi="Cambria"/>
                <w:b/>
                <w:bCs/>
                <w:sz w:val="20"/>
                <w:lang w:val="es-ES"/>
              </w:rPr>
            </w:pPr>
            <w:r>
              <w:rPr>
                <w:rFonts w:ascii="Cambria" w:hAnsi="Cambria"/>
                <w:b/>
                <w:bCs/>
                <w:sz w:val="20"/>
                <w:lang w:val="es-ES"/>
              </w:rPr>
              <w:t>646</w:t>
            </w:r>
          </w:p>
        </w:tc>
      </w:tr>
      <w:tr w:rsidR="00A50046" w:rsidRPr="00F8465B" w14:paraId="27CB96B1" w14:textId="77777777" w:rsidTr="00A50046">
        <w:trPr>
          <w:cantSplit/>
          <w:trHeight w:val="255"/>
        </w:trPr>
        <w:tc>
          <w:tcPr>
            <w:tcW w:w="5731" w:type="dxa"/>
            <w:tcBorders>
              <w:top w:val="nil"/>
              <w:left w:val="single" w:sz="8" w:space="0" w:color="auto"/>
              <w:bottom w:val="nil"/>
              <w:right w:val="single" w:sz="4" w:space="0" w:color="auto"/>
            </w:tcBorders>
            <w:shd w:val="clear" w:color="000000" w:fill="FFFFFF"/>
          </w:tcPr>
          <w:p w14:paraId="3DCBD790" w14:textId="77777777" w:rsidR="00A50046" w:rsidRPr="00F8465B" w:rsidRDefault="00A50046" w:rsidP="00A50046">
            <w:pPr>
              <w:keepLines w:val="0"/>
              <w:widowControl/>
              <w:jc w:val="left"/>
              <w:rPr>
                <w:rFonts w:ascii="Cambria" w:hAnsi="Cambria"/>
                <w:color w:val="000000"/>
                <w:sz w:val="20"/>
                <w:lang w:val="es-ES"/>
              </w:rPr>
            </w:pPr>
            <w:r w:rsidRPr="00F8465B">
              <w:rPr>
                <w:rFonts w:ascii="Cambria" w:hAnsi="Cambria"/>
                <w:snapToGrid w:val="0"/>
                <w:color w:val="000000"/>
                <w:sz w:val="20"/>
                <w:lang w:val="es-ES"/>
              </w:rPr>
              <w:t>Hacienda Pública acreedora por IRPF</w:t>
            </w:r>
          </w:p>
        </w:tc>
        <w:tc>
          <w:tcPr>
            <w:tcW w:w="1054" w:type="dxa"/>
            <w:tcBorders>
              <w:top w:val="nil"/>
              <w:left w:val="single" w:sz="4" w:space="0" w:color="auto"/>
              <w:bottom w:val="nil"/>
              <w:right w:val="single" w:sz="4" w:space="0" w:color="auto"/>
            </w:tcBorders>
            <w:shd w:val="clear" w:color="000000" w:fill="FFFFFF"/>
          </w:tcPr>
          <w:p w14:paraId="50197525" w14:textId="0337D7CF" w:rsidR="00A50046" w:rsidRPr="00F8465B" w:rsidRDefault="00D5774E" w:rsidP="00A50046">
            <w:pPr>
              <w:keepLines w:val="0"/>
              <w:widowControl/>
              <w:jc w:val="right"/>
              <w:rPr>
                <w:rFonts w:ascii="Cambria" w:hAnsi="Cambria"/>
                <w:sz w:val="20"/>
                <w:lang w:val="es-ES"/>
              </w:rPr>
            </w:pPr>
            <w:r>
              <w:rPr>
                <w:rFonts w:ascii="Cambria" w:hAnsi="Cambria"/>
                <w:sz w:val="20"/>
                <w:lang w:val="es-ES"/>
              </w:rPr>
              <w:t>303</w:t>
            </w:r>
          </w:p>
        </w:tc>
        <w:tc>
          <w:tcPr>
            <w:tcW w:w="1124" w:type="dxa"/>
            <w:tcBorders>
              <w:top w:val="nil"/>
              <w:left w:val="single" w:sz="4" w:space="0" w:color="auto"/>
              <w:bottom w:val="nil"/>
              <w:right w:val="single" w:sz="4" w:space="0" w:color="auto"/>
            </w:tcBorders>
            <w:shd w:val="clear" w:color="000000" w:fill="FFFFFF"/>
          </w:tcPr>
          <w:p w14:paraId="2CBA9749" w14:textId="7AC8389D" w:rsidR="00A50046" w:rsidRDefault="00A50046" w:rsidP="00A50046">
            <w:pPr>
              <w:keepLines w:val="0"/>
              <w:widowControl/>
              <w:jc w:val="right"/>
              <w:rPr>
                <w:rFonts w:ascii="Cambria" w:hAnsi="Cambria"/>
                <w:sz w:val="20"/>
                <w:lang w:val="es-ES"/>
              </w:rPr>
            </w:pPr>
            <w:r>
              <w:rPr>
                <w:rFonts w:ascii="Cambria" w:hAnsi="Cambria"/>
                <w:sz w:val="20"/>
                <w:lang w:val="es-ES"/>
              </w:rPr>
              <w:t>156</w:t>
            </w:r>
          </w:p>
        </w:tc>
      </w:tr>
      <w:tr w:rsidR="00A50046" w:rsidRPr="00F8465B" w14:paraId="3AF85438" w14:textId="77777777" w:rsidTr="00A50046">
        <w:trPr>
          <w:cantSplit/>
          <w:trHeight w:val="255"/>
        </w:trPr>
        <w:tc>
          <w:tcPr>
            <w:tcW w:w="5731" w:type="dxa"/>
            <w:tcBorders>
              <w:top w:val="nil"/>
              <w:left w:val="single" w:sz="8" w:space="0" w:color="auto"/>
              <w:bottom w:val="nil"/>
              <w:right w:val="single" w:sz="4" w:space="0" w:color="auto"/>
            </w:tcBorders>
            <w:shd w:val="clear" w:color="000000" w:fill="FFFFFF"/>
          </w:tcPr>
          <w:p w14:paraId="4860BB5F" w14:textId="77777777" w:rsidR="00A50046" w:rsidRPr="00F8465B" w:rsidRDefault="00A50046" w:rsidP="00A50046">
            <w:pPr>
              <w:keepLines w:val="0"/>
              <w:widowControl/>
              <w:jc w:val="left"/>
              <w:rPr>
                <w:rFonts w:ascii="Cambria" w:hAnsi="Cambria"/>
                <w:color w:val="000000"/>
                <w:sz w:val="20"/>
                <w:lang w:val="es-ES"/>
              </w:rPr>
            </w:pPr>
            <w:r w:rsidRPr="00F8465B">
              <w:rPr>
                <w:rFonts w:ascii="Cambria" w:hAnsi="Cambria"/>
                <w:snapToGrid w:val="0"/>
                <w:color w:val="000000"/>
                <w:sz w:val="20"/>
                <w:lang w:val="es-ES"/>
              </w:rPr>
              <w:t xml:space="preserve">Organismos de </w:t>
            </w:r>
            <w:smartTag w:uri="urn:schemas-microsoft-com:office:smarttags" w:element="PersonName">
              <w:smartTagPr>
                <w:attr w:name="ProductID" w:val="la Seguridad Social"/>
              </w:smartTagPr>
              <w:r w:rsidRPr="00F8465B">
                <w:rPr>
                  <w:rFonts w:ascii="Cambria" w:hAnsi="Cambria"/>
                  <w:snapToGrid w:val="0"/>
                  <w:color w:val="000000"/>
                  <w:sz w:val="20"/>
                  <w:lang w:val="es-ES"/>
                </w:rPr>
                <w:t>la Seguridad Social</w:t>
              </w:r>
            </w:smartTag>
            <w:r w:rsidRPr="00F8465B">
              <w:rPr>
                <w:rFonts w:ascii="Cambria" w:hAnsi="Cambria"/>
                <w:snapToGrid w:val="0"/>
                <w:color w:val="000000"/>
                <w:sz w:val="20"/>
                <w:lang w:val="es-ES"/>
              </w:rPr>
              <w:t xml:space="preserve"> acreedores</w:t>
            </w:r>
          </w:p>
        </w:tc>
        <w:tc>
          <w:tcPr>
            <w:tcW w:w="1054" w:type="dxa"/>
            <w:tcBorders>
              <w:top w:val="nil"/>
              <w:left w:val="single" w:sz="4" w:space="0" w:color="auto"/>
              <w:bottom w:val="nil"/>
              <w:right w:val="single" w:sz="4" w:space="0" w:color="auto"/>
            </w:tcBorders>
            <w:shd w:val="clear" w:color="000000" w:fill="FFFFFF"/>
          </w:tcPr>
          <w:p w14:paraId="420118C2" w14:textId="11382F88" w:rsidR="00A50046" w:rsidRPr="00F8465B" w:rsidRDefault="00D5774E" w:rsidP="00A50046">
            <w:pPr>
              <w:keepLines w:val="0"/>
              <w:widowControl/>
              <w:jc w:val="right"/>
              <w:rPr>
                <w:rFonts w:ascii="Cambria" w:hAnsi="Cambria"/>
                <w:sz w:val="20"/>
                <w:lang w:val="es-ES"/>
              </w:rPr>
            </w:pPr>
            <w:r>
              <w:rPr>
                <w:rFonts w:ascii="Cambria" w:hAnsi="Cambria"/>
                <w:sz w:val="20"/>
                <w:lang w:val="es-ES"/>
              </w:rPr>
              <w:t>28</w:t>
            </w:r>
          </w:p>
        </w:tc>
        <w:tc>
          <w:tcPr>
            <w:tcW w:w="1124" w:type="dxa"/>
            <w:tcBorders>
              <w:top w:val="nil"/>
              <w:left w:val="single" w:sz="4" w:space="0" w:color="auto"/>
              <w:bottom w:val="nil"/>
              <w:right w:val="single" w:sz="4" w:space="0" w:color="auto"/>
            </w:tcBorders>
            <w:shd w:val="clear" w:color="000000" w:fill="FFFFFF"/>
          </w:tcPr>
          <w:p w14:paraId="7F585E66" w14:textId="6E30E66E" w:rsidR="00A50046" w:rsidRPr="00F8465B" w:rsidRDefault="00A50046" w:rsidP="00A50046">
            <w:pPr>
              <w:keepLines w:val="0"/>
              <w:widowControl/>
              <w:jc w:val="right"/>
              <w:rPr>
                <w:rFonts w:ascii="Cambria" w:hAnsi="Cambria"/>
                <w:sz w:val="20"/>
                <w:lang w:val="es-ES"/>
              </w:rPr>
            </w:pPr>
            <w:r>
              <w:rPr>
                <w:rFonts w:ascii="Cambria" w:hAnsi="Cambria"/>
                <w:sz w:val="20"/>
                <w:lang w:val="es-ES"/>
              </w:rPr>
              <w:t>28</w:t>
            </w:r>
          </w:p>
        </w:tc>
      </w:tr>
      <w:tr w:rsidR="00A50046" w:rsidRPr="00F8465B" w14:paraId="76D4908A" w14:textId="77777777" w:rsidTr="00A50046">
        <w:trPr>
          <w:cantSplit/>
          <w:trHeight w:val="255"/>
        </w:trPr>
        <w:tc>
          <w:tcPr>
            <w:tcW w:w="5731" w:type="dxa"/>
            <w:tcBorders>
              <w:top w:val="nil"/>
              <w:left w:val="single" w:sz="8" w:space="0" w:color="auto"/>
              <w:bottom w:val="single" w:sz="8" w:space="0" w:color="auto"/>
              <w:right w:val="single" w:sz="4" w:space="0" w:color="auto"/>
            </w:tcBorders>
            <w:shd w:val="clear" w:color="000000" w:fill="FFFFFF"/>
          </w:tcPr>
          <w:p w14:paraId="788BC583" w14:textId="7F8FBBCA" w:rsidR="00A50046" w:rsidRPr="00F8465B" w:rsidRDefault="00A50046" w:rsidP="00A50046">
            <w:pPr>
              <w:keepLines w:val="0"/>
              <w:widowControl/>
              <w:jc w:val="left"/>
              <w:rPr>
                <w:rFonts w:ascii="Cambria" w:hAnsi="Cambria"/>
                <w:snapToGrid w:val="0"/>
                <w:color w:val="000000"/>
                <w:sz w:val="20"/>
                <w:lang w:val="es-ES"/>
              </w:rPr>
            </w:pPr>
            <w:r w:rsidRPr="00F8465B">
              <w:rPr>
                <w:rFonts w:ascii="Cambria" w:hAnsi="Cambria"/>
                <w:snapToGrid w:val="0"/>
                <w:color w:val="000000"/>
                <w:sz w:val="20"/>
                <w:lang w:val="es-ES"/>
              </w:rPr>
              <w:t>Ha</w:t>
            </w:r>
            <w:r>
              <w:rPr>
                <w:rFonts w:ascii="Cambria" w:hAnsi="Cambria"/>
                <w:snapToGrid w:val="0"/>
                <w:color w:val="000000"/>
                <w:sz w:val="20"/>
                <w:lang w:val="es-ES"/>
              </w:rPr>
              <w:t>cienda Pública acreedora por IVA</w:t>
            </w:r>
          </w:p>
        </w:tc>
        <w:tc>
          <w:tcPr>
            <w:tcW w:w="1054" w:type="dxa"/>
            <w:tcBorders>
              <w:top w:val="nil"/>
              <w:left w:val="single" w:sz="4" w:space="0" w:color="auto"/>
              <w:bottom w:val="single" w:sz="4" w:space="0" w:color="auto"/>
              <w:right w:val="single" w:sz="4" w:space="0" w:color="auto"/>
            </w:tcBorders>
            <w:shd w:val="clear" w:color="000000" w:fill="FFFFFF"/>
          </w:tcPr>
          <w:p w14:paraId="25252409" w14:textId="013E5DA9" w:rsidR="00A50046" w:rsidRPr="00F8465B" w:rsidRDefault="00D5774E" w:rsidP="00A50046">
            <w:pPr>
              <w:keepLines w:val="0"/>
              <w:widowControl/>
              <w:jc w:val="right"/>
              <w:rPr>
                <w:rFonts w:ascii="Cambria" w:hAnsi="Cambria"/>
                <w:sz w:val="20"/>
                <w:lang w:val="es-ES"/>
              </w:rPr>
            </w:pPr>
            <w:r>
              <w:rPr>
                <w:rFonts w:ascii="Cambria" w:hAnsi="Cambria"/>
                <w:sz w:val="20"/>
                <w:lang w:val="es-ES"/>
              </w:rPr>
              <w:t>13</w:t>
            </w:r>
          </w:p>
        </w:tc>
        <w:tc>
          <w:tcPr>
            <w:tcW w:w="1124" w:type="dxa"/>
            <w:tcBorders>
              <w:top w:val="nil"/>
              <w:left w:val="single" w:sz="4" w:space="0" w:color="auto"/>
              <w:bottom w:val="single" w:sz="4" w:space="0" w:color="auto"/>
              <w:right w:val="single" w:sz="4" w:space="0" w:color="auto"/>
            </w:tcBorders>
            <w:shd w:val="clear" w:color="000000" w:fill="FFFFFF"/>
          </w:tcPr>
          <w:p w14:paraId="01B07786" w14:textId="6504EC7D" w:rsidR="00A50046" w:rsidRDefault="00A50046" w:rsidP="00A50046">
            <w:pPr>
              <w:keepLines w:val="0"/>
              <w:widowControl/>
              <w:jc w:val="right"/>
              <w:rPr>
                <w:rFonts w:ascii="Cambria" w:hAnsi="Cambria"/>
                <w:sz w:val="20"/>
                <w:lang w:val="es-ES"/>
              </w:rPr>
            </w:pPr>
            <w:r>
              <w:rPr>
                <w:rFonts w:ascii="Cambria" w:hAnsi="Cambria"/>
                <w:sz w:val="20"/>
                <w:lang w:val="es-ES"/>
              </w:rPr>
              <w:t>462</w:t>
            </w:r>
          </w:p>
        </w:tc>
      </w:tr>
    </w:tbl>
    <w:p w14:paraId="63C3CADF" w14:textId="77777777" w:rsidR="00FF04C0" w:rsidRPr="00F8465B" w:rsidRDefault="00FF04C0" w:rsidP="00496456">
      <w:pPr>
        <w:rPr>
          <w:rFonts w:ascii="Cambria" w:hAnsi="Cambria"/>
          <w:szCs w:val="22"/>
        </w:rPr>
      </w:pPr>
    </w:p>
    <w:p w14:paraId="694AC7BE" w14:textId="77777777" w:rsidR="007F365E" w:rsidRDefault="007F365E" w:rsidP="00496456">
      <w:pPr>
        <w:rPr>
          <w:rFonts w:ascii="Cambria" w:hAnsi="Cambria"/>
          <w:szCs w:val="22"/>
        </w:rPr>
      </w:pPr>
    </w:p>
    <w:p w14:paraId="74DDB217" w14:textId="77777777" w:rsidR="00283AF1" w:rsidRPr="00F8465B" w:rsidRDefault="00283AF1" w:rsidP="00496456">
      <w:pPr>
        <w:rPr>
          <w:rFonts w:ascii="Cambria" w:hAnsi="Cambria"/>
          <w:szCs w:val="22"/>
        </w:rPr>
      </w:pPr>
    </w:p>
    <w:p w14:paraId="78061609" w14:textId="77777777" w:rsidR="001B2B25" w:rsidRPr="00F8465B" w:rsidRDefault="001B2B25" w:rsidP="001B2B25">
      <w:pPr>
        <w:pStyle w:val="Ttulo2"/>
        <w:keepNext/>
        <w:ind w:left="426"/>
        <w:rPr>
          <w:rFonts w:ascii="Cambria" w:hAnsi="Cambria"/>
          <w:sz w:val="24"/>
          <w:szCs w:val="24"/>
        </w:rPr>
      </w:pPr>
      <w:bookmarkStart w:id="16" w:name="_Ref256421875"/>
      <w:r w:rsidRPr="00747ADD">
        <w:rPr>
          <w:rFonts w:ascii="Cambria" w:hAnsi="Cambria"/>
          <w:sz w:val="24"/>
          <w:szCs w:val="24"/>
        </w:rPr>
        <w:t>12.2 Conciliación resultado contable y base imponible fiscal</w:t>
      </w:r>
    </w:p>
    <w:p w14:paraId="1C8856E0" w14:textId="77777777" w:rsidR="001B2B25" w:rsidRPr="00F8465B" w:rsidRDefault="001B2B25" w:rsidP="001B2B25">
      <w:pPr>
        <w:pStyle w:val="Ttulo1a"/>
        <w:rPr>
          <w:rFonts w:ascii="Cambria" w:hAnsi="Cambria"/>
          <w:sz w:val="24"/>
          <w:szCs w:val="24"/>
        </w:rPr>
      </w:pPr>
    </w:p>
    <w:p w14:paraId="35798FBD" w14:textId="112ADCA7" w:rsidR="004A7FF7" w:rsidRPr="00B269BB" w:rsidRDefault="004A7FF7" w:rsidP="00B269BB">
      <w:pPr>
        <w:pStyle w:val="not"/>
        <w:shd w:val="clear" w:color="auto" w:fill="FFFFFF" w:themeFill="background1"/>
        <w:spacing w:before="0"/>
        <w:ind w:left="360" w:firstLine="0"/>
        <w:rPr>
          <w:rFonts w:ascii="Cambria" w:eastAsia="Batang" w:hAnsi="Cambria"/>
          <w:sz w:val="24"/>
          <w:szCs w:val="24"/>
        </w:rPr>
      </w:pPr>
      <w:r w:rsidRPr="00B269BB">
        <w:rPr>
          <w:rFonts w:ascii="Cambria" w:eastAsia="Batang" w:hAnsi="Cambria"/>
          <w:sz w:val="24"/>
          <w:szCs w:val="24"/>
        </w:rPr>
        <w:t>Debido al diferente tratamiento que la legislación fiscal permite para determinadas operaciones, el resultado contable difiere de la base imponible fiscal. A continuación se incluye una conciliación entre el resul</w:t>
      </w:r>
      <w:r w:rsidR="00B82EA9" w:rsidRPr="00B269BB">
        <w:rPr>
          <w:rFonts w:ascii="Cambria" w:eastAsia="Batang" w:hAnsi="Cambria"/>
          <w:sz w:val="24"/>
          <w:szCs w:val="24"/>
        </w:rPr>
        <w:t>tado contable del ejercicio 20</w:t>
      </w:r>
      <w:r w:rsidR="00A50046">
        <w:rPr>
          <w:rFonts w:ascii="Cambria" w:eastAsia="Batang" w:hAnsi="Cambria"/>
          <w:sz w:val="24"/>
          <w:szCs w:val="24"/>
        </w:rPr>
        <w:t>20</w:t>
      </w:r>
      <w:r w:rsidRPr="00B269BB">
        <w:rPr>
          <w:rFonts w:ascii="Cambria" w:eastAsia="Batang" w:hAnsi="Cambria"/>
          <w:sz w:val="24"/>
          <w:szCs w:val="24"/>
        </w:rPr>
        <w:t xml:space="preserve"> </w:t>
      </w:r>
      <w:r w:rsidR="00947E48">
        <w:rPr>
          <w:rFonts w:ascii="Cambria" w:eastAsia="Batang" w:hAnsi="Cambria"/>
          <w:sz w:val="24"/>
          <w:szCs w:val="24"/>
        </w:rPr>
        <w:t xml:space="preserve">y </w:t>
      </w:r>
      <w:r w:rsidRPr="00B269BB">
        <w:rPr>
          <w:rFonts w:ascii="Cambria" w:eastAsia="Batang" w:hAnsi="Cambria"/>
          <w:sz w:val="24"/>
          <w:szCs w:val="24"/>
        </w:rPr>
        <w:t>la base imponible fiscal que la Sociedad espera declarar tras la oportuna aprobación de las cuentas anuales</w:t>
      </w:r>
      <w:r w:rsidR="00A67347" w:rsidRPr="00B269BB">
        <w:rPr>
          <w:rFonts w:ascii="Cambria" w:eastAsia="Batang" w:hAnsi="Cambria"/>
          <w:sz w:val="24"/>
          <w:szCs w:val="24"/>
        </w:rPr>
        <w:t xml:space="preserve"> (en miles de euros)</w:t>
      </w:r>
      <w:r w:rsidRPr="00B269BB">
        <w:rPr>
          <w:rFonts w:ascii="Cambria" w:eastAsia="Batang" w:hAnsi="Cambria"/>
          <w:sz w:val="24"/>
          <w:szCs w:val="24"/>
        </w:rPr>
        <w:t>:</w:t>
      </w:r>
    </w:p>
    <w:p w14:paraId="138C20A0" w14:textId="77777777" w:rsidR="005D293F" w:rsidRPr="00C407D3" w:rsidRDefault="005D293F">
      <w:pPr>
        <w:keepLines w:val="0"/>
        <w:widowControl/>
        <w:jc w:val="left"/>
        <w:rPr>
          <w:rFonts w:ascii="Cambria" w:eastAsia="Batang" w:hAnsi="Cambria"/>
          <w:sz w:val="24"/>
          <w:szCs w:val="24"/>
          <w:highlight w:val="yellow"/>
        </w:rPr>
      </w:pPr>
      <w:r w:rsidRPr="00C407D3">
        <w:rPr>
          <w:rFonts w:ascii="Cambria" w:eastAsia="Batang" w:hAnsi="Cambria"/>
          <w:sz w:val="24"/>
          <w:szCs w:val="24"/>
          <w:highlight w:val="yellow"/>
        </w:rPr>
        <w:br w:type="page"/>
      </w:r>
    </w:p>
    <w:p w14:paraId="01CC613C" w14:textId="7FD7E43D" w:rsidR="004A7FF7" w:rsidRPr="00C407D3" w:rsidRDefault="004A7FF7" w:rsidP="004A7FF7">
      <w:pPr>
        <w:pStyle w:val="not"/>
        <w:spacing w:before="0"/>
        <w:ind w:left="360" w:firstLine="0"/>
        <w:rPr>
          <w:rFonts w:ascii="Cambria" w:eastAsia="Batang" w:hAnsi="Cambria"/>
          <w:sz w:val="24"/>
          <w:szCs w:val="24"/>
          <w:highlight w:val="yellow"/>
        </w:rPr>
      </w:pPr>
    </w:p>
    <w:tbl>
      <w:tblPr>
        <w:tblpPr w:leftFromText="141" w:rightFromText="141" w:vertAnchor="text" w:horzAnchor="margin" w:tblpX="421" w:tblpY="193"/>
        <w:tblW w:w="4768" w:type="pct"/>
        <w:tblLayout w:type="fixed"/>
        <w:tblCellMar>
          <w:left w:w="70" w:type="dxa"/>
          <w:right w:w="70" w:type="dxa"/>
        </w:tblCellMar>
        <w:tblLook w:val="04A0" w:firstRow="1" w:lastRow="0" w:firstColumn="1" w:lastColumn="0" w:noHBand="0" w:noVBand="1"/>
      </w:tblPr>
      <w:tblGrid>
        <w:gridCol w:w="1593"/>
        <w:gridCol w:w="392"/>
        <w:gridCol w:w="1132"/>
        <w:gridCol w:w="1706"/>
        <w:gridCol w:w="712"/>
        <w:gridCol w:w="987"/>
        <w:gridCol w:w="563"/>
        <w:gridCol w:w="567"/>
        <w:gridCol w:w="990"/>
      </w:tblGrid>
      <w:tr w:rsidR="00951BFD" w:rsidRPr="006E5ED4" w14:paraId="4792512C" w14:textId="77777777" w:rsidTr="00FC6CF9">
        <w:trPr>
          <w:trHeight w:val="644"/>
        </w:trPr>
        <w:tc>
          <w:tcPr>
            <w:tcW w:w="1147" w:type="pct"/>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BAFCBD" w14:textId="77777777" w:rsidR="004A7FF7" w:rsidRPr="00FC6CF9" w:rsidRDefault="004A7FF7" w:rsidP="00951BFD">
            <w:pPr>
              <w:jc w:val="center"/>
              <w:rPr>
                <w:rFonts w:ascii="Cambria" w:hAnsi="Cambria"/>
                <w:sz w:val="20"/>
              </w:rPr>
            </w:pPr>
            <w:r w:rsidRPr="00FC6CF9">
              <w:rPr>
                <w:rFonts w:ascii="Cambria" w:hAnsi="Cambria"/>
                <w:sz w:val="20"/>
              </w:rPr>
              <w:t>CONCEPTO</w:t>
            </w:r>
          </w:p>
        </w:tc>
        <w:tc>
          <w:tcPr>
            <w:tcW w:w="1642" w:type="pct"/>
            <w:gridSpan w:val="2"/>
            <w:tcBorders>
              <w:top w:val="single" w:sz="4" w:space="0" w:color="auto"/>
              <w:left w:val="single" w:sz="4" w:space="0" w:color="auto"/>
              <w:bottom w:val="single" w:sz="4" w:space="0" w:color="000000"/>
              <w:right w:val="nil"/>
            </w:tcBorders>
            <w:shd w:val="clear" w:color="auto" w:fill="auto"/>
            <w:noWrap/>
            <w:vAlign w:val="center"/>
            <w:hideMark/>
          </w:tcPr>
          <w:p w14:paraId="587E8C25" w14:textId="77777777" w:rsidR="004A7FF7" w:rsidRPr="00FC6CF9" w:rsidRDefault="004A7FF7" w:rsidP="00951BFD">
            <w:pPr>
              <w:ind w:left="-398"/>
              <w:jc w:val="center"/>
              <w:rPr>
                <w:rFonts w:ascii="Cambria" w:hAnsi="Cambria"/>
                <w:sz w:val="20"/>
              </w:rPr>
            </w:pPr>
            <w:r w:rsidRPr="00FC6CF9">
              <w:rPr>
                <w:rFonts w:ascii="Cambria" w:hAnsi="Cambria"/>
                <w:sz w:val="20"/>
              </w:rPr>
              <w:t>Cuenta de</w:t>
            </w:r>
          </w:p>
          <w:p w14:paraId="09D33BBD" w14:textId="77777777" w:rsidR="004A7FF7" w:rsidRPr="00FC6CF9" w:rsidRDefault="004A7FF7" w:rsidP="00951BFD">
            <w:pPr>
              <w:ind w:left="-398"/>
              <w:jc w:val="center"/>
              <w:rPr>
                <w:rFonts w:ascii="Cambria" w:hAnsi="Cambria"/>
                <w:sz w:val="20"/>
              </w:rPr>
            </w:pPr>
            <w:r w:rsidRPr="00FC6CF9">
              <w:rPr>
                <w:rFonts w:ascii="Cambria" w:hAnsi="Cambria"/>
                <w:sz w:val="20"/>
              </w:rPr>
              <w:t>Pérdidas y Ganancias</w:t>
            </w:r>
          </w:p>
        </w:tc>
        <w:tc>
          <w:tcPr>
            <w:tcW w:w="983"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07A78267" w14:textId="77777777" w:rsidR="004A7FF7" w:rsidRPr="00FC6CF9" w:rsidRDefault="004A7FF7" w:rsidP="00951BFD">
            <w:pPr>
              <w:jc w:val="center"/>
              <w:rPr>
                <w:rFonts w:ascii="Cambria" w:hAnsi="Cambria"/>
                <w:sz w:val="20"/>
              </w:rPr>
            </w:pPr>
            <w:r w:rsidRPr="00FC6CF9">
              <w:rPr>
                <w:rFonts w:ascii="Cambria" w:hAnsi="Cambria"/>
                <w:sz w:val="20"/>
              </w:rPr>
              <w:t>Ingresos y gastos directamente imputados a PN</w:t>
            </w:r>
          </w:p>
        </w:tc>
        <w:tc>
          <w:tcPr>
            <w:tcW w:w="654" w:type="pct"/>
            <w:gridSpan w:val="2"/>
            <w:tcBorders>
              <w:top w:val="single" w:sz="4" w:space="0" w:color="auto"/>
              <w:left w:val="single" w:sz="4" w:space="0" w:color="auto"/>
              <w:right w:val="single" w:sz="4" w:space="0" w:color="auto"/>
            </w:tcBorders>
            <w:shd w:val="clear" w:color="auto" w:fill="auto"/>
            <w:vAlign w:val="center"/>
          </w:tcPr>
          <w:p w14:paraId="40425A7F" w14:textId="77777777" w:rsidR="004A7FF7" w:rsidRPr="00FC6CF9" w:rsidRDefault="004A7FF7" w:rsidP="00951BFD">
            <w:pPr>
              <w:jc w:val="center"/>
              <w:rPr>
                <w:rFonts w:ascii="Cambria" w:hAnsi="Cambria"/>
                <w:sz w:val="20"/>
              </w:rPr>
            </w:pPr>
            <w:r w:rsidRPr="00FC6CF9">
              <w:rPr>
                <w:rFonts w:ascii="Cambria" w:hAnsi="Cambria"/>
                <w:sz w:val="20"/>
              </w:rPr>
              <w:t>Reservas</w:t>
            </w:r>
          </w:p>
        </w:tc>
        <w:tc>
          <w:tcPr>
            <w:tcW w:w="57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969300" w14:textId="77777777" w:rsidR="004A7FF7" w:rsidRPr="00FC6CF9" w:rsidRDefault="004A7FF7" w:rsidP="00951BFD">
            <w:pPr>
              <w:jc w:val="center"/>
              <w:rPr>
                <w:rFonts w:ascii="Cambria" w:hAnsi="Cambria"/>
                <w:sz w:val="20"/>
              </w:rPr>
            </w:pPr>
            <w:r w:rsidRPr="00FC6CF9">
              <w:rPr>
                <w:rFonts w:ascii="Cambria" w:hAnsi="Cambria"/>
                <w:sz w:val="20"/>
              </w:rPr>
              <w:t>TOTAL</w:t>
            </w:r>
          </w:p>
        </w:tc>
      </w:tr>
      <w:tr w:rsidR="00951BFD" w:rsidRPr="0081499D" w14:paraId="78ABD06F" w14:textId="77777777" w:rsidTr="00FC6CF9">
        <w:trPr>
          <w:trHeight w:val="304"/>
        </w:trPr>
        <w:tc>
          <w:tcPr>
            <w:tcW w:w="114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ED95" w14:textId="77777777" w:rsidR="004A7FF7" w:rsidRPr="00FC6CF9" w:rsidRDefault="004A7FF7" w:rsidP="00951BFD">
            <w:pPr>
              <w:jc w:val="center"/>
              <w:rPr>
                <w:rFonts w:ascii="Cambria" w:hAnsi="Cambria"/>
                <w:sz w:val="20"/>
              </w:rPr>
            </w:pPr>
            <w:r w:rsidRPr="00FC6CF9">
              <w:rPr>
                <w:rFonts w:ascii="Cambria" w:hAnsi="Cambria"/>
                <w:sz w:val="20"/>
              </w:rPr>
              <w:t> </w:t>
            </w:r>
          </w:p>
        </w:tc>
        <w:tc>
          <w:tcPr>
            <w:tcW w:w="655" w:type="pct"/>
            <w:tcBorders>
              <w:top w:val="nil"/>
              <w:left w:val="nil"/>
              <w:bottom w:val="single" w:sz="4" w:space="0" w:color="auto"/>
              <w:right w:val="single" w:sz="4" w:space="0" w:color="auto"/>
            </w:tcBorders>
            <w:shd w:val="clear" w:color="auto" w:fill="auto"/>
            <w:noWrap/>
            <w:vAlign w:val="bottom"/>
            <w:hideMark/>
          </w:tcPr>
          <w:p w14:paraId="7CE75CD8" w14:textId="77777777" w:rsidR="004A7FF7" w:rsidRPr="00FC6CF9" w:rsidRDefault="004A7FF7" w:rsidP="00951BFD">
            <w:pPr>
              <w:jc w:val="center"/>
              <w:rPr>
                <w:rFonts w:ascii="Cambria" w:hAnsi="Cambria"/>
                <w:sz w:val="20"/>
              </w:rPr>
            </w:pPr>
            <w:r w:rsidRPr="00FC6CF9">
              <w:rPr>
                <w:rFonts w:ascii="Cambria" w:hAnsi="Cambria"/>
                <w:sz w:val="20"/>
              </w:rPr>
              <w:t>Aumentos</w:t>
            </w:r>
          </w:p>
          <w:p w14:paraId="52E1C400" w14:textId="77777777" w:rsidR="004A7FF7" w:rsidRPr="00FC6CF9" w:rsidRDefault="004A7FF7" w:rsidP="00951BFD">
            <w:pPr>
              <w:jc w:val="center"/>
              <w:rPr>
                <w:rFonts w:ascii="Cambria" w:hAnsi="Cambria"/>
                <w:sz w:val="20"/>
              </w:rPr>
            </w:pPr>
            <w:r w:rsidRPr="00FC6CF9">
              <w:rPr>
                <w:rFonts w:ascii="Cambria" w:hAnsi="Cambria"/>
                <w:sz w:val="20"/>
              </w:rPr>
              <w:t>(A)</w:t>
            </w:r>
          </w:p>
        </w:tc>
        <w:tc>
          <w:tcPr>
            <w:tcW w:w="987" w:type="pct"/>
            <w:tcBorders>
              <w:top w:val="nil"/>
              <w:left w:val="nil"/>
              <w:bottom w:val="single" w:sz="4" w:space="0" w:color="auto"/>
              <w:right w:val="single" w:sz="4" w:space="0" w:color="auto"/>
            </w:tcBorders>
            <w:shd w:val="clear" w:color="auto" w:fill="auto"/>
            <w:noWrap/>
            <w:vAlign w:val="bottom"/>
            <w:hideMark/>
          </w:tcPr>
          <w:p w14:paraId="3A2925D1" w14:textId="77777777" w:rsidR="00951BFD" w:rsidRPr="00FC6CF9" w:rsidRDefault="004A7FF7" w:rsidP="00951BFD">
            <w:pPr>
              <w:jc w:val="center"/>
              <w:rPr>
                <w:rFonts w:ascii="Cambria" w:hAnsi="Cambria"/>
                <w:sz w:val="20"/>
              </w:rPr>
            </w:pPr>
            <w:r w:rsidRPr="00FC6CF9">
              <w:rPr>
                <w:rFonts w:ascii="Cambria" w:hAnsi="Cambria"/>
                <w:sz w:val="20"/>
              </w:rPr>
              <w:t>Disminuciones</w:t>
            </w:r>
          </w:p>
          <w:p w14:paraId="579C9964" w14:textId="77777777" w:rsidR="004A7FF7" w:rsidRPr="00FC6CF9" w:rsidRDefault="004A7FF7" w:rsidP="00951BFD">
            <w:pPr>
              <w:jc w:val="center"/>
              <w:rPr>
                <w:rFonts w:ascii="Cambria" w:hAnsi="Cambria"/>
                <w:sz w:val="20"/>
              </w:rPr>
            </w:pPr>
            <w:r w:rsidRPr="00FC6CF9">
              <w:rPr>
                <w:rFonts w:ascii="Cambria" w:hAnsi="Cambria"/>
                <w:sz w:val="20"/>
              </w:rPr>
              <w:t xml:space="preserve"> (D)</w:t>
            </w:r>
          </w:p>
        </w:tc>
        <w:tc>
          <w:tcPr>
            <w:tcW w:w="412" w:type="pct"/>
            <w:tcBorders>
              <w:top w:val="nil"/>
              <w:left w:val="nil"/>
              <w:bottom w:val="single" w:sz="4" w:space="0" w:color="auto"/>
              <w:right w:val="single" w:sz="4" w:space="0" w:color="auto"/>
            </w:tcBorders>
            <w:shd w:val="clear" w:color="auto" w:fill="auto"/>
            <w:noWrap/>
            <w:vAlign w:val="center"/>
            <w:hideMark/>
          </w:tcPr>
          <w:p w14:paraId="2DB582B2" w14:textId="77777777" w:rsidR="004A7FF7" w:rsidRPr="00FC6CF9" w:rsidRDefault="004A7FF7" w:rsidP="00951BFD">
            <w:pPr>
              <w:jc w:val="center"/>
              <w:rPr>
                <w:rFonts w:ascii="Cambria" w:hAnsi="Cambria"/>
                <w:sz w:val="20"/>
              </w:rPr>
            </w:pPr>
            <w:r w:rsidRPr="00FC6CF9">
              <w:rPr>
                <w:rFonts w:ascii="Cambria" w:hAnsi="Cambria"/>
                <w:sz w:val="20"/>
              </w:rPr>
              <w:t>(A)</w:t>
            </w:r>
          </w:p>
        </w:tc>
        <w:tc>
          <w:tcPr>
            <w:tcW w:w="571" w:type="pct"/>
            <w:tcBorders>
              <w:top w:val="nil"/>
              <w:left w:val="nil"/>
              <w:bottom w:val="single" w:sz="4" w:space="0" w:color="auto"/>
              <w:right w:val="single" w:sz="4" w:space="0" w:color="auto"/>
            </w:tcBorders>
            <w:shd w:val="clear" w:color="auto" w:fill="auto"/>
            <w:noWrap/>
            <w:vAlign w:val="center"/>
            <w:hideMark/>
          </w:tcPr>
          <w:p w14:paraId="2763B9B0" w14:textId="77777777" w:rsidR="004A7FF7" w:rsidRPr="00FC6CF9" w:rsidRDefault="004A7FF7" w:rsidP="00951BFD">
            <w:pPr>
              <w:jc w:val="center"/>
              <w:rPr>
                <w:rFonts w:ascii="Cambria" w:hAnsi="Cambria"/>
                <w:sz w:val="20"/>
              </w:rPr>
            </w:pPr>
            <w:r w:rsidRPr="00FC6CF9">
              <w:rPr>
                <w:rFonts w:ascii="Cambria" w:hAnsi="Cambria"/>
                <w:sz w:val="20"/>
              </w:rPr>
              <w:t>(D)</w:t>
            </w:r>
          </w:p>
        </w:tc>
        <w:tc>
          <w:tcPr>
            <w:tcW w:w="326" w:type="pct"/>
            <w:tcBorders>
              <w:top w:val="single" w:sz="4" w:space="0" w:color="auto"/>
              <w:left w:val="nil"/>
              <w:bottom w:val="single" w:sz="4" w:space="0" w:color="auto"/>
              <w:right w:val="single" w:sz="4" w:space="0" w:color="auto"/>
            </w:tcBorders>
            <w:shd w:val="clear" w:color="auto" w:fill="auto"/>
            <w:vAlign w:val="center"/>
          </w:tcPr>
          <w:p w14:paraId="37D7524E" w14:textId="77777777" w:rsidR="004A7FF7" w:rsidRPr="00FC6CF9" w:rsidRDefault="004A7FF7" w:rsidP="00951BFD">
            <w:pPr>
              <w:jc w:val="center"/>
              <w:rPr>
                <w:rFonts w:ascii="Cambria" w:hAnsi="Cambria"/>
                <w:sz w:val="20"/>
              </w:rPr>
            </w:pPr>
            <w:r w:rsidRPr="00FC6CF9">
              <w:rPr>
                <w:rFonts w:ascii="Cambria" w:hAnsi="Cambria"/>
                <w:sz w:val="20"/>
              </w:rPr>
              <w:t>(A)</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5A7D4B1B" w14:textId="77777777" w:rsidR="004A7FF7" w:rsidRPr="00FC6CF9" w:rsidRDefault="004A7FF7" w:rsidP="00951BFD">
            <w:pPr>
              <w:jc w:val="center"/>
              <w:rPr>
                <w:rFonts w:ascii="Cambria" w:hAnsi="Cambria"/>
                <w:sz w:val="20"/>
              </w:rPr>
            </w:pPr>
            <w:r w:rsidRPr="00FC6CF9">
              <w:rPr>
                <w:rFonts w:ascii="Cambria" w:hAnsi="Cambria"/>
                <w:sz w:val="20"/>
              </w:rPr>
              <w:t>(D)</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13B743AC" w14:textId="77777777" w:rsidR="004A7FF7" w:rsidRPr="00FC6CF9" w:rsidRDefault="004A7FF7" w:rsidP="00951BFD">
            <w:pPr>
              <w:rPr>
                <w:rFonts w:ascii="Cambria" w:hAnsi="Cambria"/>
                <w:sz w:val="20"/>
              </w:rPr>
            </w:pPr>
            <w:r w:rsidRPr="00FC6CF9">
              <w:rPr>
                <w:rFonts w:ascii="Cambria" w:hAnsi="Cambria"/>
                <w:sz w:val="20"/>
              </w:rPr>
              <w:t> </w:t>
            </w:r>
          </w:p>
        </w:tc>
      </w:tr>
      <w:tr w:rsidR="00951BFD" w:rsidRPr="0081499D" w14:paraId="681D9B66" w14:textId="77777777" w:rsidTr="00FC6CF9">
        <w:trPr>
          <w:trHeight w:val="304"/>
        </w:trPr>
        <w:tc>
          <w:tcPr>
            <w:tcW w:w="1147" w:type="pct"/>
            <w:gridSpan w:val="2"/>
            <w:tcBorders>
              <w:top w:val="single" w:sz="4" w:space="0" w:color="auto"/>
              <w:left w:val="single" w:sz="4" w:space="0" w:color="auto"/>
              <w:bottom w:val="single" w:sz="4" w:space="0" w:color="auto"/>
              <w:right w:val="nil"/>
            </w:tcBorders>
            <w:shd w:val="clear" w:color="auto" w:fill="auto"/>
            <w:noWrap/>
            <w:vAlign w:val="bottom"/>
            <w:hideMark/>
          </w:tcPr>
          <w:p w14:paraId="72681FF1" w14:textId="77777777" w:rsidR="004A7FF7" w:rsidRPr="00FC6CF9" w:rsidRDefault="004A7FF7" w:rsidP="00951BFD">
            <w:pPr>
              <w:rPr>
                <w:rFonts w:ascii="Cambria" w:hAnsi="Cambria"/>
                <w:sz w:val="20"/>
              </w:rPr>
            </w:pPr>
            <w:r w:rsidRPr="00FC6CF9">
              <w:rPr>
                <w:rFonts w:ascii="Cambria" w:hAnsi="Cambria"/>
                <w:sz w:val="20"/>
              </w:rPr>
              <w:t>Saldo de ingresos y gastos</w:t>
            </w:r>
          </w:p>
        </w:tc>
        <w:tc>
          <w:tcPr>
            <w:tcW w:w="164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9E56DD" w14:textId="1CD89641" w:rsidR="004A7FF7" w:rsidRPr="00D5774E" w:rsidRDefault="00D5774E" w:rsidP="00951BFD">
            <w:pPr>
              <w:jc w:val="center"/>
              <w:rPr>
                <w:rFonts w:ascii="Cambria" w:hAnsi="Cambria"/>
                <w:sz w:val="20"/>
              </w:rPr>
            </w:pPr>
            <w:r w:rsidRPr="00D5774E">
              <w:rPr>
                <w:rFonts w:ascii="Cambria" w:hAnsi="Cambria"/>
                <w:sz w:val="20"/>
              </w:rPr>
              <w:t>(3.</w:t>
            </w:r>
            <w:r w:rsidR="001D445E">
              <w:rPr>
                <w:rFonts w:ascii="Cambria" w:hAnsi="Cambria"/>
                <w:sz w:val="20"/>
              </w:rPr>
              <w:t>403</w:t>
            </w:r>
            <w:r w:rsidRPr="00D5774E">
              <w:rPr>
                <w:rFonts w:ascii="Cambria" w:hAnsi="Cambria"/>
                <w:sz w:val="20"/>
              </w:rPr>
              <w:t>)</w:t>
            </w:r>
          </w:p>
        </w:tc>
        <w:tc>
          <w:tcPr>
            <w:tcW w:w="983"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8772EEF" w14:textId="77777777" w:rsidR="004A7FF7" w:rsidRPr="00D5774E" w:rsidRDefault="004A7FF7" w:rsidP="00951BFD">
            <w:pPr>
              <w:jc w:val="center"/>
              <w:rPr>
                <w:rFonts w:ascii="Cambria" w:hAnsi="Cambria"/>
                <w:sz w:val="20"/>
              </w:rPr>
            </w:pPr>
            <w:r w:rsidRPr="00D5774E">
              <w:rPr>
                <w:rFonts w:ascii="Cambria" w:hAnsi="Cambria"/>
                <w:sz w:val="20"/>
              </w:rPr>
              <w:t> -</w:t>
            </w:r>
          </w:p>
        </w:tc>
        <w:tc>
          <w:tcPr>
            <w:tcW w:w="326" w:type="pct"/>
            <w:tcBorders>
              <w:top w:val="nil"/>
              <w:left w:val="nil"/>
              <w:bottom w:val="single" w:sz="4" w:space="0" w:color="auto"/>
              <w:right w:val="single" w:sz="4" w:space="0" w:color="auto"/>
            </w:tcBorders>
            <w:shd w:val="clear" w:color="auto" w:fill="auto"/>
            <w:vAlign w:val="bottom"/>
          </w:tcPr>
          <w:p w14:paraId="2F5047B7" w14:textId="77777777" w:rsidR="004A7FF7" w:rsidRPr="00D5774E" w:rsidRDefault="004A7FF7" w:rsidP="00951BFD">
            <w:pPr>
              <w:jc w:val="center"/>
              <w:rPr>
                <w:rFonts w:ascii="Cambria" w:hAnsi="Cambria"/>
                <w:sz w:val="20"/>
              </w:rPr>
            </w:pPr>
            <w:r w:rsidRPr="00D5774E">
              <w:rPr>
                <w:rFonts w:ascii="Cambria" w:hAnsi="Cambria"/>
                <w:sz w:val="20"/>
              </w:rPr>
              <w:t>-</w:t>
            </w:r>
          </w:p>
        </w:tc>
        <w:tc>
          <w:tcPr>
            <w:tcW w:w="327" w:type="pct"/>
            <w:tcBorders>
              <w:top w:val="nil"/>
              <w:left w:val="single" w:sz="4" w:space="0" w:color="auto"/>
              <w:bottom w:val="single" w:sz="4" w:space="0" w:color="auto"/>
              <w:right w:val="single" w:sz="4" w:space="0" w:color="auto"/>
            </w:tcBorders>
            <w:shd w:val="clear" w:color="auto" w:fill="auto"/>
            <w:vAlign w:val="bottom"/>
          </w:tcPr>
          <w:p w14:paraId="35DBF67F" w14:textId="77777777" w:rsidR="004A7FF7" w:rsidRPr="00D5774E" w:rsidRDefault="004A7FF7" w:rsidP="00951BFD">
            <w:pPr>
              <w:jc w:val="center"/>
              <w:rPr>
                <w:rFonts w:ascii="Cambria" w:hAnsi="Cambria"/>
                <w:sz w:val="20"/>
              </w:rPr>
            </w:pPr>
            <w:r w:rsidRPr="00D5774E">
              <w:rPr>
                <w:rFonts w:ascii="Cambria" w:hAnsi="Cambria"/>
                <w:sz w:val="20"/>
              </w:rPr>
              <w:t>-</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528C36C2" w14:textId="3C08EC04" w:rsidR="004A7FF7" w:rsidRPr="00D5774E" w:rsidRDefault="00D5774E" w:rsidP="00951BFD">
            <w:pPr>
              <w:jc w:val="center"/>
              <w:rPr>
                <w:rFonts w:ascii="Cambria" w:hAnsi="Cambria"/>
                <w:sz w:val="20"/>
              </w:rPr>
            </w:pPr>
            <w:r w:rsidRPr="00D5774E">
              <w:rPr>
                <w:rFonts w:ascii="Cambria" w:hAnsi="Cambria"/>
                <w:sz w:val="20"/>
              </w:rPr>
              <w:t>(3.</w:t>
            </w:r>
            <w:r w:rsidR="001D445E">
              <w:rPr>
                <w:rFonts w:ascii="Cambria" w:hAnsi="Cambria"/>
                <w:sz w:val="20"/>
              </w:rPr>
              <w:t>403</w:t>
            </w:r>
            <w:r w:rsidRPr="00D5774E">
              <w:rPr>
                <w:rFonts w:ascii="Cambria" w:hAnsi="Cambria"/>
                <w:sz w:val="20"/>
              </w:rPr>
              <w:t>)</w:t>
            </w:r>
          </w:p>
        </w:tc>
      </w:tr>
      <w:tr w:rsidR="00EF0663" w:rsidRPr="00EF0663" w14:paraId="3DF87F64" w14:textId="77777777" w:rsidTr="00FC6CF9">
        <w:trPr>
          <w:trHeight w:val="304"/>
        </w:trPr>
        <w:tc>
          <w:tcPr>
            <w:tcW w:w="114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DF799C" w14:textId="77777777" w:rsidR="004A7FF7" w:rsidRPr="00FC6CF9" w:rsidRDefault="004A7FF7" w:rsidP="00951BFD">
            <w:pPr>
              <w:rPr>
                <w:rFonts w:ascii="Cambria" w:hAnsi="Cambria"/>
                <w:sz w:val="20"/>
              </w:rPr>
            </w:pPr>
            <w:r w:rsidRPr="00FC6CF9">
              <w:rPr>
                <w:rFonts w:ascii="Cambria" w:hAnsi="Cambria"/>
                <w:sz w:val="20"/>
              </w:rPr>
              <w:t>Impuesto sobre sociedades</w:t>
            </w:r>
          </w:p>
        </w:tc>
        <w:tc>
          <w:tcPr>
            <w:tcW w:w="655" w:type="pct"/>
            <w:tcBorders>
              <w:top w:val="nil"/>
              <w:left w:val="nil"/>
              <w:bottom w:val="single" w:sz="4" w:space="0" w:color="auto"/>
              <w:right w:val="single" w:sz="4" w:space="0" w:color="auto"/>
            </w:tcBorders>
            <w:shd w:val="clear" w:color="auto" w:fill="auto"/>
            <w:noWrap/>
            <w:vAlign w:val="bottom"/>
            <w:hideMark/>
          </w:tcPr>
          <w:p w14:paraId="6249428A" w14:textId="653A3284" w:rsidR="004A7FF7" w:rsidRPr="00EF0663" w:rsidRDefault="00A543CE" w:rsidP="00951BFD">
            <w:pPr>
              <w:jc w:val="center"/>
              <w:rPr>
                <w:rFonts w:ascii="Cambria" w:hAnsi="Cambria"/>
                <w:sz w:val="20"/>
                <w:highlight w:val="yellow"/>
              </w:rPr>
            </w:pPr>
            <w:r w:rsidRPr="00EF0663">
              <w:rPr>
                <w:rFonts w:ascii="Cambria" w:hAnsi="Cambria"/>
                <w:sz w:val="20"/>
              </w:rPr>
              <w:t>-</w:t>
            </w:r>
          </w:p>
        </w:tc>
        <w:tc>
          <w:tcPr>
            <w:tcW w:w="987" w:type="pct"/>
            <w:tcBorders>
              <w:top w:val="nil"/>
              <w:left w:val="nil"/>
              <w:bottom w:val="single" w:sz="4" w:space="0" w:color="auto"/>
              <w:right w:val="single" w:sz="4" w:space="0" w:color="auto"/>
            </w:tcBorders>
            <w:shd w:val="clear" w:color="auto" w:fill="auto"/>
            <w:noWrap/>
            <w:vAlign w:val="bottom"/>
            <w:hideMark/>
          </w:tcPr>
          <w:p w14:paraId="2F8AA56A" w14:textId="3D533C55" w:rsidR="004A7FF7" w:rsidRPr="00EF0663" w:rsidRDefault="00A543CE" w:rsidP="00187878">
            <w:pPr>
              <w:jc w:val="center"/>
              <w:rPr>
                <w:rFonts w:ascii="Cambria" w:hAnsi="Cambria"/>
                <w:sz w:val="20"/>
              </w:rPr>
            </w:pPr>
            <w:r w:rsidRPr="00EF0663">
              <w:rPr>
                <w:rFonts w:ascii="Cambria" w:hAnsi="Cambria"/>
                <w:sz w:val="20"/>
              </w:rPr>
              <w:t>(1.</w:t>
            </w:r>
            <w:r w:rsidR="001D445E">
              <w:rPr>
                <w:rFonts w:ascii="Cambria" w:hAnsi="Cambria"/>
                <w:sz w:val="20"/>
              </w:rPr>
              <w:t>004</w:t>
            </w:r>
            <w:r w:rsidRPr="00EF0663">
              <w:rPr>
                <w:rFonts w:ascii="Cambria" w:hAnsi="Cambria"/>
                <w:sz w:val="20"/>
              </w:rPr>
              <w:t>)</w:t>
            </w:r>
          </w:p>
        </w:tc>
        <w:tc>
          <w:tcPr>
            <w:tcW w:w="412" w:type="pct"/>
            <w:tcBorders>
              <w:top w:val="nil"/>
              <w:left w:val="nil"/>
              <w:bottom w:val="single" w:sz="4" w:space="0" w:color="auto"/>
              <w:right w:val="single" w:sz="4" w:space="0" w:color="auto"/>
            </w:tcBorders>
            <w:shd w:val="clear" w:color="auto" w:fill="auto"/>
            <w:noWrap/>
            <w:vAlign w:val="bottom"/>
            <w:hideMark/>
          </w:tcPr>
          <w:p w14:paraId="74F8A1F4" w14:textId="77777777" w:rsidR="004A7FF7" w:rsidRPr="00EF0663" w:rsidRDefault="004A7FF7" w:rsidP="00951BFD">
            <w:pPr>
              <w:jc w:val="center"/>
              <w:rPr>
                <w:rFonts w:ascii="Cambria" w:hAnsi="Cambria"/>
                <w:sz w:val="20"/>
              </w:rPr>
            </w:pPr>
            <w:r w:rsidRPr="00EF0663">
              <w:rPr>
                <w:rFonts w:ascii="Cambria" w:hAnsi="Cambria"/>
                <w:sz w:val="20"/>
              </w:rPr>
              <w:t>-</w:t>
            </w:r>
          </w:p>
        </w:tc>
        <w:tc>
          <w:tcPr>
            <w:tcW w:w="571" w:type="pct"/>
            <w:tcBorders>
              <w:top w:val="nil"/>
              <w:left w:val="nil"/>
              <w:bottom w:val="single" w:sz="4" w:space="0" w:color="auto"/>
              <w:right w:val="single" w:sz="4" w:space="0" w:color="auto"/>
            </w:tcBorders>
            <w:shd w:val="clear" w:color="auto" w:fill="auto"/>
            <w:noWrap/>
            <w:vAlign w:val="bottom"/>
            <w:hideMark/>
          </w:tcPr>
          <w:p w14:paraId="016A14AA" w14:textId="77777777" w:rsidR="004A7FF7" w:rsidRPr="00EF0663" w:rsidRDefault="004A7FF7" w:rsidP="00951BFD">
            <w:pPr>
              <w:jc w:val="center"/>
              <w:rPr>
                <w:rFonts w:ascii="Cambria" w:hAnsi="Cambria"/>
                <w:sz w:val="20"/>
              </w:rPr>
            </w:pPr>
            <w:r w:rsidRPr="00EF0663">
              <w:rPr>
                <w:rFonts w:ascii="Cambria" w:hAnsi="Cambria"/>
                <w:sz w:val="20"/>
              </w:rPr>
              <w:t>-</w:t>
            </w:r>
          </w:p>
        </w:tc>
        <w:tc>
          <w:tcPr>
            <w:tcW w:w="326" w:type="pct"/>
            <w:tcBorders>
              <w:top w:val="nil"/>
              <w:left w:val="nil"/>
              <w:bottom w:val="single" w:sz="4" w:space="0" w:color="auto"/>
              <w:right w:val="single" w:sz="4" w:space="0" w:color="auto"/>
            </w:tcBorders>
            <w:shd w:val="clear" w:color="auto" w:fill="auto"/>
            <w:vAlign w:val="bottom"/>
          </w:tcPr>
          <w:p w14:paraId="5DA77D85" w14:textId="77777777" w:rsidR="004A7FF7" w:rsidRPr="00EF0663" w:rsidRDefault="004A7FF7" w:rsidP="00951BFD">
            <w:pPr>
              <w:jc w:val="center"/>
              <w:rPr>
                <w:rFonts w:ascii="Cambria" w:hAnsi="Cambria"/>
                <w:sz w:val="20"/>
              </w:rPr>
            </w:pPr>
            <w:r w:rsidRPr="00EF0663">
              <w:rPr>
                <w:rFonts w:ascii="Cambria" w:hAnsi="Cambria"/>
                <w:sz w:val="20"/>
              </w:rPr>
              <w:t>-</w:t>
            </w:r>
          </w:p>
        </w:tc>
        <w:tc>
          <w:tcPr>
            <w:tcW w:w="327" w:type="pct"/>
            <w:tcBorders>
              <w:top w:val="nil"/>
              <w:left w:val="single" w:sz="4" w:space="0" w:color="auto"/>
              <w:bottom w:val="single" w:sz="4" w:space="0" w:color="auto"/>
              <w:right w:val="single" w:sz="4" w:space="0" w:color="auto"/>
            </w:tcBorders>
            <w:shd w:val="clear" w:color="auto" w:fill="auto"/>
            <w:vAlign w:val="bottom"/>
          </w:tcPr>
          <w:p w14:paraId="7D874742" w14:textId="77777777" w:rsidR="004A7FF7" w:rsidRPr="00EF0663" w:rsidRDefault="004A7FF7" w:rsidP="00951BFD">
            <w:pPr>
              <w:jc w:val="center"/>
              <w:rPr>
                <w:rFonts w:ascii="Cambria" w:hAnsi="Cambria"/>
                <w:sz w:val="20"/>
              </w:rPr>
            </w:pPr>
            <w:r w:rsidRPr="00EF0663">
              <w:rPr>
                <w:rFonts w:ascii="Cambria" w:hAnsi="Cambria"/>
                <w:sz w:val="20"/>
              </w:rPr>
              <w:t>-</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49C5A284" w14:textId="3D3E4B6A" w:rsidR="004A7FF7" w:rsidRPr="00EF0663" w:rsidRDefault="00A543CE" w:rsidP="00187878">
            <w:pPr>
              <w:jc w:val="center"/>
              <w:rPr>
                <w:rFonts w:ascii="Cambria" w:hAnsi="Cambria"/>
                <w:sz w:val="20"/>
                <w:highlight w:val="yellow"/>
              </w:rPr>
            </w:pPr>
            <w:r w:rsidRPr="00EF0663">
              <w:rPr>
                <w:rFonts w:ascii="Cambria" w:hAnsi="Cambria"/>
                <w:sz w:val="20"/>
              </w:rPr>
              <w:t>(1.</w:t>
            </w:r>
            <w:r w:rsidR="001D445E">
              <w:rPr>
                <w:rFonts w:ascii="Cambria" w:hAnsi="Cambria"/>
                <w:sz w:val="20"/>
              </w:rPr>
              <w:t>004</w:t>
            </w:r>
            <w:r w:rsidRPr="00EF0663">
              <w:rPr>
                <w:rFonts w:ascii="Cambria" w:hAnsi="Cambria"/>
                <w:sz w:val="20"/>
              </w:rPr>
              <w:t>)</w:t>
            </w:r>
          </w:p>
        </w:tc>
      </w:tr>
      <w:tr w:rsidR="00951BFD" w:rsidRPr="00A543CE" w14:paraId="2A005A62" w14:textId="77777777" w:rsidTr="00FC6CF9">
        <w:trPr>
          <w:trHeight w:val="303"/>
        </w:trPr>
        <w:tc>
          <w:tcPr>
            <w:tcW w:w="921" w:type="pct"/>
            <w:tcBorders>
              <w:top w:val="single" w:sz="4" w:space="0" w:color="auto"/>
              <w:left w:val="single" w:sz="4" w:space="0" w:color="auto"/>
              <w:bottom w:val="single" w:sz="4" w:space="0" w:color="auto"/>
              <w:right w:val="nil"/>
            </w:tcBorders>
            <w:shd w:val="clear" w:color="auto" w:fill="auto"/>
            <w:noWrap/>
            <w:vAlign w:val="bottom"/>
            <w:hideMark/>
          </w:tcPr>
          <w:p w14:paraId="013BE637" w14:textId="77777777" w:rsidR="004A7FF7" w:rsidRPr="00FC6CF9" w:rsidRDefault="004A7FF7" w:rsidP="00951BFD">
            <w:pPr>
              <w:rPr>
                <w:rFonts w:ascii="Cambria" w:hAnsi="Cambria"/>
                <w:sz w:val="20"/>
              </w:rPr>
            </w:pPr>
            <w:r w:rsidRPr="00FC6CF9">
              <w:rPr>
                <w:rFonts w:ascii="Cambria" w:hAnsi="Cambria"/>
                <w:sz w:val="20"/>
              </w:rPr>
              <w:t>Diferencias permanentes</w:t>
            </w:r>
          </w:p>
        </w:tc>
        <w:tc>
          <w:tcPr>
            <w:tcW w:w="227" w:type="pct"/>
            <w:tcBorders>
              <w:top w:val="nil"/>
              <w:left w:val="nil"/>
              <w:bottom w:val="single" w:sz="4" w:space="0" w:color="auto"/>
              <w:right w:val="single" w:sz="4" w:space="0" w:color="auto"/>
            </w:tcBorders>
            <w:shd w:val="clear" w:color="auto" w:fill="auto"/>
            <w:noWrap/>
            <w:vAlign w:val="bottom"/>
            <w:hideMark/>
          </w:tcPr>
          <w:p w14:paraId="71FB7902" w14:textId="77777777" w:rsidR="004A7FF7" w:rsidRPr="00FC6CF9" w:rsidRDefault="004A7FF7" w:rsidP="00951BFD">
            <w:pPr>
              <w:rPr>
                <w:rFonts w:ascii="Cambria" w:hAnsi="Cambria"/>
                <w:sz w:val="20"/>
              </w:rPr>
            </w:pPr>
            <w:r w:rsidRPr="00FC6CF9">
              <w:rPr>
                <w:rFonts w:ascii="Cambria" w:hAnsi="Cambria"/>
                <w:sz w:val="20"/>
              </w:rPr>
              <w:t> </w:t>
            </w:r>
          </w:p>
        </w:tc>
        <w:tc>
          <w:tcPr>
            <w:tcW w:w="655" w:type="pct"/>
            <w:tcBorders>
              <w:top w:val="nil"/>
              <w:left w:val="nil"/>
              <w:bottom w:val="single" w:sz="4" w:space="0" w:color="auto"/>
              <w:right w:val="single" w:sz="4" w:space="0" w:color="auto"/>
            </w:tcBorders>
            <w:shd w:val="clear" w:color="auto" w:fill="auto"/>
            <w:noWrap/>
            <w:vAlign w:val="bottom"/>
            <w:hideMark/>
          </w:tcPr>
          <w:p w14:paraId="575E484C" w14:textId="19E006BD" w:rsidR="004A7FF7" w:rsidRPr="00A50046" w:rsidRDefault="001D445E" w:rsidP="00951BFD">
            <w:pPr>
              <w:jc w:val="center"/>
              <w:rPr>
                <w:rFonts w:ascii="Cambria" w:hAnsi="Cambria"/>
                <w:sz w:val="20"/>
                <w:highlight w:val="yellow"/>
              </w:rPr>
            </w:pPr>
            <w:r>
              <w:rPr>
                <w:rFonts w:ascii="Cambria" w:hAnsi="Cambria"/>
                <w:sz w:val="20"/>
              </w:rPr>
              <w:t>857</w:t>
            </w:r>
          </w:p>
        </w:tc>
        <w:tc>
          <w:tcPr>
            <w:tcW w:w="987" w:type="pct"/>
            <w:tcBorders>
              <w:top w:val="nil"/>
              <w:left w:val="nil"/>
              <w:bottom w:val="single" w:sz="4" w:space="0" w:color="auto"/>
              <w:right w:val="single" w:sz="4" w:space="0" w:color="auto"/>
            </w:tcBorders>
            <w:shd w:val="clear" w:color="auto" w:fill="auto"/>
            <w:noWrap/>
            <w:vAlign w:val="bottom"/>
            <w:hideMark/>
          </w:tcPr>
          <w:p w14:paraId="570879AE" w14:textId="4A61045B" w:rsidR="004A7FF7" w:rsidRPr="00A543CE" w:rsidRDefault="00A543CE" w:rsidP="00951BFD">
            <w:pPr>
              <w:jc w:val="center"/>
              <w:rPr>
                <w:rFonts w:ascii="Cambria" w:hAnsi="Cambria"/>
                <w:sz w:val="20"/>
              </w:rPr>
            </w:pPr>
            <w:r w:rsidRPr="00A543CE">
              <w:rPr>
                <w:rFonts w:ascii="Cambria" w:hAnsi="Cambria"/>
                <w:sz w:val="20"/>
              </w:rPr>
              <w:t>(</w:t>
            </w:r>
            <w:r w:rsidR="00EF0663">
              <w:rPr>
                <w:rFonts w:ascii="Cambria" w:hAnsi="Cambria"/>
                <w:sz w:val="20"/>
              </w:rPr>
              <w:t>466</w:t>
            </w:r>
            <w:r w:rsidRPr="00A543CE">
              <w:rPr>
                <w:rFonts w:ascii="Cambria" w:hAnsi="Cambria"/>
                <w:sz w:val="20"/>
              </w:rPr>
              <w:t>)</w:t>
            </w:r>
          </w:p>
        </w:tc>
        <w:tc>
          <w:tcPr>
            <w:tcW w:w="412" w:type="pct"/>
            <w:tcBorders>
              <w:top w:val="nil"/>
              <w:left w:val="nil"/>
              <w:bottom w:val="single" w:sz="4" w:space="0" w:color="auto"/>
              <w:right w:val="single" w:sz="4" w:space="0" w:color="auto"/>
            </w:tcBorders>
            <w:shd w:val="clear" w:color="auto" w:fill="auto"/>
            <w:noWrap/>
            <w:vAlign w:val="bottom"/>
            <w:hideMark/>
          </w:tcPr>
          <w:p w14:paraId="7B30DB87" w14:textId="77777777" w:rsidR="004A7FF7" w:rsidRPr="00A543CE" w:rsidRDefault="004A7FF7" w:rsidP="00951BFD">
            <w:pPr>
              <w:jc w:val="center"/>
              <w:rPr>
                <w:rFonts w:ascii="Cambria" w:hAnsi="Cambria"/>
                <w:sz w:val="20"/>
              </w:rPr>
            </w:pPr>
            <w:r w:rsidRPr="00A543CE">
              <w:rPr>
                <w:rFonts w:ascii="Cambria" w:hAnsi="Cambria"/>
                <w:sz w:val="20"/>
              </w:rPr>
              <w:t>-</w:t>
            </w:r>
          </w:p>
        </w:tc>
        <w:tc>
          <w:tcPr>
            <w:tcW w:w="571" w:type="pct"/>
            <w:tcBorders>
              <w:top w:val="nil"/>
              <w:left w:val="nil"/>
              <w:bottom w:val="single" w:sz="4" w:space="0" w:color="auto"/>
              <w:right w:val="single" w:sz="4" w:space="0" w:color="auto"/>
            </w:tcBorders>
            <w:shd w:val="clear" w:color="auto" w:fill="auto"/>
            <w:noWrap/>
            <w:vAlign w:val="bottom"/>
            <w:hideMark/>
          </w:tcPr>
          <w:p w14:paraId="1C62C9A6" w14:textId="77777777" w:rsidR="004A7FF7" w:rsidRPr="00A543CE" w:rsidRDefault="004A7FF7" w:rsidP="00951BFD">
            <w:pPr>
              <w:jc w:val="center"/>
              <w:rPr>
                <w:rFonts w:ascii="Cambria" w:hAnsi="Cambria"/>
                <w:sz w:val="20"/>
              </w:rPr>
            </w:pPr>
            <w:r w:rsidRPr="00A543CE">
              <w:rPr>
                <w:rFonts w:ascii="Cambria" w:hAnsi="Cambria"/>
                <w:sz w:val="20"/>
              </w:rPr>
              <w:t>-</w:t>
            </w:r>
          </w:p>
        </w:tc>
        <w:tc>
          <w:tcPr>
            <w:tcW w:w="326" w:type="pct"/>
            <w:tcBorders>
              <w:top w:val="nil"/>
              <w:left w:val="nil"/>
              <w:bottom w:val="single" w:sz="4" w:space="0" w:color="auto"/>
              <w:right w:val="single" w:sz="4" w:space="0" w:color="auto"/>
            </w:tcBorders>
            <w:shd w:val="clear" w:color="auto" w:fill="auto"/>
            <w:vAlign w:val="bottom"/>
          </w:tcPr>
          <w:p w14:paraId="14DEA5AC" w14:textId="77777777" w:rsidR="004A7FF7" w:rsidRPr="00A543CE" w:rsidRDefault="004A7FF7" w:rsidP="00951BFD">
            <w:pPr>
              <w:jc w:val="center"/>
              <w:rPr>
                <w:rFonts w:ascii="Cambria" w:hAnsi="Cambria"/>
                <w:sz w:val="20"/>
              </w:rPr>
            </w:pPr>
            <w:r w:rsidRPr="00A543CE">
              <w:rPr>
                <w:rFonts w:ascii="Cambria" w:hAnsi="Cambria"/>
                <w:sz w:val="20"/>
              </w:rPr>
              <w:t>-</w:t>
            </w:r>
          </w:p>
        </w:tc>
        <w:tc>
          <w:tcPr>
            <w:tcW w:w="327" w:type="pct"/>
            <w:tcBorders>
              <w:top w:val="nil"/>
              <w:left w:val="single" w:sz="4" w:space="0" w:color="auto"/>
              <w:bottom w:val="single" w:sz="4" w:space="0" w:color="auto"/>
              <w:right w:val="single" w:sz="4" w:space="0" w:color="auto"/>
            </w:tcBorders>
            <w:shd w:val="clear" w:color="auto" w:fill="auto"/>
            <w:vAlign w:val="bottom"/>
          </w:tcPr>
          <w:p w14:paraId="3C866C16" w14:textId="77777777" w:rsidR="004A7FF7" w:rsidRPr="00A543CE" w:rsidRDefault="004A7FF7" w:rsidP="00951BFD">
            <w:pPr>
              <w:jc w:val="center"/>
              <w:rPr>
                <w:rFonts w:ascii="Cambria" w:hAnsi="Cambria"/>
                <w:sz w:val="20"/>
              </w:rPr>
            </w:pPr>
            <w:r w:rsidRPr="00A543CE">
              <w:rPr>
                <w:rFonts w:ascii="Cambria" w:hAnsi="Cambria"/>
                <w:sz w:val="20"/>
              </w:rPr>
              <w:t>-</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0BED4F1A" w14:textId="1F954B29" w:rsidR="004A7FF7" w:rsidRPr="00A543CE" w:rsidRDefault="001D445E" w:rsidP="00951BFD">
            <w:pPr>
              <w:jc w:val="center"/>
              <w:rPr>
                <w:rFonts w:ascii="Cambria" w:hAnsi="Cambria"/>
                <w:sz w:val="20"/>
              </w:rPr>
            </w:pPr>
            <w:r>
              <w:rPr>
                <w:rFonts w:ascii="Cambria" w:hAnsi="Cambria"/>
                <w:sz w:val="20"/>
              </w:rPr>
              <w:t>391</w:t>
            </w:r>
          </w:p>
        </w:tc>
      </w:tr>
      <w:tr w:rsidR="00951BFD" w:rsidRPr="0081499D" w14:paraId="2FBE4CF9" w14:textId="77777777" w:rsidTr="00FC6CF9">
        <w:trPr>
          <w:trHeight w:val="372"/>
        </w:trPr>
        <w:tc>
          <w:tcPr>
            <w:tcW w:w="921" w:type="pct"/>
            <w:tcBorders>
              <w:top w:val="single" w:sz="4" w:space="0" w:color="auto"/>
              <w:left w:val="single" w:sz="4" w:space="0" w:color="auto"/>
              <w:bottom w:val="single" w:sz="4" w:space="0" w:color="auto"/>
              <w:right w:val="nil"/>
            </w:tcBorders>
            <w:shd w:val="clear" w:color="auto" w:fill="auto"/>
            <w:noWrap/>
            <w:vAlign w:val="bottom"/>
            <w:hideMark/>
          </w:tcPr>
          <w:p w14:paraId="6A983572" w14:textId="77777777" w:rsidR="004A7FF7" w:rsidRPr="00FC6CF9" w:rsidRDefault="004A7FF7" w:rsidP="00951BFD">
            <w:pPr>
              <w:rPr>
                <w:rFonts w:ascii="Cambria" w:hAnsi="Cambria"/>
                <w:sz w:val="20"/>
              </w:rPr>
            </w:pPr>
            <w:r w:rsidRPr="00FC6CF9">
              <w:rPr>
                <w:rFonts w:ascii="Cambria" w:hAnsi="Cambria"/>
                <w:sz w:val="20"/>
              </w:rPr>
              <w:t>Diferencias temporarias</w:t>
            </w:r>
          </w:p>
        </w:tc>
        <w:tc>
          <w:tcPr>
            <w:tcW w:w="227" w:type="pct"/>
            <w:tcBorders>
              <w:top w:val="nil"/>
              <w:left w:val="nil"/>
              <w:bottom w:val="single" w:sz="4" w:space="0" w:color="auto"/>
              <w:right w:val="single" w:sz="4" w:space="0" w:color="auto"/>
            </w:tcBorders>
            <w:shd w:val="clear" w:color="auto" w:fill="auto"/>
            <w:noWrap/>
            <w:vAlign w:val="bottom"/>
            <w:hideMark/>
          </w:tcPr>
          <w:p w14:paraId="6C473A11" w14:textId="77777777" w:rsidR="004A7FF7" w:rsidRPr="00A543CE" w:rsidRDefault="004A7FF7" w:rsidP="00951BFD">
            <w:pPr>
              <w:ind w:left="-491" w:hanging="289"/>
              <w:rPr>
                <w:rFonts w:ascii="Cambria" w:hAnsi="Cambria"/>
                <w:sz w:val="20"/>
              </w:rPr>
            </w:pPr>
            <w:r w:rsidRPr="00A543CE">
              <w:rPr>
                <w:rFonts w:ascii="Cambria" w:hAnsi="Cambria"/>
                <w:sz w:val="20"/>
              </w:rPr>
              <w:t> </w:t>
            </w:r>
          </w:p>
        </w:tc>
        <w:tc>
          <w:tcPr>
            <w:tcW w:w="655" w:type="pct"/>
            <w:tcBorders>
              <w:top w:val="nil"/>
              <w:left w:val="nil"/>
              <w:bottom w:val="single" w:sz="4" w:space="0" w:color="auto"/>
              <w:right w:val="single" w:sz="4" w:space="0" w:color="auto"/>
            </w:tcBorders>
            <w:shd w:val="clear" w:color="auto" w:fill="auto"/>
            <w:noWrap/>
            <w:vAlign w:val="bottom"/>
            <w:hideMark/>
          </w:tcPr>
          <w:p w14:paraId="038B8E59" w14:textId="6AE28A6B" w:rsidR="004A7FF7" w:rsidRPr="00A543CE" w:rsidRDefault="004A7FF7" w:rsidP="00951BFD">
            <w:pPr>
              <w:ind w:left="-671"/>
              <w:jc w:val="center"/>
              <w:rPr>
                <w:rFonts w:ascii="Cambria" w:hAnsi="Cambria"/>
                <w:sz w:val="20"/>
              </w:rPr>
            </w:pPr>
            <w:r w:rsidRPr="00A543CE">
              <w:rPr>
                <w:rFonts w:ascii="Cambria" w:hAnsi="Cambria"/>
                <w:sz w:val="20"/>
              </w:rPr>
              <w:t xml:space="preserve">             </w:t>
            </w:r>
            <w:r w:rsidR="000D32BD">
              <w:rPr>
                <w:rFonts w:ascii="Cambria" w:hAnsi="Cambria"/>
                <w:sz w:val="20"/>
              </w:rPr>
              <w:t>175</w:t>
            </w:r>
          </w:p>
        </w:tc>
        <w:tc>
          <w:tcPr>
            <w:tcW w:w="987" w:type="pct"/>
            <w:tcBorders>
              <w:top w:val="nil"/>
              <w:left w:val="nil"/>
              <w:bottom w:val="single" w:sz="4" w:space="0" w:color="auto"/>
              <w:right w:val="single" w:sz="4" w:space="0" w:color="auto"/>
            </w:tcBorders>
            <w:shd w:val="clear" w:color="auto" w:fill="auto"/>
            <w:noWrap/>
            <w:vAlign w:val="bottom"/>
            <w:hideMark/>
          </w:tcPr>
          <w:p w14:paraId="1BE09CAA" w14:textId="6325C6EE" w:rsidR="004A7FF7" w:rsidRPr="00064EC8" w:rsidRDefault="00187878" w:rsidP="00951BFD">
            <w:pPr>
              <w:jc w:val="center"/>
              <w:rPr>
                <w:rFonts w:ascii="Cambria" w:hAnsi="Cambria"/>
                <w:sz w:val="20"/>
              </w:rPr>
            </w:pPr>
            <w:r w:rsidRPr="00064EC8">
              <w:rPr>
                <w:rFonts w:ascii="Cambria" w:hAnsi="Cambria"/>
                <w:sz w:val="20"/>
              </w:rPr>
              <w:t>(</w:t>
            </w:r>
            <w:r w:rsidR="00064EC8" w:rsidRPr="00064EC8">
              <w:rPr>
                <w:rFonts w:ascii="Cambria" w:hAnsi="Cambria"/>
                <w:sz w:val="20"/>
              </w:rPr>
              <w:t>2.</w:t>
            </w:r>
            <w:r w:rsidR="000D32BD">
              <w:rPr>
                <w:rFonts w:ascii="Cambria" w:hAnsi="Cambria"/>
                <w:sz w:val="20"/>
              </w:rPr>
              <w:t>372</w:t>
            </w:r>
            <w:r w:rsidR="000C4EDC" w:rsidRPr="00064EC8">
              <w:rPr>
                <w:rFonts w:ascii="Cambria" w:hAnsi="Cambria"/>
                <w:sz w:val="20"/>
              </w:rPr>
              <w:t>)</w:t>
            </w:r>
          </w:p>
        </w:tc>
        <w:tc>
          <w:tcPr>
            <w:tcW w:w="412" w:type="pct"/>
            <w:tcBorders>
              <w:top w:val="nil"/>
              <w:left w:val="nil"/>
              <w:bottom w:val="single" w:sz="4" w:space="0" w:color="auto"/>
              <w:right w:val="single" w:sz="4" w:space="0" w:color="auto"/>
            </w:tcBorders>
            <w:shd w:val="clear" w:color="auto" w:fill="auto"/>
            <w:noWrap/>
            <w:vAlign w:val="bottom"/>
            <w:hideMark/>
          </w:tcPr>
          <w:p w14:paraId="12E6DF4E" w14:textId="77777777" w:rsidR="004A7FF7" w:rsidRPr="00064EC8" w:rsidRDefault="004A7FF7" w:rsidP="00951BFD">
            <w:pPr>
              <w:jc w:val="center"/>
              <w:rPr>
                <w:rFonts w:ascii="Cambria" w:hAnsi="Cambria"/>
                <w:sz w:val="20"/>
              </w:rPr>
            </w:pPr>
            <w:r w:rsidRPr="00064EC8">
              <w:rPr>
                <w:rFonts w:ascii="Cambria" w:hAnsi="Cambria"/>
                <w:sz w:val="20"/>
              </w:rPr>
              <w:t>-</w:t>
            </w:r>
          </w:p>
        </w:tc>
        <w:tc>
          <w:tcPr>
            <w:tcW w:w="571" w:type="pct"/>
            <w:tcBorders>
              <w:top w:val="nil"/>
              <w:left w:val="nil"/>
              <w:bottom w:val="single" w:sz="4" w:space="0" w:color="auto"/>
              <w:right w:val="single" w:sz="4" w:space="0" w:color="auto"/>
            </w:tcBorders>
            <w:shd w:val="clear" w:color="auto" w:fill="auto"/>
            <w:noWrap/>
            <w:vAlign w:val="bottom"/>
            <w:hideMark/>
          </w:tcPr>
          <w:p w14:paraId="3E1179FE" w14:textId="77777777" w:rsidR="004A7FF7" w:rsidRPr="00064EC8" w:rsidRDefault="004A7FF7" w:rsidP="00951BFD">
            <w:pPr>
              <w:jc w:val="center"/>
              <w:rPr>
                <w:rFonts w:ascii="Cambria" w:hAnsi="Cambria"/>
                <w:sz w:val="20"/>
              </w:rPr>
            </w:pPr>
            <w:r w:rsidRPr="00064EC8">
              <w:rPr>
                <w:rFonts w:ascii="Cambria" w:hAnsi="Cambria"/>
                <w:sz w:val="20"/>
              </w:rPr>
              <w:t>-</w:t>
            </w:r>
          </w:p>
        </w:tc>
        <w:tc>
          <w:tcPr>
            <w:tcW w:w="326" w:type="pct"/>
            <w:tcBorders>
              <w:top w:val="nil"/>
              <w:left w:val="nil"/>
              <w:bottom w:val="single" w:sz="4" w:space="0" w:color="auto"/>
              <w:right w:val="single" w:sz="4" w:space="0" w:color="auto"/>
            </w:tcBorders>
            <w:shd w:val="clear" w:color="auto" w:fill="auto"/>
            <w:vAlign w:val="bottom"/>
          </w:tcPr>
          <w:p w14:paraId="3F81EA21" w14:textId="77777777" w:rsidR="004A7FF7" w:rsidRPr="00064EC8" w:rsidRDefault="004A7FF7" w:rsidP="00951BFD">
            <w:pPr>
              <w:jc w:val="center"/>
              <w:rPr>
                <w:rFonts w:ascii="Cambria" w:hAnsi="Cambria"/>
                <w:sz w:val="20"/>
              </w:rPr>
            </w:pPr>
            <w:r w:rsidRPr="00064EC8">
              <w:rPr>
                <w:rFonts w:ascii="Cambria" w:hAnsi="Cambria"/>
                <w:sz w:val="20"/>
              </w:rPr>
              <w:t>-</w:t>
            </w:r>
          </w:p>
        </w:tc>
        <w:tc>
          <w:tcPr>
            <w:tcW w:w="327" w:type="pct"/>
            <w:tcBorders>
              <w:top w:val="nil"/>
              <w:left w:val="single" w:sz="4" w:space="0" w:color="auto"/>
              <w:bottom w:val="single" w:sz="4" w:space="0" w:color="auto"/>
              <w:right w:val="single" w:sz="4" w:space="0" w:color="auto"/>
            </w:tcBorders>
            <w:shd w:val="clear" w:color="auto" w:fill="auto"/>
            <w:vAlign w:val="bottom"/>
          </w:tcPr>
          <w:p w14:paraId="75FFBA31" w14:textId="77777777" w:rsidR="004A7FF7" w:rsidRPr="00064EC8" w:rsidRDefault="004A7FF7" w:rsidP="00951BFD">
            <w:pPr>
              <w:jc w:val="center"/>
              <w:rPr>
                <w:rFonts w:ascii="Cambria" w:hAnsi="Cambria"/>
                <w:sz w:val="20"/>
              </w:rPr>
            </w:pPr>
            <w:r w:rsidRPr="00064EC8">
              <w:rPr>
                <w:rFonts w:ascii="Cambria" w:hAnsi="Cambria"/>
                <w:sz w:val="20"/>
              </w:rPr>
              <w:t>-</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6E96F191" w14:textId="4D2BE833" w:rsidR="004A7FF7" w:rsidRPr="00064EC8" w:rsidRDefault="00187878" w:rsidP="00951BFD">
            <w:pPr>
              <w:jc w:val="center"/>
              <w:rPr>
                <w:rFonts w:ascii="Cambria" w:hAnsi="Cambria"/>
                <w:sz w:val="20"/>
              </w:rPr>
            </w:pPr>
            <w:r w:rsidRPr="00064EC8">
              <w:rPr>
                <w:rFonts w:ascii="Cambria" w:hAnsi="Cambria"/>
                <w:sz w:val="20"/>
              </w:rPr>
              <w:t>(</w:t>
            </w:r>
            <w:r w:rsidR="00064EC8" w:rsidRPr="00064EC8">
              <w:rPr>
                <w:rFonts w:ascii="Cambria" w:hAnsi="Cambria"/>
                <w:sz w:val="20"/>
              </w:rPr>
              <w:t>2.19</w:t>
            </w:r>
            <w:r w:rsidR="005C077F">
              <w:rPr>
                <w:rFonts w:ascii="Cambria" w:hAnsi="Cambria"/>
                <w:sz w:val="20"/>
              </w:rPr>
              <w:t>7</w:t>
            </w:r>
            <w:r w:rsidR="000C4EDC" w:rsidRPr="00064EC8">
              <w:rPr>
                <w:rFonts w:ascii="Cambria" w:hAnsi="Cambria"/>
                <w:sz w:val="20"/>
              </w:rPr>
              <w:t>)</w:t>
            </w:r>
          </w:p>
        </w:tc>
      </w:tr>
      <w:tr w:rsidR="00951BFD" w:rsidRPr="00064EC8" w14:paraId="28A1A163" w14:textId="77777777" w:rsidTr="00FC6CF9">
        <w:trPr>
          <w:trHeight w:val="304"/>
        </w:trPr>
        <w:tc>
          <w:tcPr>
            <w:tcW w:w="921" w:type="pct"/>
            <w:tcBorders>
              <w:top w:val="single" w:sz="4" w:space="0" w:color="auto"/>
              <w:left w:val="single" w:sz="4" w:space="0" w:color="auto"/>
              <w:bottom w:val="single" w:sz="4" w:space="0" w:color="auto"/>
              <w:right w:val="nil"/>
            </w:tcBorders>
            <w:shd w:val="clear" w:color="auto" w:fill="auto"/>
            <w:noWrap/>
            <w:vAlign w:val="bottom"/>
            <w:hideMark/>
          </w:tcPr>
          <w:p w14:paraId="329BCBB1" w14:textId="77777777" w:rsidR="004A7FF7" w:rsidRPr="00FC6CF9" w:rsidRDefault="004A7FF7" w:rsidP="00951BFD">
            <w:pPr>
              <w:rPr>
                <w:rFonts w:ascii="Cambria" w:hAnsi="Cambria"/>
                <w:sz w:val="20"/>
              </w:rPr>
            </w:pPr>
            <w:r w:rsidRPr="00FC6CF9">
              <w:rPr>
                <w:rFonts w:ascii="Cambria" w:hAnsi="Cambria"/>
                <w:sz w:val="20"/>
              </w:rPr>
              <w:t>-Con origen en el ejercicio</w:t>
            </w:r>
          </w:p>
        </w:tc>
        <w:tc>
          <w:tcPr>
            <w:tcW w:w="227" w:type="pct"/>
            <w:tcBorders>
              <w:top w:val="nil"/>
              <w:left w:val="nil"/>
              <w:bottom w:val="single" w:sz="4" w:space="0" w:color="auto"/>
              <w:right w:val="single" w:sz="4" w:space="0" w:color="auto"/>
            </w:tcBorders>
            <w:shd w:val="clear" w:color="auto" w:fill="auto"/>
            <w:noWrap/>
            <w:vAlign w:val="bottom"/>
            <w:hideMark/>
          </w:tcPr>
          <w:p w14:paraId="1DE219F9" w14:textId="77777777" w:rsidR="004A7FF7" w:rsidRPr="00FC6CF9" w:rsidRDefault="004A7FF7" w:rsidP="00951BFD">
            <w:pPr>
              <w:rPr>
                <w:rFonts w:ascii="Cambria" w:hAnsi="Cambria"/>
                <w:sz w:val="20"/>
              </w:rPr>
            </w:pPr>
            <w:r w:rsidRPr="00FC6CF9">
              <w:rPr>
                <w:rFonts w:ascii="Cambria" w:hAnsi="Cambria"/>
                <w:sz w:val="20"/>
              </w:rPr>
              <w:t> </w:t>
            </w:r>
          </w:p>
        </w:tc>
        <w:tc>
          <w:tcPr>
            <w:tcW w:w="655" w:type="pct"/>
            <w:tcBorders>
              <w:top w:val="nil"/>
              <w:left w:val="nil"/>
              <w:bottom w:val="single" w:sz="4" w:space="0" w:color="auto"/>
              <w:right w:val="single" w:sz="4" w:space="0" w:color="auto"/>
            </w:tcBorders>
            <w:shd w:val="clear" w:color="auto" w:fill="auto"/>
            <w:noWrap/>
            <w:vAlign w:val="bottom"/>
            <w:hideMark/>
          </w:tcPr>
          <w:p w14:paraId="060B22AD" w14:textId="680F58A4" w:rsidR="004A7FF7" w:rsidRPr="00064EC8" w:rsidRDefault="00064EC8" w:rsidP="00951BFD">
            <w:pPr>
              <w:jc w:val="center"/>
              <w:rPr>
                <w:rFonts w:ascii="Cambria" w:hAnsi="Cambria"/>
                <w:sz w:val="20"/>
              </w:rPr>
            </w:pPr>
            <w:r w:rsidRPr="00064EC8">
              <w:rPr>
                <w:rFonts w:ascii="Cambria" w:hAnsi="Cambria"/>
                <w:sz w:val="20"/>
              </w:rPr>
              <w:t>175</w:t>
            </w:r>
          </w:p>
        </w:tc>
        <w:tc>
          <w:tcPr>
            <w:tcW w:w="987" w:type="pct"/>
            <w:tcBorders>
              <w:top w:val="nil"/>
              <w:left w:val="nil"/>
              <w:bottom w:val="single" w:sz="4" w:space="0" w:color="auto"/>
              <w:right w:val="single" w:sz="4" w:space="0" w:color="auto"/>
            </w:tcBorders>
            <w:shd w:val="clear" w:color="auto" w:fill="auto"/>
            <w:noWrap/>
            <w:vAlign w:val="bottom"/>
            <w:hideMark/>
          </w:tcPr>
          <w:p w14:paraId="743E09AE" w14:textId="77777777" w:rsidR="004A7FF7" w:rsidRPr="00064EC8" w:rsidRDefault="004A7FF7" w:rsidP="00951BFD">
            <w:pPr>
              <w:jc w:val="center"/>
              <w:rPr>
                <w:rFonts w:ascii="Cambria" w:hAnsi="Cambria"/>
                <w:sz w:val="20"/>
              </w:rPr>
            </w:pPr>
            <w:r w:rsidRPr="00064EC8">
              <w:rPr>
                <w:rFonts w:ascii="Cambria" w:hAnsi="Cambria"/>
                <w:sz w:val="20"/>
              </w:rPr>
              <w:t>-</w:t>
            </w:r>
          </w:p>
        </w:tc>
        <w:tc>
          <w:tcPr>
            <w:tcW w:w="412" w:type="pct"/>
            <w:tcBorders>
              <w:top w:val="nil"/>
              <w:left w:val="nil"/>
              <w:bottom w:val="single" w:sz="4" w:space="0" w:color="auto"/>
              <w:right w:val="single" w:sz="4" w:space="0" w:color="auto"/>
            </w:tcBorders>
            <w:shd w:val="clear" w:color="auto" w:fill="auto"/>
            <w:noWrap/>
            <w:vAlign w:val="bottom"/>
            <w:hideMark/>
          </w:tcPr>
          <w:p w14:paraId="0B065951" w14:textId="77777777" w:rsidR="004A7FF7" w:rsidRPr="00064EC8" w:rsidRDefault="004A7FF7" w:rsidP="00951BFD">
            <w:pPr>
              <w:jc w:val="center"/>
              <w:rPr>
                <w:rFonts w:ascii="Cambria" w:hAnsi="Cambria"/>
                <w:sz w:val="20"/>
              </w:rPr>
            </w:pPr>
            <w:r w:rsidRPr="00064EC8">
              <w:rPr>
                <w:rFonts w:ascii="Cambria" w:hAnsi="Cambria"/>
                <w:sz w:val="20"/>
              </w:rPr>
              <w:t>-</w:t>
            </w:r>
          </w:p>
        </w:tc>
        <w:tc>
          <w:tcPr>
            <w:tcW w:w="571" w:type="pct"/>
            <w:tcBorders>
              <w:top w:val="nil"/>
              <w:left w:val="nil"/>
              <w:bottom w:val="single" w:sz="4" w:space="0" w:color="auto"/>
              <w:right w:val="single" w:sz="4" w:space="0" w:color="auto"/>
            </w:tcBorders>
            <w:shd w:val="clear" w:color="auto" w:fill="auto"/>
            <w:noWrap/>
            <w:vAlign w:val="bottom"/>
            <w:hideMark/>
          </w:tcPr>
          <w:p w14:paraId="0D9D2AB5" w14:textId="77777777" w:rsidR="004A7FF7" w:rsidRPr="00064EC8" w:rsidRDefault="004A7FF7" w:rsidP="00951BFD">
            <w:pPr>
              <w:jc w:val="center"/>
              <w:rPr>
                <w:rFonts w:ascii="Cambria" w:hAnsi="Cambria"/>
                <w:sz w:val="20"/>
              </w:rPr>
            </w:pPr>
            <w:r w:rsidRPr="00064EC8">
              <w:rPr>
                <w:rFonts w:ascii="Cambria" w:hAnsi="Cambria"/>
                <w:sz w:val="20"/>
              </w:rPr>
              <w:t>-</w:t>
            </w:r>
          </w:p>
        </w:tc>
        <w:tc>
          <w:tcPr>
            <w:tcW w:w="326" w:type="pct"/>
            <w:tcBorders>
              <w:top w:val="nil"/>
              <w:left w:val="nil"/>
              <w:bottom w:val="single" w:sz="4" w:space="0" w:color="auto"/>
              <w:right w:val="single" w:sz="4" w:space="0" w:color="auto"/>
            </w:tcBorders>
            <w:shd w:val="clear" w:color="auto" w:fill="auto"/>
            <w:vAlign w:val="bottom"/>
          </w:tcPr>
          <w:p w14:paraId="617C10A8" w14:textId="77777777" w:rsidR="004A7FF7" w:rsidRPr="00064EC8" w:rsidRDefault="004A7FF7" w:rsidP="00951BFD">
            <w:pPr>
              <w:jc w:val="center"/>
              <w:rPr>
                <w:rFonts w:ascii="Cambria" w:hAnsi="Cambria"/>
                <w:sz w:val="20"/>
              </w:rPr>
            </w:pPr>
            <w:r w:rsidRPr="00064EC8">
              <w:rPr>
                <w:rFonts w:ascii="Cambria" w:hAnsi="Cambria"/>
                <w:sz w:val="20"/>
              </w:rPr>
              <w:t>-</w:t>
            </w:r>
          </w:p>
        </w:tc>
        <w:tc>
          <w:tcPr>
            <w:tcW w:w="327" w:type="pct"/>
            <w:tcBorders>
              <w:top w:val="nil"/>
              <w:left w:val="single" w:sz="4" w:space="0" w:color="auto"/>
              <w:bottom w:val="single" w:sz="4" w:space="0" w:color="auto"/>
              <w:right w:val="single" w:sz="4" w:space="0" w:color="auto"/>
            </w:tcBorders>
            <w:shd w:val="clear" w:color="auto" w:fill="auto"/>
            <w:vAlign w:val="bottom"/>
          </w:tcPr>
          <w:p w14:paraId="6F97F1FE" w14:textId="77777777" w:rsidR="004A7FF7" w:rsidRPr="00064EC8" w:rsidRDefault="004A7FF7" w:rsidP="00951BFD">
            <w:pPr>
              <w:jc w:val="center"/>
              <w:rPr>
                <w:rFonts w:ascii="Cambria" w:hAnsi="Cambria"/>
                <w:sz w:val="20"/>
              </w:rPr>
            </w:pPr>
            <w:r w:rsidRPr="00064EC8">
              <w:rPr>
                <w:rFonts w:ascii="Cambria" w:hAnsi="Cambria"/>
                <w:sz w:val="20"/>
              </w:rPr>
              <w:t>-</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332B8BDE" w14:textId="4ED2733E" w:rsidR="004A7FF7" w:rsidRPr="00064EC8" w:rsidRDefault="00064EC8" w:rsidP="00951BFD">
            <w:pPr>
              <w:jc w:val="center"/>
              <w:rPr>
                <w:rFonts w:ascii="Cambria" w:hAnsi="Cambria"/>
                <w:sz w:val="20"/>
              </w:rPr>
            </w:pPr>
            <w:r w:rsidRPr="00064EC8">
              <w:rPr>
                <w:rFonts w:ascii="Cambria" w:hAnsi="Cambria"/>
                <w:sz w:val="20"/>
              </w:rPr>
              <w:t>175</w:t>
            </w:r>
          </w:p>
        </w:tc>
      </w:tr>
      <w:tr w:rsidR="00951BFD" w:rsidRPr="0081499D" w14:paraId="7A4EFB6E" w14:textId="77777777" w:rsidTr="00FC6CF9">
        <w:trPr>
          <w:trHeight w:val="405"/>
        </w:trPr>
        <w:tc>
          <w:tcPr>
            <w:tcW w:w="114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B90F5B" w14:textId="77777777" w:rsidR="004A7FF7" w:rsidRPr="00FC6CF9" w:rsidRDefault="004A7FF7" w:rsidP="00951BFD">
            <w:pPr>
              <w:rPr>
                <w:rFonts w:ascii="Cambria" w:hAnsi="Cambria"/>
                <w:sz w:val="20"/>
              </w:rPr>
            </w:pPr>
            <w:r w:rsidRPr="00FC6CF9">
              <w:rPr>
                <w:rFonts w:ascii="Cambria" w:hAnsi="Cambria"/>
                <w:sz w:val="20"/>
              </w:rPr>
              <w:t>-Con origen en ej. anteriores</w:t>
            </w:r>
          </w:p>
        </w:tc>
        <w:tc>
          <w:tcPr>
            <w:tcW w:w="655" w:type="pct"/>
            <w:tcBorders>
              <w:top w:val="nil"/>
              <w:left w:val="nil"/>
              <w:bottom w:val="single" w:sz="4" w:space="0" w:color="auto"/>
              <w:right w:val="single" w:sz="4" w:space="0" w:color="auto"/>
            </w:tcBorders>
            <w:shd w:val="clear" w:color="auto" w:fill="auto"/>
            <w:noWrap/>
            <w:vAlign w:val="bottom"/>
            <w:hideMark/>
          </w:tcPr>
          <w:p w14:paraId="658EFF55" w14:textId="77777777" w:rsidR="004A7FF7" w:rsidRPr="00A50046" w:rsidRDefault="004A7FF7" w:rsidP="00951BFD">
            <w:pPr>
              <w:jc w:val="center"/>
              <w:rPr>
                <w:rFonts w:ascii="Cambria" w:hAnsi="Cambria"/>
                <w:sz w:val="20"/>
                <w:highlight w:val="yellow"/>
              </w:rPr>
            </w:pPr>
            <w:r w:rsidRPr="00064EC8">
              <w:rPr>
                <w:rFonts w:ascii="Cambria" w:hAnsi="Cambria"/>
                <w:sz w:val="20"/>
              </w:rPr>
              <w:t>-</w:t>
            </w:r>
          </w:p>
        </w:tc>
        <w:tc>
          <w:tcPr>
            <w:tcW w:w="987" w:type="pct"/>
            <w:tcBorders>
              <w:top w:val="nil"/>
              <w:left w:val="nil"/>
              <w:bottom w:val="single" w:sz="4" w:space="0" w:color="auto"/>
              <w:right w:val="single" w:sz="4" w:space="0" w:color="auto"/>
            </w:tcBorders>
            <w:shd w:val="clear" w:color="auto" w:fill="auto"/>
            <w:noWrap/>
            <w:vAlign w:val="bottom"/>
            <w:hideMark/>
          </w:tcPr>
          <w:p w14:paraId="39E64196" w14:textId="48A634C5" w:rsidR="004A7FF7" w:rsidRPr="00064EC8" w:rsidRDefault="00064EC8" w:rsidP="00187878">
            <w:pPr>
              <w:jc w:val="center"/>
              <w:rPr>
                <w:rFonts w:ascii="Cambria" w:hAnsi="Cambria"/>
                <w:sz w:val="20"/>
              </w:rPr>
            </w:pPr>
            <w:r w:rsidRPr="00064EC8">
              <w:rPr>
                <w:rFonts w:ascii="Cambria" w:hAnsi="Cambria"/>
                <w:sz w:val="20"/>
              </w:rPr>
              <w:t>(2.37</w:t>
            </w:r>
            <w:r w:rsidR="00DC6522">
              <w:rPr>
                <w:rFonts w:ascii="Cambria" w:hAnsi="Cambria"/>
                <w:sz w:val="20"/>
              </w:rPr>
              <w:t>2</w:t>
            </w:r>
            <w:r w:rsidRPr="00064EC8">
              <w:rPr>
                <w:rFonts w:ascii="Cambria" w:hAnsi="Cambria"/>
                <w:sz w:val="20"/>
              </w:rPr>
              <w:t>)</w:t>
            </w:r>
          </w:p>
        </w:tc>
        <w:tc>
          <w:tcPr>
            <w:tcW w:w="412" w:type="pct"/>
            <w:tcBorders>
              <w:top w:val="nil"/>
              <w:left w:val="nil"/>
              <w:bottom w:val="single" w:sz="4" w:space="0" w:color="auto"/>
              <w:right w:val="single" w:sz="4" w:space="0" w:color="auto"/>
            </w:tcBorders>
            <w:shd w:val="clear" w:color="auto" w:fill="auto"/>
            <w:noWrap/>
            <w:vAlign w:val="bottom"/>
            <w:hideMark/>
          </w:tcPr>
          <w:p w14:paraId="516EEBF0" w14:textId="77777777" w:rsidR="004A7FF7" w:rsidRPr="00064EC8" w:rsidRDefault="004A7FF7" w:rsidP="00951BFD">
            <w:pPr>
              <w:jc w:val="center"/>
              <w:rPr>
                <w:rFonts w:ascii="Cambria" w:hAnsi="Cambria"/>
                <w:sz w:val="20"/>
              </w:rPr>
            </w:pPr>
            <w:r w:rsidRPr="00064EC8">
              <w:rPr>
                <w:rFonts w:ascii="Cambria" w:hAnsi="Cambria"/>
                <w:sz w:val="20"/>
              </w:rPr>
              <w:t>-</w:t>
            </w:r>
          </w:p>
        </w:tc>
        <w:tc>
          <w:tcPr>
            <w:tcW w:w="571" w:type="pct"/>
            <w:tcBorders>
              <w:top w:val="nil"/>
              <w:left w:val="nil"/>
              <w:bottom w:val="single" w:sz="4" w:space="0" w:color="auto"/>
              <w:right w:val="single" w:sz="4" w:space="0" w:color="auto"/>
            </w:tcBorders>
            <w:shd w:val="clear" w:color="auto" w:fill="auto"/>
            <w:noWrap/>
            <w:vAlign w:val="bottom"/>
            <w:hideMark/>
          </w:tcPr>
          <w:p w14:paraId="275E24DD" w14:textId="77777777" w:rsidR="004A7FF7" w:rsidRPr="00064EC8" w:rsidRDefault="004A7FF7" w:rsidP="00951BFD">
            <w:pPr>
              <w:jc w:val="right"/>
              <w:rPr>
                <w:rFonts w:ascii="Cambria" w:hAnsi="Cambria"/>
                <w:sz w:val="20"/>
              </w:rPr>
            </w:pPr>
            <w:r w:rsidRPr="00064EC8">
              <w:rPr>
                <w:rFonts w:ascii="Cambria" w:hAnsi="Cambria"/>
                <w:sz w:val="20"/>
              </w:rPr>
              <w:t> -</w:t>
            </w:r>
          </w:p>
        </w:tc>
        <w:tc>
          <w:tcPr>
            <w:tcW w:w="326" w:type="pct"/>
            <w:tcBorders>
              <w:top w:val="nil"/>
              <w:left w:val="nil"/>
              <w:bottom w:val="single" w:sz="4" w:space="0" w:color="auto"/>
              <w:right w:val="single" w:sz="4" w:space="0" w:color="auto"/>
            </w:tcBorders>
            <w:shd w:val="clear" w:color="auto" w:fill="auto"/>
            <w:vAlign w:val="bottom"/>
          </w:tcPr>
          <w:p w14:paraId="61B9017C" w14:textId="77777777" w:rsidR="004A7FF7" w:rsidRPr="00064EC8" w:rsidRDefault="004A7FF7" w:rsidP="00951BFD">
            <w:pPr>
              <w:jc w:val="center"/>
              <w:rPr>
                <w:rFonts w:ascii="Cambria" w:hAnsi="Cambria"/>
                <w:sz w:val="20"/>
              </w:rPr>
            </w:pPr>
            <w:r w:rsidRPr="00064EC8">
              <w:rPr>
                <w:rFonts w:ascii="Cambria" w:hAnsi="Cambria"/>
                <w:sz w:val="20"/>
              </w:rPr>
              <w:t>-</w:t>
            </w:r>
          </w:p>
        </w:tc>
        <w:tc>
          <w:tcPr>
            <w:tcW w:w="327" w:type="pct"/>
            <w:tcBorders>
              <w:top w:val="nil"/>
              <w:left w:val="single" w:sz="4" w:space="0" w:color="auto"/>
              <w:bottom w:val="single" w:sz="4" w:space="0" w:color="auto"/>
              <w:right w:val="single" w:sz="4" w:space="0" w:color="auto"/>
            </w:tcBorders>
            <w:shd w:val="clear" w:color="auto" w:fill="auto"/>
            <w:vAlign w:val="bottom"/>
          </w:tcPr>
          <w:p w14:paraId="117ACBAA" w14:textId="77777777" w:rsidR="004A7FF7" w:rsidRPr="00064EC8" w:rsidRDefault="004A7FF7" w:rsidP="00951BFD">
            <w:pPr>
              <w:jc w:val="center"/>
              <w:rPr>
                <w:rFonts w:ascii="Cambria" w:hAnsi="Cambria"/>
                <w:sz w:val="20"/>
              </w:rPr>
            </w:pPr>
            <w:r w:rsidRPr="00064EC8">
              <w:rPr>
                <w:rFonts w:ascii="Cambria" w:hAnsi="Cambria"/>
                <w:sz w:val="20"/>
              </w:rPr>
              <w:t>-</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2EE3F587" w14:textId="519CDA80" w:rsidR="004A7FF7" w:rsidRPr="00064EC8" w:rsidRDefault="00064EC8" w:rsidP="00951BFD">
            <w:pPr>
              <w:jc w:val="center"/>
              <w:rPr>
                <w:rFonts w:ascii="Cambria" w:hAnsi="Cambria"/>
                <w:sz w:val="20"/>
              </w:rPr>
            </w:pPr>
            <w:r w:rsidRPr="00064EC8">
              <w:rPr>
                <w:rFonts w:ascii="Cambria" w:hAnsi="Cambria"/>
                <w:sz w:val="20"/>
              </w:rPr>
              <w:t>(2.37</w:t>
            </w:r>
            <w:r w:rsidR="00DC6522">
              <w:rPr>
                <w:rFonts w:ascii="Cambria" w:hAnsi="Cambria"/>
                <w:sz w:val="20"/>
              </w:rPr>
              <w:t>2</w:t>
            </w:r>
            <w:r w:rsidRPr="00064EC8">
              <w:rPr>
                <w:rFonts w:ascii="Cambria" w:hAnsi="Cambria"/>
                <w:sz w:val="20"/>
              </w:rPr>
              <w:t>)</w:t>
            </w:r>
          </w:p>
        </w:tc>
      </w:tr>
      <w:tr w:rsidR="00951BFD" w:rsidRPr="0081499D" w14:paraId="24C1AC50" w14:textId="77777777" w:rsidTr="00A543CE">
        <w:trPr>
          <w:trHeight w:val="179"/>
        </w:trPr>
        <w:tc>
          <w:tcPr>
            <w:tcW w:w="114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109E6D" w14:textId="77777777" w:rsidR="004A7FF7" w:rsidRPr="00FC6CF9" w:rsidRDefault="004A7FF7" w:rsidP="00951BFD">
            <w:pPr>
              <w:rPr>
                <w:rFonts w:ascii="Cambria" w:hAnsi="Cambria"/>
                <w:sz w:val="20"/>
              </w:rPr>
            </w:pPr>
            <w:r w:rsidRPr="00FC6CF9">
              <w:rPr>
                <w:rFonts w:ascii="Cambria" w:hAnsi="Cambria"/>
                <w:sz w:val="20"/>
              </w:rPr>
              <w:t>Compensación de BIN's</w:t>
            </w:r>
          </w:p>
        </w:tc>
        <w:tc>
          <w:tcPr>
            <w:tcW w:w="2625" w:type="pct"/>
            <w:gridSpan w:val="4"/>
            <w:tcBorders>
              <w:top w:val="single" w:sz="4" w:space="0" w:color="auto"/>
              <w:left w:val="nil"/>
              <w:bottom w:val="single" w:sz="4" w:space="0" w:color="auto"/>
              <w:right w:val="single" w:sz="4" w:space="0" w:color="auto"/>
            </w:tcBorders>
            <w:shd w:val="clear" w:color="auto" w:fill="auto"/>
            <w:noWrap/>
            <w:vAlign w:val="center"/>
          </w:tcPr>
          <w:p w14:paraId="6F9A91FD" w14:textId="3F689918" w:rsidR="004A7FF7" w:rsidRPr="00A543CE" w:rsidRDefault="00A543CE" w:rsidP="00951BFD">
            <w:pPr>
              <w:jc w:val="center"/>
              <w:rPr>
                <w:rFonts w:ascii="Cambria" w:hAnsi="Cambria"/>
                <w:sz w:val="20"/>
              </w:rPr>
            </w:pPr>
            <w:r w:rsidRPr="00A543CE">
              <w:rPr>
                <w:rFonts w:ascii="Cambria" w:hAnsi="Cambria"/>
                <w:sz w:val="20"/>
              </w:rPr>
              <w:t>-</w:t>
            </w:r>
          </w:p>
        </w:tc>
        <w:tc>
          <w:tcPr>
            <w:tcW w:w="326" w:type="pct"/>
            <w:tcBorders>
              <w:top w:val="single" w:sz="4" w:space="0" w:color="auto"/>
              <w:bottom w:val="single" w:sz="4" w:space="0" w:color="auto"/>
              <w:right w:val="single" w:sz="4" w:space="0" w:color="auto"/>
            </w:tcBorders>
            <w:shd w:val="clear" w:color="auto" w:fill="auto"/>
            <w:vAlign w:val="bottom"/>
          </w:tcPr>
          <w:p w14:paraId="17DF8150" w14:textId="77777777" w:rsidR="004A7FF7" w:rsidRPr="00A543CE" w:rsidRDefault="004A7FF7" w:rsidP="00951BFD">
            <w:pPr>
              <w:jc w:val="center"/>
              <w:rPr>
                <w:rFonts w:ascii="Cambria" w:hAnsi="Cambria"/>
                <w:sz w:val="20"/>
              </w:rPr>
            </w:pPr>
            <w:r w:rsidRPr="00A543CE">
              <w:rPr>
                <w:rFonts w:ascii="Cambria" w:hAnsi="Cambria"/>
                <w:sz w:val="20"/>
              </w:rPr>
              <w:t>-</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14:paraId="74708AD7" w14:textId="77777777" w:rsidR="004A7FF7" w:rsidRPr="00A543CE" w:rsidRDefault="004A7FF7" w:rsidP="00951BFD">
            <w:pPr>
              <w:jc w:val="center"/>
              <w:rPr>
                <w:rFonts w:ascii="Cambria" w:hAnsi="Cambria"/>
                <w:sz w:val="20"/>
              </w:rPr>
            </w:pPr>
            <w:r w:rsidRPr="00A543CE">
              <w:rPr>
                <w:rFonts w:ascii="Cambria" w:hAnsi="Cambria"/>
                <w:sz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bottom"/>
          </w:tcPr>
          <w:p w14:paraId="1C8B3D76" w14:textId="0A9E24CE" w:rsidR="004A7FF7" w:rsidRPr="00A543CE" w:rsidRDefault="00A543CE" w:rsidP="00951BFD">
            <w:pPr>
              <w:jc w:val="center"/>
              <w:rPr>
                <w:rFonts w:ascii="Cambria" w:hAnsi="Cambria"/>
                <w:sz w:val="20"/>
              </w:rPr>
            </w:pPr>
            <w:r>
              <w:rPr>
                <w:rFonts w:ascii="Cambria" w:hAnsi="Cambria"/>
                <w:sz w:val="20"/>
              </w:rPr>
              <w:t>-</w:t>
            </w:r>
          </w:p>
        </w:tc>
      </w:tr>
      <w:tr w:rsidR="00951BFD" w:rsidRPr="0081499D" w14:paraId="145367CE" w14:textId="77777777" w:rsidTr="00FC6CF9">
        <w:trPr>
          <w:trHeight w:val="304"/>
        </w:trPr>
        <w:tc>
          <w:tcPr>
            <w:tcW w:w="114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FC47BD" w14:textId="77777777" w:rsidR="004A7FF7" w:rsidRPr="00FC6CF9" w:rsidRDefault="004A7FF7" w:rsidP="00951BFD">
            <w:pPr>
              <w:rPr>
                <w:rFonts w:ascii="Cambria" w:hAnsi="Cambria"/>
                <w:sz w:val="20"/>
              </w:rPr>
            </w:pPr>
            <w:r w:rsidRPr="00FC6CF9">
              <w:rPr>
                <w:rFonts w:ascii="Cambria" w:hAnsi="Cambria"/>
                <w:sz w:val="20"/>
              </w:rPr>
              <w:t>Base imponible (Resultado fiscal)</w:t>
            </w:r>
          </w:p>
        </w:tc>
        <w:tc>
          <w:tcPr>
            <w:tcW w:w="2625" w:type="pct"/>
            <w:gridSpan w:val="4"/>
            <w:tcBorders>
              <w:top w:val="single" w:sz="4" w:space="0" w:color="auto"/>
              <w:left w:val="nil"/>
              <w:bottom w:val="single" w:sz="4" w:space="0" w:color="auto"/>
              <w:right w:val="single" w:sz="4" w:space="0" w:color="auto"/>
            </w:tcBorders>
            <w:shd w:val="clear" w:color="auto" w:fill="auto"/>
            <w:noWrap/>
            <w:vAlign w:val="bottom"/>
          </w:tcPr>
          <w:p w14:paraId="4D58ECDC" w14:textId="3D713172" w:rsidR="004A7FF7" w:rsidRPr="00A543CE" w:rsidRDefault="00A543CE" w:rsidP="00951BFD">
            <w:pPr>
              <w:jc w:val="center"/>
              <w:rPr>
                <w:rFonts w:ascii="Cambria" w:hAnsi="Cambria"/>
                <w:sz w:val="20"/>
              </w:rPr>
            </w:pPr>
            <w:r w:rsidRPr="00A543CE">
              <w:rPr>
                <w:rFonts w:ascii="Cambria" w:hAnsi="Cambria"/>
                <w:sz w:val="20"/>
              </w:rPr>
              <w:t>(</w:t>
            </w:r>
            <w:r w:rsidR="00EF0663">
              <w:rPr>
                <w:rFonts w:ascii="Cambria" w:hAnsi="Cambria"/>
                <w:sz w:val="20"/>
              </w:rPr>
              <w:t>6.</w:t>
            </w:r>
            <w:r w:rsidR="001D445E">
              <w:rPr>
                <w:rFonts w:ascii="Cambria" w:hAnsi="Cambria"/>
                <w:sz w:val="20"/>
              </w:rPr>
              <w:t>213</w:t>
            </w:r>
            <w:r w:rsidRPr="00A543CE">
              <w:rPr>
                <w:rFonts w:ascii="Cambria" w:hAnsi="Cambria"/>
                <w:sz w:val="20"/>
              </w:rPr>
              <w:t>)</w:t>
            </w:r>
          </w:p>
        </w:tc>
        <w:tc>
          <w:tcPr>
            <w:tcW w:w="326" w:type="pct"/>
            <w:tcBorders>
              <w:top w:val="single" w:sz="4" w:space="0" w:color="auto"/>
              <w:bottom w:val="single" w:sz="4" w:space="0" w:color="auto"/>
              <w:right w:val="single" w:sz="4" w:space="0" w:color="auto"/>
            </w:tcBorders>
            <w:shd w:val="clear" w:color="auto" w:fill="auto"/>
            <w:vAlign w:val="bottom"/>
          </w:tcPr>
          <w:p w14:paraId="67838D89" w14:textId="5BF6557A" w:rsidR="004A7FF7" w:rsidRPr="00A543CE" w:rsidRDefault="004A7FF7" w:rsidP="00951BFD">
            <w:pPr>
              <w:jc w:val="center"/>
              <w:rPr>
                <w:rFonts w:ascii="Cambria" w:hAnsi="Cambria"/>
                <w:sz w:val="20"/>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14:paraId="3CD9A3E6" w14:textId="14E2CD9A" w:rsidR="004A7FF7" w:rsidRPr="00A543CE" w:rsidRDefault="004A7FF7" w:rsidP="00951BFD">
            <w:pPr>
              <w:jc w:val="center"/>
              <w:rPr>
                <w:rFonts w:ascii="Cambria" w:hAnsi="Cambria"/>
                <w:sz w:val="20"/>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bottom"/>
          </w:tcPr>
          <w:p w14:paraId="04719450" w14:textId="3A82BC2E" w:rsidR="004A7FF7" w:rsidRPr="00A543CE" w:rsidRDefault="00A543CE" w:rsidP="00951BFD">
            <w:pPr>
              <w:jc w:val="center"/>
              <w:rPr>
                <w:rFonts w:ascii="Cambria" w:hAnsi="Cambria"/>
                <w:sz w:val="20"/>
              </w:rPr>
            </w:pPr>
            <w:r w:rsidRPr="00A543CE">
              <w:rPr>
                <w:rFonts w:ascii="Cambria" w:hAnsi="Cambria"/>
                <w:sz w:val="20"/>
              </w:rPr>
              <w:t>(</w:t>
            </w:r>
            <w:r w:rsidR="00EF0663">
              <w:rPr>
                <w:rFonts w:ascii="Cambria" w:hAnsi="Cambria"/>
                <w:sz w:val="20"/>
              </w:rPr>
              <w:t>6.</w:t>
            </w:r>
            <w:r w:rsidR="001D445E">
              <w:rPr>
                <w:rFonts w:ascii="Cambria" w:hAnsi="Cambria"/>
                <w:sz w:val="20"/>
              </w:rPr>
              <w:t>213</w:t>
            </w:r>
            <w:r w:rsidRPr="00A543CE">
              <w:rPr>
                <w:rFonts w:ascii="Cambria" w:hAnsi="Cambria"/>
                <w:sz w:val="20"/>
              </w:rPr>
              <w:t>)</w:t>
            </w:r>
          </w:p>
        </w:tc>
      </w:tr>
    </w:tbl>
    <w:p w14:paraId="5EC1F9CA" w14:textId="77777777" w:rsidR="004A7FF7" w:rsidRPr="00C407D3" w:rsidRDefault="004A7FF7" w:rsidP="004A7FF7">
      <w:pPr>
        <w:pStyle w:val="not"/>
        <w:spacing w:before="0"/>
        <w:ind w:left="360" w:firstLine="0"/>
        <w:rPr>
          <w:rFonts w:ascii="Cambria" w:eastAsia="Batang" w:hAnsi="Cambria"/>
          <w:sz w:val="24"/>
          <w:szCs w:val="24"/>
          <w:highlight w:val="yellow"/>
        </w:rPr>
      </w:pPr>
    </w:p>
    <w:p w14:paraId="2C5E5E66" w14:textId="786406C1" w:rsidR="00914AD1" w:rsidRDefault="00914AD1" w:rsidP="00914AD1">
      <w:pPr>
        <w:pStyle w:val="Ttulo1a"/>
        <w:ind w:left="567"/>
        <w:rPr>
          <w:rFonts w:ascii="Cambria" w:hAnsi="Cambria"/>
          <w:sz w:val="24"/>
          <w:szCs w:val="24"/>
        </w:rPr>
      </w:pPr>
      <w:r w:rsidRPr="00914AD1">
        <w:rPr>
          <w:rFonts w:ascii="Cambria" w:hAnsi="Cambria"/>
          <w:sz w:val="24"/>
          <w:szCs w:val="24"/>
        </w:rPr>
        <w:t>La conciliación entre el resul</w:t>
      </w:r>
      <w:r w:rsidR="002F5AA5">
        <w:rPr>
          <w:rFonts w:ascii="Cambria" w:hAnsi="Cambria"/>
          <w:sz w:val="24"/>
          <w:szCs w:val="24"/>
        </w:rPr>
        <w:t>tado contable del ejercicio 201</w:t>
      </w:r>
      <w:r w:rsidR="00A50046">
        <w:rPr>
          <w:rFonts w:ascii="Cambria" w:hAnsi="Cambria"/>
          <w:sz w:val="24"/>
          <w:szCs w:val="24"/>
        </w:rPr>
        <w:t>9</w:t>
      </w:r>
      <w:r w:rsidRPr="00914AD1">
        <w:rPr>
          <w:rFonts w:ascii="Cambria" w:hAnsi="Cambria"/>
          <w:sz w:val="24"/>
          <w:szCs w:val="24"/>
        </w:rPr>
        <w:t xml:space="preserve"> y  la base imponible fiscal declarada por la Sociedad es la siguiente (en miles de euros):</w:t>
      </w:r>
    </w:p>
    <w:p w14:paraId="60F9DBC2" w14:textId="77777777" w:rsidR="00914AD1" w:rsidRDefault="00914AD1" w:rsidP="00914AD1">
      <w:pPr>
        <w:rPr>
          <w:rFonts w:eastAsia="Batang"/>
        </w:rPr>
      </w:pPr>
    </w:p>
    <w:tbl>
      <w:tblPr>
        <w:tblpPr w:leftFromText="141" w:rightFromText="141" w:vertAnchor="text" w:horzAnchor="margin" w:tblpX="421" w:tblpY="193"/>
        <w:tblW w:w="4768" w:type="pct"/>
        <w:tblLayout w:type="fixed"/>
        <w:tblCellMar>
          <w:left w:w="70" w:type="dxa"/>
          <w:right w:w="70" w:type="dxa"/>
        </w:tblCellMar>
        <w:tblLook w:val="04A0" w:firstRow="1" w:lastRow="0" w:firstColumn="1" w:lastColumn="0" w:noHBand="0" w:noVBand="1"/>
      </w:tblPr>
      <w:tblGrid>
        <w:gridCol w:w="1593"/>
        <w:gridCol w:w="392"/>
        <w:gridCol w:w="1132"/>
        <w:gridCol w:w="1706"/>
        <w:gridCol w:w="712"/>
        <w:gridCol w:w="987"/>
        <w:gridCol w:w="563"/>
        <w:gridCol w:w="567"/>
        <w:gridCol w:w="990"/>
      </w:tblGrid>
      <w:tr w:rsidR="00A50046" w:rsidRPr="00FC6CF9" w14:paraId="71F24C82" w14:textId="77777777" w:rsidTr="000E7CBF">
        <w:trPr>
          <w:trHeight w:val="644"/>
        </w:trPr>
        <w:tc>
          <w:tcPr>
            <w:tcW w:w="1147" w:type="pct"/>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A25CF5" w14:textId="77777777" w:rsidR="00A50046" w:rsidRPr="00FC6CF9" w:rsidRDefault="00A50046" w:rsidP="000E7CBF">
            <w:pPr>
              <w:jc w:val="center"/>
              <w:rPr>
                <w:rFonts w:ascii="Cambria" w:hAnsi="Cambria"/>
                <w:sz w:val="20"/>
              </w:rPr>
            </w:pPr>
            <w:r w:rsidRPr="00FC6CF9">
              <w:rPr>
                <w:rFonts w:ascii="Cambria" w:hAnsi="Cambria"/>
                <w:sz w:val="20"/>
              </w:rPr>
              <w:t>CONCEPTO</w:t>
            </w:r>
          </w:p>
        </w:tc>
        <w:tc>
          <w:tcPr>
            <w:tcW w:w="1642" w:type="pct"/>
            <w:gridSpan w:val="2"/>
            <w:tcBorders>
              <w:top w:val="single" w:sz="4" w:space="0" w:color="auto"/>
              <w:left w:val="single" w:sz="4" w:space="0" w:color="auto"/>
              <w:bottom w:val="single" w:sz="4" w:space="0" w:color="000000"/>
              <w:right w:val="nil"/>
            </w:tcBorders>
            <w:shd w:val="clear" w:color="auto" w:fill="auto"/>
            <w:noWrap/>
            <w:vAlign w:val="center"/>
            <w:hideMark/>
          </w:tcPr>
          <w:p w14:paraId="5ED4ED42" w14:textId="77777777" w:rsidR="00A50046" w:rsidRPr="00FC6CF9" w:rsidRDefault="00A50046" w:rsidP="000E7CBF">
            <w:pPr>
              <w:ind w:left="-398"/>
              <w:jc w:val="center"/>
              <w:rPr>
                <w:rFonts w:ascii="Cambria" w:hAnsi="Cambria"/>
                <w:sz w:val="20"/>
              </w:rPr>
            </w:pPr>
            <w:r w:rsidRPr="00FC6CF9">
              <w:rPr>
                <w:rFonts w:ascii="Cambria" w:hAnsi="Cambria"/>
                <w:sz w:val="20"/>
              </w:rPr>
              <w:t>Cuenta de</w:t>
            </w:r>
          </w:p>
          <w:p w14:paraId="299ED70B" w14:textId="77777777" w:rsidR="00A50046" w:rsidRPr="00FC6CF9" w:rsidRDefault="00A50046" w:rsidP="000E7CBF">
            <w:pPr>
              <w:ind w:left="-398"/>
              <w:jc w:val="center"/>
              <w:rPr>
                <w:rFonts w:ascii="Cambria" w:hAnsi="Cambria"/>
                <w:sz w:val="20"/>
              </w:rPr>
            </w:pPr>
            <w:r w:rsidRPr="00FC6CF9">
              <w:rPr>
                <w:rFonts w:ascii="Cambria" w:hAnsi="Cambria"/>
                <w:sz w:val="20"/>
              </w:rPr>
              <w:t>Pérdidas y Ganancias</w:t>
            </w:r>
          </w:p>
        </w:tc>
        <w:tc>
          <w:tcPr>
            <w:tcW w:w="983"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4DAC8136" w14:textId="77777777" w:rsidR="00A50046" w:rsidRPr="00FC6CF9" w:rsidRDefault="00A50046" w:rsidP="000E7CBF">
            <w:pPr>
              <w:jc w:val="center"/>
              <w:rPr>
                <w:rFonts w:ascii="Cambria" w:hAnsi="Cambria"/>
                <w:sz w:val="20"/>
              </w:rPr>
            </w:pPr>
            <w:r w:rsidRPr="00FC6CF9">
              <w:rPr>
                <w:rFonts w:ascii="Cambria" w:hAnsi="Cambria"/>
                <w:sz w:val="20"/>
              </w:rPr>
              <w:t>Ingresos y gastos directamente imputados a PN</w:t>
            </w:r>
          </w:p>
        </w:tc>
        <w:tc>
          <w:tcPr>
            <w:tcW w:w="654" w:type="pct"/>
            <w:gridSpan w:val="2"/>
            <w:tcBorders>
              <w:top w:val="single" w:sz="4" w:space="0" w:color="auto"/>
              <w:left w:val="single" w:sz="4" w:space="0" w:color="auto"/>
              <w:right w:val="single" w:sz="4" w:space="0" w:color="auto"/>
            </w:tcBorders>
            <w:shd w:val="clear" w:color="auto" w:fill="auto"/>
            <w:vAlign w:val="center"/>
          </w:tcPr>
          <w:p w14:paraId="6DE5C1A4" w14:textId="77777777" w:rsidR="00A50046" w:rsidRPr="00FC6CF9" w:rsidRDefault="00A50046" w:rsidP="000E7CBF">
            <w:pPr>
              <w:jc w:val="center"/>
              <w:rPr>
                <w:rFonts w:ascii="Cambria" w:hAnsi="Cambria"/>
                <w:sz w:val="20"/>
              </w:rPr>
            </w:pPr>
            <w:r w:rsidRPr="00FC6CF9">
              <w:rPr>
                <w:rFonts w:ascii="Cambria" w:hAnsi="Cambria"/>
                <w:sz w:val="20"/>
              </w:rPr>
              <w:t>Reservas</w:t>
            </w:r>
          </w:p>
        </w:tc>
        <w:tc>
          <w:tcPr>
            <w:tcW w:w="57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42A64B" w14:textId="77777777" w:rsidR="00A50046" w:rsidRPr="00FC6CF9" w:rsidRDefault="00A50046" w:rsidP="000E7CBF">
            <w:pPr>
              <w:jc w:val="center"/>
              <w:rPr>
                <w:rFonts w:ascii="Cambria" w:hAnsi="Cambria"/>
                <w:sz w:val="20"/>
              </w:rPr>
            </w:pPr>
            <w:r w:rsidRPr="00FC6CF9">
              <w:rPr>
                <w:rFonts w:ascii="Cambria" w:hAnsi="Cambria"/>
                <w:sz w:val="20"/>
              </w:rPr>
              <w:t>TOTAL</w:t>
            </w:r>
          </w:p>
        </w:tc>
      </w:tr>
      <w:tr w:rsidR="00A50046" w:rsidRPr="00FC6CF9" w14:paraId="1CC0B3F2" w14:textId="77777777" w:rsidTr="000E7CBF">
        <w:trPr>
          <w:trHeight w:val="304"/>
        </w:trPr>
        <w:tc>
          <w:tcPr>
            <w:tcW w:w="114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DF914" w14:textId="77777777" w:rsidR="00A50046" w:rsidRPr="00FC6CF9" w:rsidRDefault="00A50046" w:rsidP="000E7CBF">
            <w:pPr>
              <w:jc w:val="center"/>
              <w:rPr>
                <w:rFonts w:ascii="Cambria" w:hAnsi="Cambria"/>
                <w:sz w:val="20"/>
              </w:rPr>
            </w:pPr>
            <w:r w:rsidRPr="00FC6CF9">
              <w:rPr>
                <w:rFonts w:ascii="Cambria" w:hAnsi="Cambria"/>
                <w:sz w:val="20"/>
              </w:rPr>
              <w:t> </w:t>
            </w:r>
          </w:p>
        </w:tc>
        <w:tc>
          <w:tcPr>
            <w:tcW w:w="655" w:type="pct"/>
            <w:tcBorders>
              <w:top w:val="nil"/>
              <w:left w:val="nil"/>
              <w:bottom w:val="single" w:sz="4" w:space="0" w:color="auto"/>
              <w:right w:val="single" w:sz="4" w:space="0" w:color="auto"/>
            </w:tcBorders>
            <w:shd w:val="clear" w:color="auto" w:fill="auto"/>
            <w:noWrap/>
            <w:vAlign w:val="bottom"/>
            <w:hideMark/>
          </w:tcPr>
          <w:p w14:paraId="50F97D29" w14:textId="77777777" w:rsidR="00A50046" w:rsidRPr="00FC6CF9" w:rsidRDefault="00A50046" w:rsidP="000E7CBF">
            <w:pPr>
              <w:jc w:val="center"/>
              <w:rPr>
                <w:rFonts w:ascii="Cambria" w:hAnsi="Cambria"/>
                <w:sz w:val="20"/>
              </w:rPr>
            </w:pPr>
            <w:r w:rsidRPr="00FC6CF9">
              <w:rPr>
                <w:rFonts w:ascii="Cambria" w:hAnsi="Cambria"/>
                <w:sz w:val="20"/>
              </w:rPr>
              <w:t>Aumentos</w:t>
            </w:r>
          </w:p>
          <w:p w14:paraId="0E436258" w14:textId="77777777" w:rsidR="00A50046" w:rsidRPr="00FC6CF9" w:rsidRDefault="00A50046" w:rsidP="000E7CBF">
            <w:pPr>
              <w:jc w:val="center"/>
              <w:rPr>
                <w:rFonts w:ascii="Cambria" w:hAnsi="Cambria"/>
                <w:sz w:val="20"/>
              </w:rPr>
            </w:pPr>
            <w:r w:rsidRPr="00FC6CF9">
              <w:rPr>
                <w:rFonts w:ascii="Cambria" w:hAnsi="Cambria"/>
                <w:sz w:val="20"/>
              </w:rPr>
              <w:t>(A)</w:t>
            </w:r>
          </w:p>
        </w:tc>
        <w:tc>
          <w:tcPr>
            <w:tcW w:w="987" w:type="pct"/>
            <w:tcBorders>
              <w:top w:val="nil"/>
              <w:left w:val="nil"/>
              <w:bottom w:val="single" w:sz="4" w:space="0" w:color="auto"/>
              <w:right w:val="single" w:sz="4" w:space="0" w:color="auto"/>
            </w:tcBorders>
            <w:shd w:val="clear" w:color="auto" w:fill="auto"/>
            <w:noWrap/>
            <w:vAlign w:val="bottom"/>
            <w:hideMark/>
          </w:tcPr>
          <w:p w14:paraId="4A207248" w14:textId="77777777" w:rsidR="00A50046" w:rsidRPr="00FC6CF9" w:rsidRDefault="00A50046" w:rsidP="000E7CBF">
            <w:pPr>
              <w:jc w:val="center"/>
              <w:rPr>
                <w:rFonts w:ascii="Cambria" w:hAnsi="Cambria"/>
                <w:sz w:val="20"/>
              </w:rPr>
            </w:pPr>
            <w:r w:rsidRPr="00FC6CF9">
              <w:rPr>
                <w:rFonts w:ascii="Cambria" w:hAnsi="Cambria"/>
                <w:sz w:val="20"/>
              </w:rPr>
              <w:t>Disminuciones</w:t>
            </w:r>
          </w:p>
          <w:p w14:paraId="59CD035B" w14:textId="77777777" w:rsidR="00A50046" w:rsidRPr="00FC6CF9" w:rsidRDefault="00A50046" w:rsidP="000E7CBF">
            <w:pPr>
              <w:jc w:val="center"/>
              <w:rPr>
                <w:rFonts w:ascii="Cambria" w:hAnsi="Cambria"/>
                <w:sz w:val="20"/>
              </w:rPr>
            </w:pPr>
            <w:r w:rsidRPr="00FC6CF9">
              <w:rPr>
                <w:rFonts w:ascii="Cambria" w:hAnsi="Cambria"/>
                <w:sz w:val="20"/>
              </w:rPr>
              <w:t xml:space="preserve"> (D)</w:t>
            </w:r>
          </w:p>
        </w:tc>
        <w:tc>
          <w:tcPr>
            <w:tcW w:w="412" w:type="pct"/>
            <w:tcBorders>
              <w:top w:val="nil"/>
              <w:left w:val="nil"/>
              <w:bottom w:val="single" w:sz="4" w:space="0" w:color="auto"/>
              <w:right w:val="single" w:sz="4" w:space="0" w:color="auto"/>
            </w:tcBorders>
            <w:shd w:val="clear" w:color="auto" w:fill="auto"/>
            <w:noWrap/>
            <w:vAlign w:val="center"/>
            <w:hideMark/>
          </w:tcPr>
          <w:p w14:paraId="290693AD" w14:textId="77777777" w:rsidR="00A50046" w:rsidRPr="00FC6CF9" w:rsidRDefault="00A50046" w:rsidP="000E7CBF">
            <w:pPr>
              <w:jc w:val="center"/>
              <w:rPr>
                <w:rFonts w:ascii="Cambria" w:hAnsi="Cambria"/>
                <w:sz w:val="20"/>
              </w:rPr>
            </w:pPr>
            <w:r w:rsidRPr="00FC6CF9">
              <w:rPr>
                <w:rFonts w:ascii="Cambria" w:hAnsi="Cambria"/>
                <w:sz w:val="20"/>
              </w:rPr>
              <w:t>(A)</w:t>
            </w:r>
          </w:p>
        </w:tc>
        <w:tc>
          <w:tcPr>
            <w:tcW w:w="571" w:type="pct"/>
            <w:tcBorders>
              <w:top w:val="nil"/>
              <w:left w:val="nil"/>
              <w:bottom w:val="single" w:sz="4" w:space="0" w:color="auto"/>
              <w:right w:val="single" w:sz="4" w:space="0" w:color="auto"/>
            </w:tcBorders>
            <w:shd w:val="clear" w:color="auto" w:fill="auto"/>
            <w:noWrap/>
            <w:vAlign w:val="center"/>
            <w:hideMark/>
          </w:tcPr>
          <w:p w14:paraId="7C5C109C" w14:textId="77777777" w:rsidR="00A50046" w:rsidRPr="00FC6CF9" w:rsidRDefault="00A50046" w:rsidP="000E7CBF">
            <w:pPr>
              <w:jc w:val="center"/>
              <w:rPr>
                <w:rFonts w:ascii="Cambria" w:hAnsi="Cambria"/>
                <w:sz w:val="20"/>
              </w:rPr>
            </w:pPr>
            <w:r w:rsidRPr="00FC6CF9">
              <w:rPr>
                <w:rFonts w:ascii="Cambria" w:hAnsi="Cambria"/>
                <w:sz w:val="20"/>
              </w:rPr>
              <w:t>(D)</w:t>
            </w:r>
          </w:p>
        </w:tc>
        <w:tc>
          <w:tcPr>
            <w:tcW w:w="326" w:type="pct"/>
            <w:tcBorders>
              <w:top w:val="single" w:sz="4" w:space="0" w:color="auto"/>
              <w:left w:val="nil"/>
              <w:bottom w:val="single" w:sz="4" w:space="0" w:color="auto"/>
              <w:right w:val="single" w:sz="4" w:space="0" w:color="auto"/>
            </w:tcBorders>
            <w:shd w:val="clear" w:color="auto" w:fill="auto"/>
            <w:vAlign w:val="center"/>
          </w:tcPr>
          <w:p w14:paraId="72F63CC9" w14:textId="77777777" w:rsidR="00A50046" w:rsidRPr="00FC6CF9" w:rsidRDefault="00A50046" w:rsidP="000E7CBF">
            <w:pPr>
              <w:jc w:val="center"/>
              <w:rPr>
                <w:rFonts w:ascii="Cambria" w:hAnsi="Cambria"/>
                <w:sz w:val="20"/>
              </w:rPr>
            </w:pPr>
            <w:r w:rsidRPr="00FC6CF9">
              <w:rPr>
                <w:rFonts w:ascii="Cambria" w:hAnsi="Cambria"/>
                <w:sz w:val="20"/>
              </w:rPr>
              <w:t>(A)</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6B86DEA2" w14:textId="77777777" w:rsidR="00A50046" w:rsidRPr="00FC6CF9" w:rsidRDefault="00A50046" w:rsidP="000E7CBF">
            <w:pPr>
              <w:jc w:val="center"/>
              <w:rPr>
                <w:rFonts w:ascii="Cambria" w:hAnsi="Cambria"/>
                <w:sz w:val="20"/>
              </w:rPr>
            </w:pPr>
            <w:r w:rsidRPr="00FC6CF9">
              <w:rPr>
                <w:rFonts w:ascii="Cambria" w:hAnsi="Cambria"/>
                <w:sz w:val="20"/>
              </w:rPr>
              <w:t>(D)</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3017D12F" w14:textId="77777777" w:rsidR="00A50046" w:rsidRPr="00FC6CF9" w:rsidRDefault="00A50046" w:rsidP="000E7CBF">
            <w:pPr>
              <w:rPr>
                <w:rFonts w:ascii="Cambria" w:hAnsi="Cambria"/>
                <w:sz w:val="20"/>
              </w:rPr>
            </w:pPr>
            <w:r w:rsidRPr="00FC6CF9">
              <w:rPr>
                <w:rFonts w:ascii="Cambria" w:hAnsi="Cambria"/>
                <w:sz w:val="20"/>
              </w:rPr>
              <w:t> </w:t>
            </w:r>
          </w:p>
        </w:tc>
      </w:tr>
      <w:tr w:rsidR="00A50046" w:rsidRPr="00FC6CF9" w14:paraId="5D102A1A" w14:textId="77777777" w:rsidTr="000E7CBF">
        <w:trPr>
          <w:trHeight w:val="304"/>
        </w:trPr>
        <w:tc>
          <w:tcPr>
            <w:tcW w:w="1147" w:type="pct"/>
            <w:gridSpan w:val="2"/>
            <w:tcBorders>
              <w:top w:val="single" w:sz="4" w:space="0" w:color="auto"/>
              <w:left w:val="single" w:sz="4" w:space="0" w:color="auto"/>
              <w:bottom w:val="single" w:sz="4" w:space="0" w:color="auto"/>
              <w:right w:val="nil"/>
            </w:tcBorders>
            <w:shd w:val="clear" w:color="auto" w:fill="auto"/>
            <w:noWrap/>
            <w:vAlign w:val="bottom"/>
            <w:hideMark/>
          </w:tcPr>
          <w:p w14:paraId="27C40369" w14:textId="77777777" w:rsidR="00A50046" w:rsidRPr="00FC6CF9" w:rsidRDefault="00A50046" w:rsidP="000E7CBF">
            <w:pPr>
              <w:rPr>
                <w:rFonts w:ascii="Cambria" w:hAnsi="Cambria"/>
                <w:sz w:val="20"/>
              </w:rPr>
            </w:pPr>
            <w:r w:rsidRPr="00FC6CF9">
              <w:rPr>
                <w:rFonts w:ascii="Cambria" w:hAnsi="Cambria"/>
                <w:sz w:val="20"/>
              </w:rPr>
              <w:t>Saldo de ingresos y gastos</w:t>
            </w:r>
          </w:p>
        </w:tc>
        <w:tc>
          <w:tcPr>
            <w:tcW w:w="164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C3AB56" w14:textId="77777777" w:rsidR="00A50046" w:rsidRPr="00FC6CF9" w:rsidRDefault="00A50046" w:rsidP="000E7CBF">
            <w:pPr>
              <w:jc w:val="center"/>
              <w:rPr>
                <w:rFonts w:ascii="Cambria" w:hAnsi="Cambria"/>
                <w:sz w:val="20"/>
              </w:rPr>
            </w:pPr>
            <w:r w:rsidRPr="00FC6CF9">
              <w:rPr>
                <w:rFonts w:ascii="Cambria" w:hAnsi="Cambria"/>
                <w:sz w:val="20"/>
              </w:rPr>
              <w:t>555</w:t>
            </w:r>
          </w:p>
        </w:tc>
        <w:tc>
          <w:tcPr>
            <w:tcW w:w="983"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E90D410" w14:textId="77777777" w:rsidR="00A50046" w:rsidRPr="00FC6CF9" w:rsidRDefault="00A50046" w:rsidP="000E7CBF">
            <w:pPr>
              <w:jc w:val="center"/>
              <w:rPr>
                <w:rFonts w:ascii="Cambria" w:hAnsi="Cambria"/>
                <w:sz w:val="20"/>
              </w:rPr>
            </w:pPr>
            <w:r w:rsidRPr="00FC6CF9">
              <w:rPr>
                <w:rFonts w:ascii="Cambria" w:hAnsi="Cambria"/>
                <w:sz w:val="20"/>
              </w:rPr>
              <w:t> -</w:t>
            </w:r>
          </w:p>
        </w:tc>
        <w:tc>
          <w:tcPr>
            <w:tcW w:w="326" w:type="pct"/>
            <w:tcBorders>
              <w:top w:val="nil"/>
              <w:left w:val="nil"/>
              <w:bottom w:val="single" w:sz="4" w:space="0" w:color="auto"/>
              <w:right w:val="single" w:sz="4" w:space="0" w:color="auto"/>
            </w:tcBorders>
            <w:shd w:val="clear" w:color="auto" w:fill="auto"/>
            <w:vAlign w:val="bottom"/>
          </w:tcPr>
          <w:p w14:paraId="75245123" w14:textId="77777777" w:rsidR="00A50046" w:rsidRPr="00FC6CF9" w:rsidRDefault="00A50046" w:rsidP="000E7CBF">
            <w:pPr>
              <w:jc w:val="center"/>
              <w:rPr>
                <w:rFonts w:ascii="Cambria" w:hAnsi="Cambria"/>
                <w:sz w:val="20"/>
              </w:rPr>
            </w:pPr>
            <w:r w:rsidRPr="00FC6CF9">
              <w:rPr>
                <w:rFonts w:ascii="Cambria" w:hAnsi="Cambria"/>
                <w:sz w:val="20"/>
              </w:rPr>
              <w:t>-</w:t>
            </w:r>
          </w:p>
        </w:tc>
        <w:tc>
          <w:tcPr>
            <w:tcW w:w="327" w:type="pct"/>
            <w:tcBorders>
              <w:top w:val="nil"/>
              <w:left w:val="single" w:sz="4" w:space="0" w:color="auto"/>
              <w:bottom w:val="single" w:sz="4" w:space="0" w:color="auto"/>
              <w:right w:val="single" w:sz="4" w:space="0" w:color="auto"/>
            </w:tcBorders>
            <w:shd w:val="clear" w:color="auto" w:fill="auto"/>
            <w:vAlign w:val="bottom"/>
          </w:tcPr>
          <w:p w14:paraId="0D499811" w14:textId="77777777" w:rsidR="00A50046" w:rsidRPr="00FC6CF9" w:rsidRDefault="00A50046" w:rsidP="000E7CBF">
            <w:pPr>
              <w:jc w:val="center"/>
              <w:rPr>
                <w:rFonts w:ascii="Cambria" w:hAnsi="Cambria"/>
                <w:sz w:val="20"/>
              </w:rPr>
            </w:pPr>
            <w:r w:rsidRPr="00FC6CF9">
              <w:rPr>
                <w:rFonts w:ascii="Cambria" w:hAnsi="Cambria"/>
                <w:sz w:val="20"/>
              </w:rPr>
              <w:t>-</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5B5B6A76" w14:textId="77777777" w:rsidR="00A50046" w:rsidRPr="00FC6CF9" w:rsidRDefault="00A50046" w:rsidP="000E7CBF">
            <w:pPr>
              <w:jc w:val="center"/>
              <w:rPr>
                <w:rFonts w:ascii="Cambria" w:hAnsi="Cambria"/>
                <w:sz w:val="20"/>
              </w:rPr>
            </w:pPr>
            <w:r w:rsidRPr="00FC6CF9">
              <w:rPr>
                <w:rFonts w:ascii="Cambria" w:hAnsi="Cambria"/>
                <w:sz w:val="20"/>
              </w:rPr>
              <w:t>555</w:t>
            </w:r>
          </w:p>
        </w:tc>
      </w:tr>
      <w:tr w:rsidR="00A50046" w:rsidRPr="00FC6CF9" w14:paraId="2095B241" w14:textId="77777777" w:rsidTr="000E7CBF">
        <w:trPr>
          <w:trHeight w:val="304"/>
        </w:trPr>
        <w:tc>
          <w:tcPr>
            <w:tcW w:w="114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2BFD3D" w14:textId="77777777" w:rsidR="00A50046" w:rsidRPr="00FC6CF9" w:rsidRDefault="00A50046" w:rsidP="000E7CBF">
            <w:pPr>
              <w:rPr>
                <w:rFonts w:ascii="Cambria" w:hAnsi="Cambria"/>
                <w:sz w:val="20"/>
              </w:rPr>
            </w:pPr>
            <w:r w:rsidRPr="00FC6CF9">
              <w:rPr>
                <w:rFonts w:ascii="Cambria" w:hAnsi="Cambria"/>
                <w:sz w:val="20"/>
              </w:rPr>
              <w:t>Impuesto sobre sociedades</w:t>
            </w:r>
          </w:p>
        </w:tc>
        <w:tc>
          <w:tcPr>
            <w:tcW w:w="655" w:type="pct"/>
            <w:tcBorders>
              <w:top w:val="nil"/>
              <w:left w:val="nil"/>
              <w:bottom w:val="single" w:sz="4" w:space="0" w:color="auto"/>
              <w:right w:val="single" w:sz="4" w:space="0" w:color="auto"/>
            </w:tcBorders>
            <w:shd w:val="clear" w:color="auto" w:fill="auto"/>
            <w:noWrap/>
            <w:vAlign w:val="bottom"/>
            <w:hideMark/>
          </w:tcPr>
          <w:p w14:paraId="429EE62D" w14:textId="77777777" w:rsidR="00A50046" w:rsidRPr="00FC6CF9" w:rsidRDefault="00A50046" w:rsidP="000E7CBF">
            <w:pPr>
              <w:jc w:val="center"/>
              <w:rPr>
                <w:rFonts w:ascii="Cambria" w:hAnsi="Cambria"/>
                <w:sz w:val="20"/>
              </w:rPr>
            </w:pPr>
            <w:r>
              <w:rPr>
                <w:rFonts w:ascii="Cambria" w:hAnsi="Cambria"/>
                <w:sz w:val="20"/>
              </w:rPr>
              <w:t>1.658</w:t>
            </w:r>
          </w:p>
        </w:tc>
        <w:tc>
          <w:tcPr>
            <w:tcW w:w="987" w:type="pct"/>
            <w:tcBorders>
              <w:top w:val="nil"/>
              <w:left w:val="nil"/>
              <w:bottom w:val="single" w:sz="4" w:space="0" w:color="auto"/>
              <w:right w:val="single" w:sz="4" w:space="0" w:color="auto"/>
            </w:tcBorders>
            <w:shd w:val="clear" w:color="auto" w:fill="auto"/>
            <w:noWrap/>
            <w:vAlign w:val="bottom"/>
            <w:hideMark/>
          </w:tcPr>
          <w:p w14:paraId="64F11E18" w14:textId="77777777" w:rsidR="00A50046" w:rsidRPr="00FC6CF9" w:rsidRDefault="00A50046" w:rsidP="000E7CBF">
            <w:pPr>
              <w:jc w:val="center"/>
              <w:rPr>
                <w:rFonts w:ascii="Cambria" w:hAnsi="Cambria"/>
                <w:sz w:val="20"/>
              </w:rPr>
            </w:pPr>
            <w:r>
              <w:rPr>
                <w:rFonts w:ascii="Cambria" w:hAnsi="Cambria"/>
                <w:sz w:val="20"/>
              </w:rPr>
              <w:t>-</w:t>
            </w:r>
          </w:p>
        </w:tc>
        <w:tc>
          <w:tcPr>
            <w:tcW w:w="412" w:type="pct"/>
            <w:tcBorders>
              <w:top w:val="nil"/>
              <w:left w:val="nil"/>
              <w:bottom w:val="single" w:sz="4" w:space="0" w:color="auto"/>
              <w:right w:val="single" w:sz="4" w:space="0" w:color="auto"/>
            </w:tcBorders>
            <w:shd w:val="clear" w:color="auto" w:fill="auto"/>
            <w:noWrap/>
            <w:vAlign w:val="bottom"/>
            <w:hideMark/>
          </w:tcPr>
          <w:p w14:paraId="111C5F14" w14:textId="77777777" w:rsidR="00A50046" w:rsidRPr="00FC6CF9" w:rsidRDefault="00A50046" w:rsidP="000E7CBF">
            <w:pPr>
              <w:jc w:val="center"/>
              <w:rPr>
                <w:rFonts w:ascii="Cambria" w:hAnsi="Cambria"/>
                <w:sz w:val="20"/>
              </w:rPr>
            </w:pPr>
            <w:r w:rsidRPr="00FC6CF9">
              <w:rPr>
                <w:rFonts w:ascii="Cambria" w:hAnsi="Cambria"/>
                <w:sz w:val="20"/>
              </w:rPr>
              <w:t>-</w:t>
            </w:r>
          </w:p>
        </w:tc>
        <w:tc>
          <w:tcPr>
            <w:tcW w:w="571" w:type="pct"/>
            <w:tcBorders>
              <w:top w:val="nil"/>
              <w:left w:val="nil"/>
              <w:bottom w:val="single" w:sz="4" w:space="0" w:color="auto"/>
              <w:right w:val="single" w:sz="4" w:space="0" w:color="auto"/>
            </w:tcBorders>
            <w:shd w:val="clear" w:color="auto" w:fill="auto"/>
            <w:noWrap/>
            <w:vAlign w:val="bottom"/>
            <w:hideMark/>
          </w:tcPr>
          <w:p w14:paraId="08784C60" w14:textId="77777777" w:rsidR="00A50046" w:rsidRPr="00FC6CF9" w:rsidRDefault="00A50046" w:rsidP="000E7CBF">
            <w:pPr>
              <w:jc w:val="center"/>
              <w:rPr>
                <w:rFonts w:ascii="Cambria" w:hAnsi="Cambria"/>
                <w:sz w:val="20"/>
              </w:rPr>
            </w:pPr>
            <w:r w:rsidRPr="00FC6CF9">
              <w:rPr>
                <w:rFonts w:ascii="Cambria" w:hAnsi="Cambria"/>
                <w:sz w:val="20"/>
              </w:rPr>
              <w:t>-</w:t>
            </w:r>
          </w:p>
        </w:tc>
        <w:tc>
          <w:tcPr>
            <w:tcW w:w="326" w:type="pct"/>
            <w:tcBorders>
              <w:top w:val="nil"/>
              <w:left w:val="nil"/>
              <w:bottom w:val="single" w:sz="4" w:space="0" w:color="auto"/>
              <w:right w:val="single" w:sz="4" w:space="0" w:color="auto"/>
            </w:tcBorders>
            <w:shd w:val="clear" w:color="auto" w:fill="auto"/>
            <w:vAlign w:val="bottom"/>
          </w:tcPr>
          <w:p w14:paraId="0A16A4A4" w14:textId="77777777" w:rsidR="00A50046" w:rsidRPr="00FC6CF9" w:rsidRDefault="00A50046" w:rsidP="000E7CBF">
            <w:pPr>
              <w:jc w:val="center"/>
              <w:rPr>
                <w:rFonts w:ascii="Cambria" w:hAnsi="Cambria"/>
                <w:sz w:val="20"/>
              </w:rPr>
            </w:pPr>
            <w:r w:rsidRPr="00FC6CF9">
              <w:rPr>
                <w:rFonts w:ascii="Cambria" w:hAnsi="Cambria"/>
                <w:sz w:val="20"/>
              </w:rPr>
              <w:t>-</w:t>
            </w:r>
          </w:p>
        </w:tc>
        <w:tc>
          <w:tcPr>
            <w:tcW w:w="327" w:type="pct"/>
            <w:tcBorders>
              <w:top w:val="nil"/>
              <w:left w:val="single" w:sz="4" w:space="0" w:color="auto"/>
              <w:bottom w:val="single" w:sz="4" w:space="0" w:color="auto"/>
              <w:right w:val="single" w:sz="4" w:space="0" w:color="auto"/>
            </w:tcBorders>
            <w:shd w:val="clear" w:color="auto" w:fill="auto"/>
            <w:vAlign w:val="bottom"/>
          </w:tcPr>
          <w:p w14:paraId="21B6F009" w14:textId="77777777" w:rsidR="00A50046" w:rsidRPr="00FC6CF9" w:rsidRDefault="00A50046" w:rsidP="000E7CBF">
            <w:pPr>
              <w:jc w:val="center"/>
              <w:rPr>
                <w:rFonts w:ascii="Cambria" w:hAnsi="Cambria"/>
                <w:sz w:val="20"/>
              </w:rPr>
            </w:pPr>
            <w:r w:rsidRPr="00FC6CF9">
              <w:rPr>
                <w:rFonts w:ascii="Cambria" w:hAnsi="Cambria"/>
                <w:sz w:val="20"/>
              </w:rPr>
              <w:t>-</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0223558D" w14:textId="77777777" w:rsidR="00A50046" w:rsidRPr="00FC6CF9" w:rsidRDefault="00A50046" w:rsidP="000E7CBF">
            <w:pPr>
              <w:jc w:val="center"/>
              <w:rPr>
                <w:rFonts w:ascii="Cambria" w:hAnsi="Cambria"/>
                <w:sz w:val="20"/>
              </w:rPr>
            </w:pPr>
            <w:r w:rsidRPr="00FC6CF9">
              <w:rPr>
                <w:rFonts w:ascii="Cambria" w:hAnsi="Cambria"/>
                <w:sz w:val="20"/>
              </w:rPr>
              <w:t>1.658</w:t>
            </w:r>
          </w:p>
        </w:tc>
      </w:tr>
      <w:tr w:rsidR="00A50046" w:rsidRPr="00FC6CF9" w14:paraId="4F1A075C" w14:textId="77777777" w:rsidTr="000E7CBF">
        <w:trPr>
          <w:trHeight w:val="303"/>
        </w:trPr>
        <w:tc>
          <w:tcPr>
            <w:tcW w:w="921" w:type="pct"/>
            <w:tcBorders>
              <w:top w:val="single" w:sz="4" w:space="0" w:color="auto"/>
              <w:left w:val="single" w:sz="4" w:space="0" w:color="auto"/>
              <w:bottom w:val="single" w:sz="4" w:space="0" w:color="auto"/>
              <w:right w:val="nil"/>
            </w:tcBorders>
            <w:shd w:val="clear" w:color="auto" w:fill="auto"/>
            <w:noWrap/>
            <w:vAlign w:val="bottom"/>
            <w:hideMark/>
          </w:tcPr>
          <w:p w14:paraId="29E42BA7" w14:textId="77777777" w:rsidR="00A50046" w:rsidRPr="00FC6CF9" w:rsidRDefault="00A50046" w:rsidP="000E7CBF">
            <w:pPr>
              <w:rPr>
                <w:rFonts w:ascii="Cambria" w:hAnsi="Cambria"/>
                <w:sz w:val="20"/>
              </w:rPr>
            </w:pPr>
            <w:r w:rsidRPr="00FC6CF9">
              <w:rPr>
                <w:rFonts w:ascii="Cambria" w:hAnsi="Cambria"/>
                <w:sz w:val="20"/>
              </w:rPr>
              <w:t>Diferencias permanentes</w:t>
            </w:r>
          </w:p>
        </w:tc>
        <w:tc>
          <w:tcPr>
            <w:tcW w:w="227" w:type="pct"/>
            <w:tcBorders>
              <w:top w:val="nil"/>
              <w:left w:val="nil"/>
              <w:bottom w:val="single" w:sz="4" w:space="0" w:color="auto"/>
              <w:right w:val="single" w:sz="4" w:space="0" w:color="auto"/>
            </w:tcBorders>
            <w:shd w:val="clear" w:color="auto" w:fill="auto"/>
            <w:noWrap/>
            <w:vAlign w:val="bottom"/>
            <w:hideMark/>
          </w:tcPr>
          <w:p w14:paraId="316B6D73" w14:textId="77777777" w:rsidR="00A50046" w:rsidRPr="00FC6CF9" w:rsidRDefault="00A50046" w:rsidP="000E7CBF">
            <w:pPr>
              <w:rPr>
                <w:rFonts w:ascii="Cambria" w:hAnsi="Cambria"/>
                <w:sz w:val="20"/>
              </w:rPr>
            </w:pPr>
            <w:r w:rsidRPr="00FC6CF9">
              <w:rPr>
                <w:rFonts w:ascii="Cambria" w:hAnsi="Cambria"/>
                <w:sz w:val="20"/>
              </w:rPr>
              <w:t> </w:t>
            </w:r>
          </w:p>
        </w:tc>
        <w:tc>
          <w:tcPr>
            <w:tcW w:w="655" w:type="pct"/>
            <w:tcBorders>
              <w:top w:val="nil"/>
              <w:left w:val="nil"/>
              <w:bottom w:val="single" w:sz="4" w:space="0" w:color="auto"/>
              <w:right w:val="single" w:sz="4" w:space="0" w:color="auto"/>
            </w:tcBorders>
            <w:shd w:val="clear" w:color="auto" w:fill="auto"/>
            <w:noWrap/>
            <w:vAlign w:val="bottom"/>
            <w:hideMark/>
          </w:tcPr>
          <w:p w14:paraId="0152AF12" w14:textId="77777777" w:rsidR="00A50046" w:rsidRPr="00FC6CF9" w:rsidRDefault="00A50046" w:rsidP="000E7CBF">
            <w:pPr>
              <w:jc w:val="center"/>
              <w:rPr>
                <w:rFonts w:ascii="Cambria" w:hAnsi="Cambria"/>
                <w:sz w:val="20"/>
              </w:rPr>
            </w:pPr>
            <w:r w:rsidRPr="00FC6CF9">
              <w:rPr>
                <w:rFonts w:ascii="Cambria" w:hAnsi="Cambria"/>
                <w:sz w:val="20"/>
              </w:rPr>
              <w:t>1.163</w:t>
            </w:r>
          </w:p>
        </w:tc>
        <w:tc>
          <w:tcPr>
            <w:tcW w:w="987" w:type="pct"/>
            <w:tcBorders>
              <w:top w:val="nil"/>
              <w:left w:val="nil"/>
              <w:bottom w:val="single" w:sz="4" w:space="0" w:color="auto"/>
              <w:right w:val="single" w:sz="4" w:space="0" w:color="auto"/>
            </w:tcBorders>
            <w:shd w:val="clear" w:color="auto" w:fill="auto"/>
            <w:noWrap/>
            <w:vAlign w:val="bottom"/>
            <w:hideMark/>
          </w:tcPr>
          <w:p w14:paraId="5C12F44B" w14:textId="77777777" w:rsidR="00A50046" w:rsidRPr="00FC6CF9" w:rsidRDefault="00A50046" w:rsidP="000E7CBF">
            <w:pPr>
              <w:jc w:val="center"/>
              <w:rPr>
                <w:rFonts w:ascii="Cambria" w:hAnsi="Cambria"/>
                <w:sz w:val="20"/>
              </w:rPr>
            </w:pPr>
            <w:r w:rsidRPr="00FC6CF9">
              <w:rPr>
                <w:rFonts w:ascii="Cambria" w:hAnsi="Cambria"/>
                <w:sz w:val="20"/>
              </w:rPr>
              <w:t>(283)</w:t>
            </w:r>
          </w:p>
        </w:tc>
        <w:tc>
          <w:tcPr>
            <w:tcW w:w="412" w:type="pct"/>
            <w:tcBorders>
              <w:top w:val="nil"/>
              <w:left w:val="nil"/>
              <w:bottom w:val="single" w:sz="4" w:space="0" w:color="auto"/>
              <w:right w:val="single" w:sz="4" w:space="0" w:color="auto"/>
            </w:tcBorders>
            <w:shd w:val="clear" w:color="auto" w:fill="auto"/>
            <w:noWrap/>
            <w:vAlign w:val="bottom"/>
            <w:hideMark/>
          </w:tcPr>
          <w:p w14:paraId="5E32C846" w14:textId="77777777" w:rsidR="00A50046" w:rsidRPr="00FC6CF9" w:rsidRDefault="00A50046" w:rsidP="000E7CBF">
            <w:pPr>
              <w:jc w:val="center"/>
              <w:rPr>
                <w:rFonts w:ascii="Cambria" w:hAnsi="Cambria"/>
                <w:sz w:val="20"/>
              </w:rPr>
            </w:pPr>
            <w:r w:rsidRPr="00FC6CF9">
              <w:rPr>
                <w:rFonts w:ascii="Cambria" w:hAnsi="Cambria"/>
                <w:sz w:val="20"/>
              </w:rPr>
              <w:t>-</w:t>
            </w:r>
          </w:p>
        </w:tc>
        <w:tc>
          <w:tcPr>
            <w:tcW w:w="571" w:type="pct"/>
            <w:tcBorders>
              <w:top w:val="nil"/>
              <w:left w:val="nil"/>
              <w:bottom w:val="single" w:sz="4" w:space="0" w:color="auto"/>
              <w:right w:val="single" w:sz="4" w:space="0" w:color="auto"/>
            </w:tcBorders>
            <w:shd w:val="clear" w:color="auto" w:fill="auto"/>
            <w:noWrap/>
            <w:vAlign w:val="bottom"/>
            <w:hideMark/>
          </w:tcPr>
          <w:p w14:paraId="5D3A015E" w14:textId="77777777" w:rsidR="00A50046" w:rsidRPr="00FC6CF9" w:rsidRDefault="00A50046" w:rsidP="000E7CBF">
            <w:pPr>
              <w:jc w:val="center"/>
              <w:rPr>
                <w:rFonts w:ascii="Cambria" w:hAnsi="Cambria"/>
                <w:sz w:val="20"/>
              </w:rPr>
            </w:pPr>
            <w:r w:rsidRPr="00FC6CF9">
              <w:rPr>
                <w:rFonts w:ascii="Cambria" w:hAnsi="Cambria"/>
                <w:sz w:val="20"/>
              </w:rPr>
              <w:t>-</w:t>
            </w:r>
          </w:p>
        </w:tc>
        <w:tc>
          <w:tcPr>
            <w:tcW w:w="326" w:type="pct"/>
            <w:tcBorders>
              <w:top w:val="nil"/>
              <w:left w:val="nil"/>
              <w:bottom w:val="single" w:sz="4" w:space="0" w:color="auto"/>
              <w:right w:val="single" w:sz="4" w:space="0" w:color="auto"/>
            </w:tcBorders>
            <w:shd w:val="clear" w:color="auto" w:fill="auto"/>
            <w:vAlign w:val="bottom"/>
          </w:tcPr>
          <w:p w14:paraId="1553481F" w14:textId="77777777" w:rsidR="00A50046" w:rsidRPr="00FC6CF9" w:rsidRDefault="00A50046" w:rsidP="000E7CBF">
            <w:pPr>
              <w:jc w:val="center"/>
              <w:rPr>
                <w:rFonts w:ascii="Cambria" w:hAnsi="Cambria"/>
                <w:sz w:val="20"/>
              </w:rPr>
            </w:pPr>
            <w:r w:rsidRPr="00FC6CF9">
              <w:rPr>
                <w:rFonts w:ascii="Cambria" w:hAnsi="Cambria"/>
                <w:sz w:val="20"/>
              </w:rPr>
              <w:t>-</w:t>
            </w:r>
          </w:p>
        </w:tc>
        <w:tc>
          <w:tcPr>
            <w:tcW w:w="327" w:type="pct"/>
            <w:tcBorders>
              <w:top w:val="nil"/>
              <w:left w:val="single" w:sz="4" w:space="0" w:color="auto"/>
              <w:bottom w:val="single" w:sz="4" w:space="0" w:color="auto"/>
              <w:right w:val="single" w:sz="4" w:space="0" w:color="auto"/>
            </w:tcBorders>
            <w:shd w:val="clear" w:color="auto" w:fill="auto"/>
            <w:vAlign w:val="bottom"/>
          </w:tcPr>
          <w:p w14:paraId="37027FFD" w14:textId="77777777" w:rsidR="00A50046" w:rsidRPr="00FC6CF9" w:rsidRDefault="00A50046" w:rsidP="000E7CBF">
            <w:pPr>
              <w:jc w:val="center"/>
              <w:rPr>
                <w:rFonts w:ascii="Cambria" w:hAnsi="Cambria"/>
                <w:sz w:val="20"/>
              </w:rPr>
            </w:pPr>
            <w:r w:rsidRPr="00FC6CF9">
              <w:rPr>
                <w:rFonts w:ascii="Cambria" w:hAnsi="Cambria"/>
                <w:sz w:val="20"/>
              </w:rPr>
              <w:t>-</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75F4E59F" w14:textId="77777777" w:rsidR="00A50046" w:rsidRPr="00FC6CF9" w:rsidRDefault="00A50046" w:rsidP="000E7CBF">
            <w:pPr>
              <w:jc w:val="center"/>
              <w:rPr>
                <w:rFonts w:ascii="Cambria" w:hAnsi="Cambria"/>
                <w:sz w:val="20"/>
              </w:rPr>
            </w:pPr>
            <w:r w:rsidRPr="00FC6CF9">
              <w:rPr>
                <w:rFonts w:ascii="Cambria" w:hAnsi="Cambria"/>
                <w:sz w:val="20"/>
              </w:rPr>
              <w:t>880</w:t>
            </w:r>
          </w:p>
        </w:tc>
      </w:tr>
      <w:tr w:rsidR="00A50046" w:rsidRPr="00FC6CF9" w14:paraId="0A0975FA" w14:textId="77777777" w:rsidTr="000E7CBF">
        <w:trPr>
          <w:trHeight w:val="372"/>
        </w:trPr>
        <w:tc>
          <w:tcPr>
            <w:tcW w:w="921" w:type="pct"/>
            <w:tcBorders>
              <w:top w:val="single" w:sz="4" w:space="0" w:color="auto"/>
              <w:left w:val="single" w:sz="4" w:space="0" w:color="auto"/>
              <w:bottom w:val="single" w:sz="4" w:space="0" w:color="auto"/>
              <w:right w:val="nil"/>
            </w:tcBorders>
            <w:shd w:val="clear" w:color="auto" w:fill="auto"/>
            <w:noWrap/>
            <w:vAlign w:val="bottom"/>
            <w:hideMark/>
          </w:tcPr>
          <w:p w14:paraId="34994557" w14:textId="77777777" w:rsidR="00A50046" w:rsidRPr="00FC6CF9" w:rsidRDefault="00A50046" w:rsidP="000E7CBF">
            <w:pPr>
              <w:rPr>
                <w:rFonts w:ascii="Cambria" w:hAnsi="Cambria"/>
                <w:sz w:val="20"/>
              </w:rPr>
            </w:pPr>
            <w:r w:rsidRPr="00FC6CF9">
              <w:rPr>
                <w:rFonts w:ascii="Cambria" w:hAnsi="Cambria"/>
                <w:sz w:val="20"/>
              </w:rPr>
              <w:t>Diferencias temporarias</w:t>
            </w:r>
          </w:p>
        </w:tc>
        <w:tc>
          <w:tcPr>
            <w:tcW w:w="227" w:type="pct"/>
            <w:tcBorders>
              <w:top w:val="nil"/>
              <w:left w:val="nil"/>
              <w:bottom w:val="single" w:sz="4" w:space="0" w:color="auto"/>
              <w:right w:val="single" w:sz="4" w:space="0" w:color="auto"/>
            </w:tcBorders>
            <w:shd w:val="clear" w:color="auto" w:fill="auto"/>
            <w:noWrap/>
            <w:vAlign w:val="bottom"/>
            <w:hideMark/>
          </w:tcPr>
          <w:p w14:paraId="7705EA2D" w14:textId="77777777" w:rsidR="00A50046" w:rsidRPr="00FC6CF9" w:rsidRDefault="00A50046" w:rsidP="000E7CBF">
            <w:pPr>
              <w:ind w:left="-491" w:hanging="289"/>
              <w:rPr>
                <w:rFonts w:ascii="Cambria" w:hAnsi="Cambria"/>
                <w:sz w:val="20"/>
              </w:rPr>
            </w:pPr>
            <w:r w:rsidRPr="00FC6CF9">
              <w:rPr>
                <w:rFonts w:ascii="Cambria" w:hAnsi="Cambria"/>
                <w:sz w:val="20"/>
              </w:rPr>
              <w:t> </w:t>
            </w:r>
          </w:p>
        </w:tc>
        <w:tc>
          <w:tcPr>
            <w:tcW w:w="655" w:type="pct"/>
            <w:tcBorders>
              <w:top w:val="nil"/>
              <w:left w:val="nil"/>
              <w:bottom w:val="single" w:sz="4" w:space="0" w:color="auto"/>
              <w:right w:val="single" w:sz="4" w:space="0" w:color="auto"/>
            </w:tcBorders>
            <w:shd w:val="clear" w:color="auto" w:fill="auto"/>
            <w:noWrap/>
            <w:vAlign w:val="bottom"/>
            <w:hideMark/>
          </w:tcPr>
          <w:p w14:paraId="38F5BCCE" w14:textId="77777777" w:rsidR="00A50046" w:rsidRPr="00FC6CF9" w:rsidRDefault="00A50046" w:rsidP="000E7CBF">
            <w:pPr>
              <w:ind w:left="-671"/>
              <w:jc w:val="center"/>
              <w:rPr>
                <w:rFonts w:ascii="Cambria" w:hAnsi="Cambria"/>
                <w:sz w:val="20"/>
              </w:rPr>
            </w:pPr>
            <w:r w:rsidRPr="00FC6CF9">
              <w:rPr>
                <w:rFonts w:ascii="Cambria" w:hAnsi="Cambria"/>
                <w:sz w:val="20"/>
              </w:rPr>
              <w:t xml:space="preserve">              -</w:t>
            </w:r>
          </w:p>
        </w:tc>
        <w:tc>
          <w:tcPr>
            <w:tcW w:w="987" w:type="pct"/>
            <w:tcBorders>
              <w:top w:val="nil"/>
              <w:left w:val="nil"/>
              <w:bottom w:val="single" w:sz="4" w:space="0" w:color="auto"/>
              <w:right w:val="single" w:sz="4" w:space="0" w:color="auto"/>
            </w:tcBorders>
            <w:shd w:val="clear" w:color="auto" w:fill="auto"/>
            <w:noWrap/>
            <w:vAlign w:val="bottom"/>
            <w:hideMark/>
          </w:tcPr>
          <w:p w14:paraId="4658F970" w14:textId="77777777" w:rsidR="00A50046" w:rsidRPr="00FC6CF9" w:rsidRDefault="00A50046" w:rsidP="000E7CBF">
            <w:pPr>
              <w:jc w:val="center"/>
              <w:rPr>
                <w:rFonts w:ascii="Cambria" w:hAnsi="Cambria"/>
                <w:sz w:val="20"/>
              </w:rPr>
            </w:pPr>
            <w:r w:rsidRPr="00FC6CF9">
              <w:rPr>
                <w:rFonts w:ascii="Cambria" w:hAnsi="Cambria"/>
                <w:sz w:val="20"/>
              </w:rPr>
              <w:t>(785)</w:t>
            </w:r>
          </w:p>
        </w:tc>
        <w:tc>
          <w:tcPr>
            <w:tcW w:w="412" w:type="pct"/>
            <w:tcBorders>
              <w:top w:val="nil"/>
              <w:left w:val="nil"/>
              <w:bottom w:val="single" w:sz="4" w:space="0" w:color="auto"/>
              <w:right w:val="single" w:sz="4" w:space="0" w:color="auto"/>
            </w:tcBorders>
            <w:shd w:val="clear" w:color="auto" w:fill="auto"/>
            <w:noWrap/>
            <w:vAlign w:val="bottom"/>
            <w:hideMark/>
          </w:tcPr>
          <w:p w14:paraId="5E6605EB" w14:textId="77777777" w:rsidR="00A50046" w:rsidRPr="00FC6CF9" w:rsidRDefault="00A50046" w:rsidP="000E7CBF">
            <w:pPr>
              <w:jc w:val="center"/>
              <w:rPr>
                <w:rFonts w:ascii="Cambria" w:hAnsi="Cambria"/>
                <w:sz w:val="20"/>
              </w:rPr>
            </w:pPr>
            <w:r w:rsidRPr="00FC6CF9">
              <w:rPr>
                <w:rFonts w:ascii="Cambria" w:hAnsi="Cambria"/>
                <w:sz w:val="20"/>
              </w:rPr>
              <w:t>-</w:t>
            </w:r>
          </w:p>
        </w:tc>
        <w:tc>
          <w:tcPr>
            <w:tcW w:w="571" w:type="pct"/>
            <w:tcBorders>
              <w:top w:val="nil"/>
              <w:left w:val="nil"/>
              <w:bottom w:val="single" w:sz="4" w:space="0" w:color="auto"/>
              <w:right w:val="single" w:sz="4" w:space="0" w:color="auto"/>
            </w:tcBorders>
            <w:shd w:val="clear" w:color="auto" w:fill="auto"/>
            <w:noWrap/>
            <w:vAlign w:val="bottom"/>
            <w:hideMark/>
          </w:tcPr>
          <w:p w14:paraId="0AFDE61C" w14:textId="77777777" w:rsidR="00A50046" w:rsidRPr="00FC6CF9" w:rsidRDefault="00A50046" w:rsidP="000E7CBF">
            <w:pPr>
              <w:jc w:val="center"/>
              <w:rPr>
                <w:rFonts w:ascii="Cambria" w:hAnsi="Cambria"/>
                <w:sz w:val="20"/>
              </w:rPr>
            </w:pPr>
            <w:r w:rsidRPr="00FC6CF9">
              <w:rPr>
                <w:rFonts w:ascii="Cambria" w:hAnsi="Cambria"/>
                <w:sz w:val="20"/>
              </w:rPr>
              <w:t>-</w:t>
            </w:r>
          </w:p>
        </w:tc>
        <w:tc>
          <w:tcPr>
            <w:tcW w:w="326" w:type="pct"/>
            <w:tcBorders>
              <w:top w:val="nil"/>
              <w:left w:val="nil"/>
              <w:bottom w:val="single" w:sz="4" w:space="0" w:color="auto"/>
              <w:right w:val="single" w:sz="4" w:space="0" w:color="auto"/>
            </w:tcBorders>
            <w:shd w:val="clear" w:color="auto" w:fill="auto"/>
            <w:vAlign w:val="bottom"/>
          </w:tcPr>
          <w:p w14:paraId="49717C90" w14:textId="77777777" w:rsidR="00A50046" w:rsidRPr="00FC6CF9" w:rsidRDefault="00A50046" w:rsidP="000E7CBF">
            <w:pPr>
              <w:jc w:val="center"/>
              <w:rPr>
                <w:rFonts w:ascii="Cambria" w:hAnsi="Cambria"/>
                <w:sz w:val="20"/>
              </w:rPr>
            </w:pPr>
            <w:r w:rsidRPr="00FC6CF9">
              <w:rPr>
                <w:rFonts w:ascii="Cambria" w:hAnsi="Cambria"/>
                <w:sz w:val="20"/>
              </w:rPr>
              <w:t>-</w:t>
            </w:r>
          </w:p>
        </w:tc>
        <w:tc>
          <w:tcPr>
            <w:tcW w:w="327" w:type="pct"/>
            <w:tcBorders>
              <w:top w:val="nil"/>
              <w:left w:val="single" w:sz="4" w:space="0" w:color="auto"/>
              <w:bottom w:val="single" w:sz="4" w:space="0" w:color="auto"/>
              <w:right w:val="single" w:sz="4" w:space="0" w:color="auto"/>
            </w:tcBorders>
            <w:shd w:val="clear" w:color="auto" w:fill="auto"/>
            <w:vAlign w:val="bottom"/>
          </w:tcPr>
          <w:p w14:paraId="21C48997" w14:textId="77777777" w:rsidR="00A50046" w:rsidRPr="00FC6CF9" w:rsidRDefault="00A50046" w:rsidP="000E7CBF">
            <w:pPr>
              <w:jc w:val="center"/>
              <w:rPr>
                <w:rFonts w:ascii="Cambria" w:hAnsi="Cambria"/>
                <w:sz w:val="20"/>
              </w:rPr>
            </w:pPr>
            <w:r w:rsidRPr="00FC6CF9">
              <w:rPr>
                <w:rFonts w:ascii="Cambria" w:hAnsi="Cambria"/>
                <w:sz w:val="20"/>
              </w:rPr>
              <w:t>-</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0BDF2134" w14:textId="77777777" w:rsidR="00A50046" w:rsidRPr="00FC6CF9" w:rsidRDefault="00A50046" w:rsidP="000E7CBF">
            <w:pPr>
              <w:jc w:val="center"/>
              <w:rPr>
                <w:rFonts w:ascii="Cambria" w:hAnsi="Cambria"/>
                <w:sz w:val="20"/>
              </w:rPr>
            </w:pPr>
            <w:r w:rsidRPr="00FC6CF9">
              <w:rPr>
                <w:rFonts w:ascii="Cambria" w:hAnsi="Cambria"/>
                <w:sz w:val="20"/>
              </w:rPr>
              <w:t>(785)</w:t>
            </w:r>
          </w:p>
        </w:tc>
      </w:tr>
      <w:tr w:rsidR="00A50046" w:rsidRPr="00137DA6" w14:paraId="694C6626" w14:textId="77777777" w:rsidTr="000E7CBF">
        <w:trPr>
          <w:trHeight w:val="304"/>
        </w:trPr>
        <w:tc>
          <w:tcPr>
            <w:tcW w:w="921" w:type="pct"/>
            <w:tcBorders>
              <w:top w:val="single" w:sz="4" w:space="0" w:color="auto"/>
              <w:left w:val="single" w:sz="4" w:space="0" w:color="auto"/>
              <w:bottom w:val="single" w:sz="4" w:space="0" w:color="auto"/>
              <w:right w:val="nil"/>
            </w:tcBorders>
            <w:shd w:val="clear" w:color="auto" w:fill="auto"/>
            <w:noWrap/>
            <w:vAlign w:val="bottom"/>
            <w:hideMark/>
          </w:tcPr>
          <w:p w14:paraId="27FFA022" w14:textId="77777777" w:rsidR="00A50046" w:rsidRPr="00FC6CF9" w:rsidRDefault="00A50046" w:rsidP="000E7CBF">
            <w:pPr>
              <w:rPr>
                <w:rFonts w:ascii="Cambria" w:hAnsi="Cambria"/>
                <w:sz w:val="20"/>
              </w:rPr>
            </w:pPr>
            <w:r w:rsidRPr="00FC6CF9">
              <w:rPr>
                <w:rFonts w:ascii="Cambria" w:hAnsi="Cambria"/>
                <w:sz w:val="20"/>
              </w:rPr>
              <w:t>-Con origen en el ejercicio</w:t>
            </w:r>
          </w:p>
        </w:tc>
        <w:tc>
          <w:tcPr>
            <w:tcW w:w="227" w:type="pct"/>
            <w:tcBorders>
              <w:top w:val="nil"/>
              <w:left w:val="nil"/>
              <w:bottom w:val="single" w:sz="4" w:space="0" w:color="auto"/>
              <w:right w:val="single" w:sz="4" w:space="0" w:color="auto"/>
            </w:tcBorders>
            <w:shd w:val="clear" w:color="auto" w:fill="auto"/>
            <w:noWrap/>
            <w:vAlign w:val="bottom"/>
            <w:hideMark/>
          </w:tcPr>
          <w:p w14:paraId="14AF078E" w14:textId="77777777" w:rsidR="00A50046" w:rsidRPr="00FC6CF9" w:rsidRDefault="00A50046" w:rsidP="000E7CBF">
            <w:pPr>
              <w:rPr>
                <w:rFonts w:ascii="Cambria" w:hAnsi="Cambria"/>
                <w:sz w:val="20"/>
              </w:rPr>
            </w:pPr>
            <w:r w:rsidRPr="00FC6CF9">
              <w:rPr>
                <w:rFonts w:ascii="Cambria" w:hAnsi="Cambria"/>
                <w:sz w:val="20"/>
              </w:rPr>
              <w:t> </w:t>
            </w:r>
          </w:p>
        </w:tc>
        <w:tc>
          <w:tcPr>
            <w:tcW w:w="655" w:type="pct"/>
            <w:tcBorders>
              <w:top w:val="nil"/>
              <w:left w:val="nil"/>
              <w:bottom w:val="single" w:sz="4" w:space="0" w:color="auto"/>
              <w:right w:val="single" w:sz="4" w:space="0" w:color="auto"/>
            </w:tcBorders>
            <w:shd w:val="clear" w:color="auto" w:fill="auto"/>
            <w:noWrap/>
            <w:vAlign w:val="bottom"/>
            <w:hideMark/>
          </w:tcPr>
          <w:p w14:paraId="19C185D7" w14:textId="77777777" w:rsidR="00A50046" w:rsidRPr="00137DA6" w:rsidRDefault="00A50046" w:rsidP="000E7CBF">
            <w:pPr>
              <w:jc w:val="center"/>
              <w:rPr>
                <w:rFonts w:ascii="Cambria" w:hAnsi="Cambria"/>
                <w:sz w:val="20"/>
              </w:rPr>
            </w:pPr>
            <w:r w:rsidRPr="00137DA6">
              <w:rPr>
                <w:rFonts w:ascii="Cambria" w:hAnsi="Cambria"/>
                <w:sz w:val="20"/>
              </w:rPr>
              <w:t>1.835</w:t>
            </w:r>
          </w:p>
        </w:tc>
        <w:tc>
          <w:tcPr>
            <w:tcW w:w="987" w:type="pct"/>
            <w:tcBorders>
              <w:top w:val="nil"/>
              <w:left w:val="nil"/>
              <w:bottom w:val="single" w:sz="4" w:space="0" w:color="auto"/>
              <w:right w:val="single" w:sz="4" w:space="0" w:color="auto"/>
            </w:tcBorders>
            <w:shd w:val="clear" w:color="auto" w:fill="auto"/>
            <w:noWrap/>
            <w:vAlign w:val="bottom"/>
            <w:hideMark/>
          </w:tcPr>
          <w:p w14:paraId="303845E0" w14:textId="77777777" w:rsidR="00A50046" w:rsidRPr="00137DA6" w:rsidRDefault="00A50046" w:rsidP="000E7CBF">
            <w:pPr>
              <w:jc w:val="center"/>
              <w:rPr>
                <w:rFonts w:ascii="Cambria" w:hAnsi="Cambria"/>
                <w:sz w:val="20"/>
              </w:rPr>
            </w:pPr>
            <w:r w:rsidRPr="00137DA6">
              <w:rPr>
                <w:rFonts w:ascii="Cambria" w:hAnsi="Cambria"/>
                <w:sz w:val="20"/>
              </w:rPr>
              <w:t>-</w:t>
            </w:r>
          </w:p>
        </w:tc>
        <w:tc>
          <w:tcPr>
            <w:tcW w:w="412" w:type="pct"/>
            <w:tcBorders>
              <w:top w:val="nil"/>
              <w:left w:val="nil"/>
              <w:bottom w:val="single" w:sz="4" w:space="0" w:color="auto"/>
              <w:right w:val="single" w:sz="4" w:space="0" w:color="auto"/>
            </w:tcBorders>
            <w:shd w:val="clear" w:color="auto" w:fill="auto"/>
            <w:noWrap/>
            <w:vAlign w:val="bottom"/>
            <w:hideMark/>
          </w:tcPr>
          <w:p w14:paraId="79DD61C3" w14:textId="77777777" w:rsidR="00A50046" w:rsidRPr="00137DA6" w:rsidRDefault="00A50046" w:rsidP="000E7CBF">
            <w:pPr>
              <w:jc w:val="center"/>
              <w:rPr>
                <w:rFonts w:ascii="Cambria" w:hAnsi="Cambria"/>
                <w:sz w:val="20"/>
              </w:rPr>
            </w:pPr>
            <w:r w:rsidRPr="00137DA6">
              <w:rPr>
                <w:rFonts w:ascii="Cambria" w:hAnsi="Cambria"/>
                <w:sz w:val="20"/>
              </w:rPr>
              <w:t>-</w:t>
            </w:r>
          </w:p>
        </w:tc>
        <w:tc>
          <w:tcPr>
            <w:tcW w:w="571" w:type="pct"/>
            <w:tcBorders>
              <w:top w:val="nil"/>
              <w:left w:val="nil"/>
              <w:bottom w:val="single" w:sz="4" w:space="0" w:color="auto"/>
              <w:right w:val="single" w:sz="4" w:space="0" w:color="auto"/>
            </w:tcBorders>
            <w:shd w:val="clear" w:color="auto" w:fill="auto"/>
            <w:noWrap/>
            <w:vAlign w:val="bottom"/>
            <w:hideMark/>
          </w:tcPr>
          <w:p w14:paraId="3CFC694E" w14:textId="77777777" w:rsidR="00A50046" w:rsidRPr="00137DA6" w:rsidRDefault="00A50046" w:rsidP="000E7CBF">
            <w:pPr>
              <w:jc w:val="center"/>
              <w:rPr>
                <w:rFonts w:ascii="Cambria" w:hAnsi="Cambria"/>
                <w:sz w:val="20"/>
              </w:rPr>
            </w:pPr>
            <w:r w:rsidRPr="00137DA6">
              <w:rPr>
                <w:rFonts w:ascii="Cambria" w:hAnsi="Cambria"/>
                <w:sz w:val="20"/>
              </w:rPr>
              <w:t>-</w:t>
            </w:r>
          </w:p>
        </w:tc>
        <w:tc>
          <w:tcPr>
            <w:tcW w:w="326" w:type="pct"/>
            <w:tcBorders>
              <w:top w:val="nil"/>
              <w:left w:val="nil"/>
              <w:bottom w:val="single" w:sz="4" w:space="0" w:color="auto"/>
              <w:right w:val="single" w:sz="4" w:space="0" w:color="auto"/>
            </w:tcBorders>
            <w:shd w:val="clear" w:color="auto" w:fill="auto"/>
            <w:vAlign w:val="bottom"/>
          </w:tcPr>
          <w:p w14:paraId="3A60ABBB" w14:textId="77777777" w:rsidR="00A50046" w:rsidRPr="00137DA6" w:rsidRDefault="00A50046" w:rsidP="000E7CBF">
            <w:pPr>
              <w:jc w:val="center"/>
              <w:rPr>
                <w:rFonts w:ascii="Cambria" w:hAnsi="Cambria"/>
                <w:sz w:val="20"/>
              </w:rPr>
            </w:pPr>
            <w:r w:rsidRPr="00137DA6">
              <w:rPr>
                <w:rFonts w:ascii="Cambria" w:hAnsi="Cambria"/>
                <w:sz w:val="20"/>
              </w:rPr>
              <w:t>-</w:t>
            </w:r>
          </w:p>
        </w:tc>
        <w:tc>
          <w:tcPr>
            <w:tcW w:w="327" w:type="pct"/>
            <w:tcBorders>
              <w:top w:val="nil"/>
              <w:left w:val="single" w:sz="4" w:space="0" w:color="auto"/>
              <w:bottom w:val="single" w:sz="4" w:space="0" w:color="auto"/>
              <w:right w:val="single" w:sz="4" w:space="0" w:color="auto"/>
            </w:tcBorders>
            <w:shd w:val="clear" w:color="auto" w:fill="auto"/>
            <w:vAlign w:val="bottom"/>
          </w:tcPr>
          <w:p w14:paraId="29A8E8F8" w14:textId="77777777" w:rsidR="00A50046" w:rsidRPr="00137DA6" w:rsidRDefault="00A50046" w:rsidP="000E7CBF">
            <w:pPr>
              <w:jc w:val="center"/>
              <w:rPr>
                <w:rFonts w:ascii="Cambria" w:hAnsi="Cambria"/>
                <w:sz w:val="20"/>
              </w:rPr>
            </w:pPr>
            <w:r w:rsidRPr="00137DA6">
              <w:rPr>
                <w:rFonts w:ascii="Cambria" w:hAnsi="Cambria"/>
                <w:sz w:val="20"/>
              </w:rPr>
              <w:t>-</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4FFE493C" w14:textId="77777777" w:rsidR="00A50046" w:rsidRPr="00137DA6" w:rsidRDefault="00A50046" w:rsidP="000E7CBF">
            <w:pPr>
              <w:jc w:val="center"/>
              <w:rPr>
                <w:rFonts w:ascii="Cambria" w:hAnsi="Cambria"/>
                <w:sz w:val="20"/>
              </w:rPr>
            </w:pPr>
            <w:r w:rsidRPr="00137DA6">
              <w:rPr>
                <w:rFonts w:ascii="Cambria" w:hAnsi="Cambria"/>
                <w:sz w:val="20"/>
              </w:rPr>
              <w:t>1.835</w:t>
            </w:r>
          </w:p>
        </w:tc>
      </w:tr>
      <w:tr w:rsidR="00A50046" w:rsidRPr="00137DA6" w14:paraId="79B3C8A4" w14:textId="77777777" w:rsidTr="000E7CBF">
        <w:trPr>
          <w:trHeight w:val="405"/>
        </w:trPr>
        <w:tc>
          <w:tcPr>
            <w:tcW w:w="114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F7BA77" w14:textId="77777777" w:rsidR="00A50046" w:rsidRPr="00FC6CF9" w:rsidRDefault="00A50046" w:rsidP="000E7CBF">
            <w:pPr>
              <w:rPr>
                <w:rFonts w:ascii="Cambria" w:hAnsi="Cambria"/>
                <w:sz w:val="20"/>
              </w:rPr>
            </w:pPr>
            <w:r w:rsidRPr="00FC6CF9">
              <w:rPr>
                <w:rFonts w:ascii="Cambria" w:hAnsi="Cambria"/>
                <w:sz w:val="20"/>
              </w:rPr>
              <w:t>-Con origen en ej. anteriores</w:t>
            </w:r>
          </w:p>
        </w:tc>
        <w:tc>
          <w:tcPr>
            <w:tcW w:w="655" w:type="pct"/>
            <w:tcBorders>
              <w:top w:val="nil"/>
              <w:left w:val="nil"/>
              <w:bottom w:val="single" w:sz="4" w:space="0" w:color="auto"/>
              <w:right w:val="single" w:sz="4" w:space="0" w:color="auto"/>
            </w:tcBorders>
            <w:shd w:val="clear" w:color="auto" w:fill="auto"/>
            <w:noWrap/>
            <w:vAlign w:val="bottom"/>
            <w:hideMark/>
          </w:tcPr>
          <w:p w14:paraId="64B927F7" w14:textId="77777777" w:rsidR="00A50046" w:rsidRPr="00137DA6" w:rsidRDefault="00A50046" w:rsidP="000E7CBF">
            <w:pPr>
              <w:jc w:val="center"/>
              <w:rPr>
                <w:rFonts w:ascii="Cambria" w:hAnsi="Cambria"/>
                <w:sz w:val="20"/>
              </w:rPr>
            </w:pPr>
            <w:r w:rsidRPr="00137DA6">
              <w:rPr>
                <w:rFonts w:ascii="Cambria" w:hAnsi="Cambria"/>
                <w:sz w:val="20"/>
              </w:rPr>
              <w:t>-</w:t>
            </w:r>
          </w:p>
        </w:tc>
        <w:tc>
          <w:tcPr>
            <w:tcW w:w="987" w:type="pct"/>
            <w:tcBorders>
              <w:top w:val="nil"/>
              <w:left w:val="nil"/>
              <w:bottom w:val="single" w:sz="4" w:space="0" w:color="auto"/>
              <w:right w:val="single" w:sz="4" w:space="0" w:color="auto"/>
            </w:tcBorders>
            <w:shd w:val="clear" w:color="auto" w:fill="auto"/>
            <w:noWrap/>
            <w:vAlign w:val="bottom"/>
            <w:hideMark/>
          </w:tcPr>
          <w:p w14:paraId="2E3F2C89" w14:textId="77777777" w:rsidR="00A50046" w:rsidRPr="00137DA6" w:rsidRDefault="00A50046" w:rsidP="000E7CBF">
            <w:pPr>
              <w:jc w:val="center"/>
              <w:rPr>
                <w:rFonts w:ascii="Cambria" w:hAnsi="Cambria"/>
                <w:sz w:val="20"/>
              </w:rPr>
            </w:pPr>
            <w:r w:rsidRPr="00137DA6">
              <w:rPr>
                <w:rFonts w:ascii="Cambria" w:hAnsi="Cambria"/>
                <w:sz w:val="20"/>
              </w:rPr>
              <w:t>(2.620)</w:t>
            </w:r>
          </w:p>
        </w:tc>
        <w:tc>
          <w:tcPr>
            <w:tcW w:w="412" w:type="pct"/>
            <w:tcBorders>
              <w:top w:val="nil"/>
              <w:left w:val="nil"/>
              <w:bottom w:val="single" w:sz="4" w:space="0" w:color="auto"/>
              <w:right w:val="single" w:sz="4" w:space="0" w:color="auto"/>
            </w:tcBorders>
            <w:shd w:val="clear" w:color="auto" w:fill="auto"/>
            <w:noWrap/>
            <w:vAlign w:val="bottom"/>
            <w:hideMark/>
          </w:tcPr>
          <w:p w14:paraId="489C5CA2" w14:textId="77777777" w:rsidR="00A50046" w:rsidRPr="00137DA6" w:rsidRDefault="00A50046" w:rsidP="000E7CBF">
            <w:pPr>
              <w:jc w:val="center"/>
              <w:rPr>
                <w:rFonts w:ascii="Cambria" w:hAnsi="Cambria"/>
                <w:sz w:val="20"/>
              </w:rPr>
            </w:pPr>
            <w:r w:rsidRPr="00137DA6">
              <w:rPr>
                <w:rFonts w:ascii="Cambria" w:hAnsi="Cambria"/>
                <w:sz w:val="20"/>
              </w:rPr>
              <w:t>-</w:t>
            </w:r>
          </w:p>
        </w:tc>
        <w:tc>
          <w:tcPr>
            <w:tcW w:w="571" w:type="pct"/>
            <w:tcBorders>
              <w:top w:val="nil"/>
              <w:left w:val="nil"/>
              <w:bottom w:val="single" w:sz="4" w:space="0" w:color="auto"/>
              <w:right w:val="single" w:sz="4" w:space="0" w:color="auto"/>
            </w:tcBorders>
            <w:shd w:val="clear" w:color="auto" w:fill="auto"/>
            <w:noWrap/>
            <w:vAlign w:val="bottom"/>
            <w:hideMark/>
          </w:tcPr>
          <w:p w14:paraId="319A9D07" w14:textId="77777777" w:rsidR="00A50046" w:rsidRPr="00137DA6" w:rsidRDefault="00A50046" w:rsidP="000E7CBF">
            <w:pPr>
              <w:jc w:val="right"/>
              <w:rPr>
                <w:rFonts w:ascii="Cambria" w:hAnsi="Cambria"/>
                <w:sz w:val="20"/>
              </w:rPr>
            </w:pPr>
            <w:r w:rsidRPr="00137DA6">
              <w:rPr>
                <w:rFonts w:ascii="Cambria" w:hAnsi="Cambria"/>
                <w:sz w:val="20"/>
              </w:rPr>
              <w:t> -</w:t>
            </w:r>
          </w:p>
        </w:tc>
        <w:tc>
          <w:tcPr>
            <w:tcW w:w="326" w:type="pct"/>
            <w:tcBorders>
              <w:top w:val="nil"/>
              <w:left w:val="nil"/>
              <w:bottom w:val="single" w:sz="4" w:space="0" w:color="auto"/>
              <w:right w:val="single" w:sz="4" w:space="0" w:color="auto"/>
            </w:tcBorders>
            <w:shd w:val="clear" w:color="auto" w:fill="auto"/>
            <w:vAlign w:val="bottom"/>
          </w:tcPr>
          <w:p w14:paraId="1386D7C8" w14:textId="77777777" w:rsidR="00A50046" w:rsidRPr="00137DA6" w:rsidRDefault="00A50046" w:rsidP="000E7CBF">
            <w:pPr>
              <w:jc w:val="center"/>
              <w:rPr>
                <w:rFonts w:ascii="Cambria" w:hAnsi="Cambria"/>
                <w:sz w:val="20"/>
              </w:rPr>
            </w:pPr>
            <w:r w:rsidRPr="00137DA6">
              <w:rPr>
                <w:rFonts w:ascii="Cambria" w:hAnsi="Cambria"/>
                <w:sz w:val="20"/>
              </w:rPr>
              <w:t>-</w:t>
            </w:r>
          </w:p>
        </w:tc>
        <w:tc>
          <w:tcPr>
            <w:tcW w:w="327" w:type="pct"/>
            <w:tcBorders>
              <w:top w:val="nil"/>
              <w:left w:val="single" w:sz="4" w:space="0" w:color="auto"/>
              <w:bottom w:val="single" w:sz="4" w:space="0" w:color="auto"/>
              <w:right w:val="single" w:sz="4" w:space="0" w:color="auto"/>
            </w:tcBorders>
            <w:shd w:val="clear" w:color="auto" w:fill="auto"/>
            <w:vAlign w:val="bottom"/>
          </w:tcPr>
          <w:p w14:paraId="3710DD03" w14:textId="77777777" w:rsidR="00A50046" w:rsidRPr="00137DA6" w:rsidRDefault="00A50046" w:rsidP="000E7CBF">
            <w:pPr>
              <w:jc w:val="center"/>
              <w:rPr>
                <w:rFonts w:ascii="Cambria" w:hAnsi="Cambria"/>
                <w:sz w:val="20"/>
              </w:rPr>
            </w:pPr>
            <w:r w:rsidRPr="00137DA6">
              <w:rPr>
                <w:rFonts w:ascii="Cambria" w:hAnsi="Cambria"/>
                <w:sz w:val="20"/>
              </w:rPr>
              <w:t>-</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1CFB8F43" w14:textId="77777777" w:rsidR="00A50046" w:rsidRPr="00137DA6" w:rsidRDefault="00A50046" w:rsidP="000E7CBF">
            <w:pPr>
              <w:jc w:val="center"/>
              <w:rPr>
                <w:rFonts w:ascii="Cambria" w:hAnsi="Cambria"/>
                <w:sz w:val="20"/>
              </w:rPr>
            </w:pPr>
            <w:r w:rsidRPr="00137DA6">
              <w:rPr>
                <w:rFonts w:ascii="Cambria" w:hAnsi="Cambria"/>
                <w:sz w:val="20"/>
              </w:rPr>
              <w:t>(2.620)</w:t>
            </w:r>
          </w:p>
        </w:tc>
      </w:tr>
      <w:tr w:rsidR="00A50046" w:rsidRPr="00FC6CF9" w14:paraId="799EBBEC" w14:textId="77777777" w:rsidTr="000E7CBF">
        <w:trPr>
          <w:trHeight w:val="179"/>
        </w:trPr>
        <w:tc>
          <w:tcPr>
            <w:tcW w:w="114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252A7A" w14:textId="77777777" w:rsidR="00A50046" w:rsidRPr="00FC6CF9" w:rsidRDefault="00A50046" w:rsidP="000E7CBF">
            <w:pPr>
              <w:rPr>
                <w:rFonts w:ascii="Cambria" w:hAnsi="Cambria"/>
                <w:sz w:val="20"/>
              </w:rPr>
            </w:pPr>
            <w:r w:rsidRPr="00FC6CF9">
              <w:rPr>
                <w:rFonts w:ascii="Cambria" w:hAnsi="Cambria"/>
                <w:sz w:val="20"/>
              </w:rPr>
              <w:t>Compensación de BIN's</w:t>
            </w:r>
          </w:p>
        </w:tc>
        <w:tc>
          <w:tcPr>
            <w:tcW w:w="2625" w:type="pct"/>
            <w:gridSpan w:val="4"/>
            <w:tcBorders>
              <w:top w:val="single" w:sz="4" w:space="0" w:color="auto"/>
              <w:left w:val="nil"/>
              <w:bottom w:val="single" w:sz="4" w:space="0" w:color="auto"/>
              <w:right w:val="single" w:sz="4" w:space="0" w:color="auto"/>
            </w:tcBorders>
            <w:shd w:val="clear" w:color="auto" w:fill="auto"/>
            <w:noWrap/>
            <w:vAlign w:val="center"/>
            <w:hideMark/>
          </w:tcPr>
          <w:p w14:paraId="09DB3735" w14:textId="77777777" w:rsidR="00A50046" w:rsidRPr="00FC6CF9" w:rsidRDefault="00A50046" w:rsidP="000E7CBF">
            <w:pPr>
              <w:jc w:val="center"/>
              <w:rPr>
                <w:rFonts w:ascii="Cambria" w:hAnsi="Cambria"/>
                <w:sz w:val="20"/>
              </w:rPr>
            </w:pPr>
            <w:r>
              <w:rPr>
                <w:rFonts w:ascii="Cambria" w:hAnsi="Cambria"/>
                <w:sz w:val="20"/>
              </w:rPr>
              <w:t>(</w:t>
            </w:r>
            <w:r w:rsidRPr="00FC6CF9">
              <w:rPr>
                <w:rFonts w:ascii="Cambria" w:hAnsi="Cambria"/>
                <w:sz w:val="20"/>
              </w:rPr>
              <w:t>577</w:t>
            </w:r>
            <w:r>
              <w:rPr>
                <w:rFonts w:ascii="Cambria" w:hAnsi="Cambria"/>
                <w:sz w:val="20"/>
              </w:rPr>
              <w:t>)</w:t>
            </w:r>
          </w:p>
        </w:tc>
        <w:tc>
          <w:tcPr>
            <w:tcW w:w="326" w:type="pct"/>
            <w:tcBorders>
              <w:top w:val="single" w:sz="4" w:space="0" w:color="auto"/>
              <w:bottom w:val="single" w:sz="4" w:space="0" w:color="auto"/>
              <w:right w:val="single" w:sz="4" w:space="0" w:color="auto"/>
            </w:tcBorders>
            <w:shd w:val="clear" w:color="auto" w:fill="auto"/>
            <w:vAlign w:val="bottom"/>
          </w:tcPr>
          <w:p w14:paraId="39E1982A" w14:textId="77777777" w:rsidR="00A50046" w:rsidRPr="00FC6CF9" w:rsidRDefault="00A50046" w:rsidP="000E7CBF">
            <w:pPr>
              <w:jc w:val="center"/>
              <w:rPr>
                <w:rFonts w:ascii="Cambria" w:hAnsi="Cambria"/>
                <w:sz w:val="20"/>
              </w:rPr>
            </w:pPr>
            <w:r w:rsidRPr="00FC6CF9">
              <w:rPr>
                <w:rFonts w:ascii="Cambria" w:hAnsi="Cambria"/>
                <w:sz w:val="20"/>
              </w:rPr>
              <w:t>-</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14:paraId="1E97532C" w14:textId="77777777" w:rsidR="00A50046" w:rsidRPr="00FC6CF9" w:rsidRDefault="00A50046" w:rsidP="000E7CBF">
            <w:pPr>
              <w:jc w:val="center"/>
              <w:rPr>
                <w:rFonts w:ascii="Cambria" w:hAnsi="Cambria"/>
                <w:sz w:val="20"/>
              </w:rPr>
            </w:pPr>
            <w:r w:rsidRPr="00FC6CF9">
              <w:rPr>
                <w:rFonts w:ascii="Cambria" w:hAnsi="Cambria"/>
                <w:sz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bottom"/>
          </w:tcPr>
          <w:p w14:paraId="2E5E7AEE" w14:textId="77777777" w:rsidR="00A50046" w:rsidRPr="00FC6CF9" w:rsidRDefault="00A50046" w:rsidP="000E7CBF">
            <w:pPr>
              <w:jc w:val="center"/>
              <w:rPr>
                <w:rFonts w:ascii="Cambria" w:hAnsi="Cambria"/>
                <w:sz w:val="20"/>
              </w:rPr>
            </w:pPr>
            <w:r>
              <w:rPr>
                <w:rFonts w:ascii="Cambria" w:hAnsi="Cambria"/>
                <w:sz w:val="20"/>
              </w:rPr>
              <w:t>(</w:t>
            </w:r>
            <w:r w:rsidRPr="00FC6CF9">
              <w:rPr>
                <w:rFonts w:ascii="Cambria" w:hAnsi="Cambria"/>
                <w:sz w:val="20"/>
              </w:rPr>
              <w:t>577</w:t>
            </w:r>
            <w:r>
              <w:rPr>
                <w:rFonts w:ascii="Cambria" w:hAnsi="Cambria"/>
                <w:sz w:val="20"/>
              </w:rPr>
              <w:t>)</w:t>
            </w:r>
          </w:p>
        </w:tc>
      </w:tr>
      <w:tr w:rsidR="00A50046" w:rsidRPr="00FC6CF9" w14:paraId="1D2F1524" w14:textId="77777777" w:rsidTr="000E7CBF">
        <w:trPr>
          <w:trHeight w:val="304"/>
        </w:trPr>
        <w:tc>
          <w:tcPr>
            <w:tcW w:w="114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9C472A" w14:textId="77777777" w:rsidR="00A50046" w:rsidRPr="00FC6CF9" w:rsidRDefault="00A50046" w:rsidP="000E7CBF">
            <w:pPr>
              <w:rPr>
                <w:rFonts w:ascii="Cambria" w:hAnsi="Cambria"/>
                <w:sz w:val="20"/>
              </w:rPr>
            </w:pPr>
            <w:r w:rsidRPr="00FC6CF9">
              <w:rPr>
                <w:rFonts w:ascii="Cambria" w:hAnsi="Cambria"/>
                <w:sz w:val="20"/>
              </w:rPr>
              <w:t>Base imponible (Resultado fiscal)</w:t>
            </w:r>
          </w:p>
        </w:tc>
        <w:tc>
          <w:tcPr>
            <w:tcW w:w="2625" w:type="pct"/>
            <w:gridSpan w:val="4"/>
            <w:tcBorders>
              <w:top w:val="single" w:sz="4" w:space="0" w:color="auto"/>
              <w:left w:val="nil"/>
              <w:bottom w:val="single" w:sz="4" w:space="0" w:color="auto"/>
              <w:right w:val="single" w:sz="4" w:space="0" w:color="auto"/>
            </w:tcBorders>
            <w:shd w:val="clear" w:color="auto" w:fill="auto"/>
            <w:noWrap/>
            <w:vAlign w:val="bottom"/>
          </w:tcPr>
          <w:p w14:paraId="5B630EF7" w14:textId="77777777" w:rsidR="00A50046" w:rsidRPr="00FC6CF9" w:rsidRDefault="00A50046" w:rsidP="000E7CBF">
            <w:pPr>
              <w:jc w:val="center"/>
              <w:rPr>
                <w:rFonts w:ascii="Cambria" w:hAnsi="Cambria"/>
                <w:sz w:val="20"/>
              </w:rPr>
            </w:pPr>
            <w:r>
              <w:rPr>
                <w:rFonts w:ascii="Cambria" w:hAnsi="Cambria"/>
                <w:sz w:val="20"/>
              </w:rPr>
              <w:t>1.731</w:t>
            </w:r>
          </w:p>
        </w:tc>
        <w:tc>
          <w:tcPr>
            <w:tcW w:w="326" w:type="pct"/>
            <w:tcBorders>
              <w:top w:val="single" w:sz="4" w:space="0" w:color="auto"/>
              <w:bottom w:val="single" w:sz="4" w:space="0" w:color="auto"/>
              <w:right w:val="single" w:sz="4" w:space="0" w:color="auto"/>
            </w:tcBorders>
            <w:shd w:val="clear" w:color="auto" w:fill="auto"/>
            <w:vAlign w:val="bottom"/>
          </w:tcPr>
          <w:p w14:paraId="02420B7A" w14:textId="77777777" w:rsidR="00A50046" w:rsidRPr="00FC6CF9" w:rsidRDefault="00A50046" w:rsidP="000E7CBF">
            <w:pPr>
              <w:jc w:val="center"/>
              <w:rPr>
                <w:rFonts w:ascii="Cambria" w:hAnsi="Cambria"/>
                <w:sz w:val="20"/>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14:paraId="3ABEF075" w14:textId="77777777" w:rsidR="00A50046" w:rsidRPr="00FC6CF9" w:rsidRDefault="00A50046" w:rsidP="000E7CBF">
            <w:pPr>
              <w:jc w:val="center"/>
              <w:rPr>
                <w:rFonts w:ascii="Cambria" w:hAnsi="Cambria"/>
                <w:sz w:val="20"/>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bottom"/>
          </w:tcPr>
          <w:p w14:paraId="4A1B87A1" w14:textId="77777777" w:rsidR="00A50046" w:rsidRPr="00FC6CF9" w:rsidRDefault="00A50046" w:rsidP="000E7CBF">
            <w:pPr>
              <w:jc w:val="center"/>
              <w:rPr>
                <w:rFonts w:ascii="Cambria" w:hAnsi="Cambria"/>
                <w:sz w:val="20"/>
              </w:rPr>
            </w:pPr>
            <w:r>
              <w:rPr>
                <w:rFonts w:ascii="Cambria" w:hAnsi="Cambria"/>
                <w:sz w:val="20"/>
              </w:rPr>
              <w:t>1.731</w:t>
            </w:r>
          </w:p>
        </w:tc>
      </w:tr>
    </w:tbl>
    <w:p w14:paraId="06CC88F8" w14:textId="77777777" w:rsidR="002F5AA5" w:rsidRDefault="002F5AA5" w:rsidP="00914AD1">
      <w:pPr>
        <w:rPr>
          <w:rFonts w:eastAsia="Batang"/>
        </w:rPr>
      </w:pPr>
    </w:p>
    <w:p w14:paraId="6C7096D0" w14:textId="77777777" w:rsidR="00914AD1" w:rsidRPr="00914AD1" w:rsidRDefault="00914AD1" w:rsidP="00914AD1">
      <w:pPr>
        <w:rPr>
          <w:rFonts w:eastAsia="Batang"/>
        </w:rPr>
      </w:pPr>
    </w:p>
    <w:p w14:paraId="52989DD0" w14:textId="77777777" w:rsidR="00951BFD" w:rsidRDefault="00951BFD" w:rsidP="00283AF1">
      <w:pPr>
        <w:pStyle w:val="Ttulo1a"/>
        <w:ind w:left="567"/>
        <w:rPr>
          <w:rFonts w:ascii="Cambria" w:hAnsi="Cambria"/>
          <w:sz w:val="24"/>
          <w:szCs w:val="24"/>
        </w:rPr>
      </w:pPr>
    </w:p>
    <w:p w14:paraId="3F8B36DF" w14:textId="77777777" w:rsidR="00914AD1" w:rsidRDefault="00914AD1">
      <w:pPr>
        <w:keepLines w:val="0"/>
        <w:widowControl/>
        <w:jc w:val="left"/>
        <w:rPr>
          <w:rFonts w:ascii="Cambria" w:hAnsi="Cambria"/>
          <w:sz w:val="24"/>
          <w:szCs w:val="24"/>
        </w:rPr>
      </w:pPr>
      <w:r>
        <w:rPr>
          <w:rFonts w:ascii="Cambria" w:hAnsi="Cambria"/>
          <w:sz w:val="24"/>
          <w:szCs w:val="24"/>
        </w:rPr>
        <w:br w:type="page"/>
      </w:r>
    </w:p>
    <w:p w14:paraId="5AC4E65F" w14:textId="77777777" w:rsidR="00914AD1" w:rsidRDefault="00914AD1" w:rsidP="00283AF1">
      <w:pPr>
        <w:pStyle w:val="Ttulo1a"/>
        <w:ind w:left="567"/>
        <w:rPr>
          <w:rFonts w:ascii="Cambria" w:hAnsi="Cambria"/>
          <w:sz w:val="24"/>
          <w:szCs w:val="24"/>
        </w:rPr>
      </w:pPr>
    </w:p>
    <w:p w14:paraId="43EB0FD3" w14:textId="5FC02112" w:rsidR="004A7FF7" w:rsidRDefault="001B2B25" w:rsidP="00283AF1">
      <w:pPr>
        <w:pStyle w:val="Ttulo1a"/>
        <w:ind w:left="567"/>
        <w:rPr>
          <w:rFonts w:ascii="Cambria" w:hAnsi="Cambria"/>
          <w:sz w:val="24"/>
          <w:szCs w:val="24"/>
        </w:rPr>
      </w:pPr>
      <w:r w:rsidRPr="00F17AB5">
        <w:rPr>
          <w:rFonts w:ascii="Cambria" w:hAnsi="Cambria"/>
          <w:sz w:val="24"/>
          <w:szCs w:val="24"/>
        </w:rPr>
        <w:t>A continuación se recoge la conciliación entre el resulta</w:t>
      </w:r>
      <w:r w:rsidR="004A7FF7" w:rsidRPr="00F17AB5">
        <w:rPr>
          <w:rFonts w:ascii="Cambria" w:hAnsi="Cambria"/>
          <w:sz w:val="24"/>
          <w:szCs w:val="24"/>
        </w:rPr>
        <w:t xml:space="preserve">do contable y la base imponible </w:t>
      </w:r>
      <w:r w:rsidR="00B82EA9" w:rsidRPr="00F17AB5">
        <w:rPr>
          <w:rFonts w:ascii="Cambria" w:hAnsi="Cambria"/>
          <w:sz w:val="24"/>
          <w:szCs w:val="24"/>
        </w:rPr>
        <w:t>fiscal, en los ejercicios 20</w:t>
      </w:r>
      <w:r w:rsidR="00A50046">
        <w:rPr>
          <w:rFonts w:ascii="Cambria" w:hAnsi="Cambria"/>
          <w:sz w:val="24"/>
          <w:szCs w:val="24"/>
        </w:rPr>
        <w:t>20</w:t>
      </w:r>
      <w:r w:rsidR="00F17AB5">
        <w:rPr>
          <w:rFonts w:ascii="Cambria" w:hAnsi="Cambria"/>
          <w:sz w:val="24"/>
          <w:szCs w:val="24"/>
        </w:rPr>
        <w:t xml:space="preserve"> y 201</w:t>
      </w:r>
      <w:r w:rsidR="00A50046">
        <w:rPr>
          <w:rFonts w:ascii="Cambria" w:hAnsi="Cambria"/>
          <w:sz w:val="24"/>
          <w:szCs w:val="24"/>
        </w:rPr>
        <w:t>9</w:t>
      </w:r>
      <w:r w:rsidRPr="00F17AB5">
        <w:rPr>
          <w:rFonts w:ascii="Cambria" w:hAnsi="Cambria"/>
          <w:sz w:val="24"/>
          <w:szCs w:val="24"/>
        </w:rPr>
        <w:t>, (en miles de euros):</w:t>
      </w:r>
    </w:p>
    <w:p w14:paraId="2BCAF4A2" w14:textId="383FC7B2" w:rsidR="00951BFD" w:rsidRPr="00951BFD" w:rsidRDefault="00951BFD" w:rsidP="00951BFD">
      <w:pPr>
        <w:rPr>
          <w:highlight w:val="yellow"/>
        </w:rPr>
      </w:pPr>
    </w:p>
    <w:p w14:paraId="2417C2AB" w14:textId="77777777" w:rsidR="001B2B25" w:rsidRPr="00C407D3" w:rsidRDefault="001B2B25" w:rsidP="001B2B25">
      <w:pPr>
        <w:pStyle w:val="Lista"/>
        <w:rPr>
          <w:highlight w:val="yellow"/>
        </w:rPr>
      </w:pPr>
    </w:p>
    <w:tbl>
      <w:tblPr>
        <w:tblW w:w="8225" w:type="dxa"/>
        <w:jc w:val="center"/>
        <w:tblCellMar>
          <w:left w:w="70" w:type="dxa"/>
          <w:right w:w="70" w:type="dxa"/>
        </w:tblCellMar>
        <w:tblLook w:val="04A0" w:firstRow="1" w:lastRow="0" w:firstColumn="1" w:lastColumn="0" w:noHBand="0" w:noVBand="1"/>
      </w:tblPr>
      <w:tblGrid>
        <w:gridCol w:w="5944"/>
        <w:gridCol w:w="1134"/>
        <w:gridCol w:w="1147"/>
      </w:tblGrid>
      <w:tr w:rsidR="00A50046" w:rsidRPr="0081499D" w14:paraId="7B88633C" w14:textId="77777777" w:rsidTr="00A50046">
        <w:trPr>
          <w:cantSplit/>
          <w:trHeight w:val="270"/>
          <w:jc w:val="center"/>
        </w:trPr>
        <w:tc>
          <w:tcPr>
            <w:tcW w:w="5944" w:type="dxa"/>
            <w:tcBorders>
              <w:top w:val="nil"/>
              <w:left w:val="nil"/>
              <w:bottom w:val="single" w:sz="8" w:space="0" w:color="auto"/>
              <w:right w:val="nil"/>
            </w:tcBorders>
            <w:shd w:val="clear" w:color="000000" w:fill="FFFFFF"/>
            <w:noWrap/>
            <w:vAlign w:val="bottom"/>
          </w:tcPr>
          <w:p w14:paraId="3E93EF77" w14:textId="77777777" w:rsidR="00A50046" w:rsidRPr="00F17AB5" w:rsidRDefault="00A50046" w:rsidP="00A50046">
            <w:pPr>
              <w:keepLines w:val="0"/>
              <w:widowControl/>
              <w:jc w:val="center"/>
              <w:rPr>
                <w:rFonts w:ascii="Cambria" w:hAnsi="Cambria"/>
                <w:sz w:val="20"/>
                <w:lang w:val="es-ES"/>
              </w:rPr>
            </w:pPr>
            <w:r w:rsidRPr="00F17AB5">
              <w:rPr>
                <w:rFonts w:ascii="Cambria" w:hAnsi="Cambria"/>
                <w:sz w:val="20"/>
                <w:lang w:val="es-ES"/>
              </w:rPr>
              <w:t> </w:t>
            </w:r>
          </w:p>
        </w:tc>
        <w:tc>
          <w:tcPr>
            <w:tcW w:w="1134" w:type="dxa"/>
            <w:tcBorders>
              <w:top w:val="single" w:sz="8" w:space="0" w:color="auto"/>
              <w:left w:val="single" w:sz="8" w:space="0" w:color="auto"/>
              <w:bottom w:val="single" w:sz="8" w:space="0" w:color="auto"/>
              <w:right w:val="single" w:sz="8" w:space="0" w:color="auto"/>
            </w:tcBorders>
            <w:shd w:val="clear" w:color="000000" w:fill="FFFFFF"/>
          </w:tcPr>
          <w:p w14:paraId="4C567DCC" w14:textId="2555C2D4" w:rsidR="00A50046" w:rsidRPr="00064EC8" w:rsidRDefault="00A50046" w:rsidP="00A50046">
            <w:pPr>
              <w:keepLines w:val="0"/>
              <w:widowControl/>
              <w:jc w:val="center"/>
              <w:rPr>
                <w:rFonts w:ascii="Cambria" w:hAnsi="Cambria"/>
                <w:b/>
                <w:bCs/>
                <w:sz w:val="20"/>
                <w:lang w:val="es-ES"/>
              </w:rPr>
            </w:pPr>
            <w:r w:rsidRPr="00064EC8">
              <w:rPr>
                <w:rFonts w:ascii="Cambria" w:hAnsi="Cambria"/>
                <w:b/>
                <w:bCs/>
                <w:sz w:val="20"/>
                <w:lang w:val="es-ES"/>
              </w:rPr>
              <w:t>2020</w:t>
            </w:r>
          </w:p>
        </w:tc>
        <w:tc>
          <w:tcPr>
            <w:tcW w:w="1147" w:type="dxa"/>
            <w:tcBorders>
              <w:top w:val="single" w:sz="4" w:space="0" w:color="auto"/>
              <w:left w:val="single" w:sz="4" w:space="0" w:color="auto"/>
              <w:bottom w:val="single" w:sz="8" w:space="0" w:color="auto"/>
              <w:right w:val="single" w:sz="4" w:space="0" w:color="auto"/>
            </w:tcBorders>
            <w:shd w:val="clear" w:color="000000" w:fill="FFFFFF"/>
          </w:tcPr>
          <w:p w14:paraId="61381572" w14:textId="020FC265" w:rsidR="00A50046" w:rsidRPr="00064EC8" w:rsidRDefault="00A50046" w:rsidP="00A50046">
            <w:pPr>
              <w:keepLines w:val="0"/>
              <w:widowControl/>
              <w:jc w:val="center"/>
              <w:rPr>
                <w:rFonts w:ascii="Cambria" w:hAnsi="Cambria"/>
                <w:b/>
                <w:bCs/>
                <w:sz w:val="20"/>
                <w:lang w:val="es-ES"/>
              </w:rPr>
            </w:pPr>
            <w:r w:rsidRPr="00064EC8">
              <w:rPr>
                <w:rFonts w:ascii="Cambria" w:hAnsi="Cambria"/>
                <w:b/>
                <w:bCs/>
                <w:sz w:val="20"/>
                <w:lang w:val="es-ES"/>
              </w:rPr>
              <w:t>2019</w:t>
            </w:r>
          </w:p>
        </w:tc>
      </w:tr>
      <w:tr w:rsidR="00A50046" w:rsidRPr="006F0C58" w14:paraId="5BF5FD17" w14:textId="77777777" w:rsidTr="00A50046">
        <w:trPr>
          <w:trHeight w:val="255"/>
          <w:jc w:val="center"/>
        </w:trPr>
        <w:tc>
          <w:tcPr>
            <w:tcW w:w="5944" w:type="dxa"/>
            <w:tcBorders>
              <w:top w:val="single" w:sz="8" w:space="0" w:color="auto"/>
              <w:left w:val="single" w:sz="8" w:space="0" w:color="auto"/>
              <w:bottom w:val="single" w:sz="4" w:space="0" w:color="auto"/>
              <w:right w:val="single" w:sz="8" w:space="0" w:color="auto"/>
            </w:tcBorders>
            <w:shd w:val="clear" w:color="000000" w:fill="FFFFFF"/>
          </w:tcPr>
          <w:p w14:paraId="3A53FA65" w14:textId="77777777" w:rsidR="00A50046" w:rsidRPr="006F0C58" w:rsidRDefault="00A50046" w:rsidP="00A50046">
            <w:pPr>
              <w:keepLines w:val="0"/>
              <w:widowControl/>
              <w:rPr>
                <w:rFonts w:ascii="Cambria" w:hAnsi="Cambria"/>
                <w:b/>
                <w:sz w:val="20"/>
                <w:lang w:val="es-ES"/>
              </w:rPr>
            </w:pPr>
            <w:r w:rsidRPr="006F0C58">
              <w:rPr>
                <w:rFonts w:ascii="Cambria" w:hAnsi="Cambria"/>
                <w:b/>
                <w:sz w:val="20"/>
              </w:rPr>
              <w:t>Resultado contable antes de impuestos</w:t>
            </w:r>
          </w:p>
        </w:tc>
        <w:tc>
          <w:tcPr>
            <w:tcW w:w="1134" w:type="dxa"/>
            <w:tcBorders>
              <w:top w:val="single" w:sz="8" w:space="0" w:color="auto"/>
              <w:left w:val="nil"/>
              <w:bottom w:val="single" w:sz="4" w:space="0" w:color="auto"/>
              <w:right w:val="nil"/>
            </w:tcBorders>
            <w:shd w:val="clear" w:color="000000" w:fill="FFFFFF"/>
          </w:tcPr>
          <w:p w14:paraId="42B9C96F" w14:textId="373A324B" w:rsidR="00A50046" w:rsidRPr="006F0C58" w:rsidRDefault="00064EC8" w:rsidP="00A50046">
            <w:pPr>
              <w:keepLines w:val="0"/>
              <w:widowControl/>
              <w:jc w:val="right"/>
              <w:rPr>
                <w:rFonts w:ascii="Cambria" w:hAnsi="Cambria"/>
                <w:b/>
                <w:sz w:val="20"/>
                <w:lang w:val="es-ES"/>
              </w:rPr>
            </w:pPr>
            <w:r>
              <w:rPr>
                <w:rFonts w:ascii="Cambria" w:hAnsi="Cambria"/>
                <w:b/>
                <w:sz w:val="20"/>
                <w:lang w:val="es-ES"/>
              </w:rPr>
              <w:t>(4.407)</w:t>
            </w:r>
          </w:p>
        </w:tc>
        <w:tc>
          <w:tcPr>
            <w:tcW w:w="1147" w:type="dxa"/>
            <w:tcBorders>
              <w:top w:val="single" w:sz="8" w:space="0" w:color="auto"/>
              <w:left w:val="single" w:sz="4" w:space="0" w:color="auto"/>
              <w:bottom w:val="single" w:sz="4" w:space="0" w:color="auto"/>
              <w:right w:val="single" w:sz="4" w:space="0" w:color="auto"/>
            </w:tcBorders>
            <w:shd w:val="clear" w:color="000000" w:fill="FFFFFF"/>
          </w:tcPr>
          <w:p w14:paraId="4E52FB47" w14:textId="31A15ACF" w:rsidR="00A50046" w:rsidRPr="006F0C58" w:rsidRDefault="00A50046" w:rsidP="00A50046">
            <w:pPr>
              <w:keepLines w:val="0"/>
              <w:widowControl/>
              <w:jc w:val="right"/>
              <w:rPr>
                <w:rFonts w:ascii="Cambria" w:hAnsi="Cambria"/>
                <w:b/>
                <w:sz w:val="20"/>
                <w:lang w:val="es-ES"/>
              </w:rPr>
            </w:pPr>
            <w:r w:rsidRPr="006F0C58">
              <w:rPr>
                <w:rFonts w:ascii="Cambria" w:hAnsi="Cambria"/>
                <w:b/>
                <w:sz w:val="20"/>
                <w:lang w:val="es-ES"/>
              </w:rPr>
              <w:t>2.213</w:t>
            </w:r>
          </w:p>
        </w:tc>
      </w:tr>
      <w:tr w:rsidR="00A50046" w:rsidRPr="0081499D" w14:paraId="2637F94E" w14:textId="77777777" w:rsidTr="00A50046">
        <w:trPr>
          <w:trHeight w:val="255"/>
          <w:jc w:val="center"/>
        </w:trPr>
        <w:tc>
          <w:tcPr>
            <w:tcW w:w="5944" w:type="dxa"/>
            <w:tcBorders>
              <w:top w:val="single" w:sz="4" w:space="0" w:color="auto"/>
              <w:left w:val="single" w:sz="8" w:space="0" w:color="auto"/>
              <w:bottom w:val="nil"/>
              <w:right w:val="single" w:sz="8" w:space="0" w:color="auto"/>
            </w:tcBorders>
            <w:shd w:val="clear" w:color="000000" w:fill="FFFFFF"/>
          </w:tcPr>
          <w:p w14:paraId="06FB368C" w14:textId="4DF753A8" w:rsidR="00A50046" w:rsidRPr="00F17AB5" w:rsidRDefault="00A50046" w:rsidP="00A50046">
            <w:pPr>
              <w:keepLines w:val="0"/>
              <w:widowControl/>
              <w:rPr>
                <w:rFonts w:ascii="Cambria" w:hAnsi="Cambria"/>
                <w:b/>
                <w:bCs/>
                <w:sz w:val="20"/>
                <w:lang w:val="es-ES"/>
              </w:rPr>
            </w:pPr>
            <w:r>
              <w:rPr>
                <w:rFonts w:ascii="Cambria" w:hAnsi="Cambria"/>
                <w:sz w:val="20"/>
              </w:rPr>
              <w:t>Diferencias permanentes positivas</w:t>
            </w:r>
          </w:p>
        </w:tc>
        <w:tc>
          <w:tcPr>
            <w:tcW w:w="1134" w:type="dxa"/>
            <w:tcBorders>
              <w:top w:val="single" w:sz="4" w:space="0" w:color="auto"/>
              <w:left w:val="nil"/>
              <w:bottom w:val="nil"/>
              <w:right w:val="nil"/>
            </w:tcBorders>
            <w:shd w:val="clear" w:color="000000" w:fill="FFFFFF"/>
          </w:tcPr>
          <w:p w14:paraId="6E684E81" w14:textId="6B1137E7" w:rsidR="00A50046" w:rsidRPr="00DE37BA" w:rsidRDefault="001D445E" w:rsidP="00A50046">
            <w:pPr>
              <w:keepLines w:val="0"/>
              <w:widowControl/>
              <w:jc w:val="right"/>
              <w:rPr>
                <w:rFonts w:ascii="Cambria" w:hAnsi="Cambria"/>
                <w:sz w:val="20"/>
                <w:lang w:val="es-ES"/>
              </w:rPr>
            </w:pPr>
            <w:r>
              <w:rPr>
                <w:rFonts w:ascii="Cambria" w:hAnsi="Cambria"/>
                <w:sz w:val="20"/>
                <w:lang w:val="es-ES"/>
              </w:rPr>
              <w:t>857</w:t>
            </w:r>
          </w:p>
        </w:tc>
        <w:tc>
          <w:tcPr>
            <w:tcW w:w="1147" w:type="dxa"/>
            <w:tcBorders>
              <w:top w:val="single" w:sz="4" w:space="0" w:color="auto"/>
              <w:left w:val="single" w:sz="4" w:space="0" w:color="auto"/>
              <w:bottom w:val="nil"/>
              <w:right w:val="single" w:sz="4" w:space="0" w:color="auto"/>
            </w:tcBorders>
            <w:shd w:val="clear" w:color="000000" w:fill="FFFFFF"/>
          </w:tcPr>
          <w:p w14:paraId="74BA8B27" w14:textId="162580EF" w:rsidR="00A50046" w:rsidRDefault="00A50046" w:rsidP="0035286D">
            <w:pPr>
              <w:keepLines w:val="0"/>
              <w:widowControl/>
              <w:jc w:val="right"/>
              <w:rPr>
                <w:rFonts w:ascii="Cambria" w:hAnsi="Cambria"/>
                <w:sz w:val="20"/>
                <w:lang w:val="es-ES"/>
              </w:rPr>
            </w:pPr>
            <w:r>
              <w:rPr>
                <w:rFonts w:ascii="Cambria" w:hAnsi="Cambria"/>
                <w:sz w:val="20"/>
                <w:lang w:val="es-ES"/>
              </w:rPr>
              <w:t>1.163</w:t>
            </w:r>
          </w:p>
        </w:tc>
      </w:tr>
      <w:tr w:rsidR="00A50046" w:rsidRPr="0081499D" w14:paraId="38B02A3D" w14:textId="77777777" w:rsidTr="00A50046">
        <w:trPr>
          <w:trHeight w:val="255"/>
          <w:jc w:val="center"/>
        </w:trPr>
        <w:tc>
          <w:tcPr>
            <w:tcW w:w="5944" w:type="dxa"/>
            <w:tcBorders>
              <w:top w:val="nil"/>
              <w:left w:val="single" w:sz="8" w:space="0" w:color="auto"/>
              <w:bottom w:val="nil"/>
              <w:right w:val="single" w:sz="8" w:space="0" w:color="auto"/>
            </w:tcBorders>
            <w:shd w:val="clear" w:color="000000" w:fill="FFFFFF"/>
          </w:tcPr>
          <w:p w14:paraId="7771F67A" w14:textId="1B7F6A9D" w:rsidR="00A50046" w:rsidRPr="00F17AB5" w:rsidRDefault="00A50046" w:rsidP="00A50046">
            <w:pPr>
              <w:keepLines w:val="0"/>
              <w:widowControl/>
              <w:rPr>
                <w:rFonts w:ascii="Cambria" w:hAnsi="Cambria"/>
                <w:b/>
                <w:bCs/>
                <w:sz w:val="20"/>
              </w:rPr>
            </w:pPr>
            <w:r>
              <w:rPr>
                <w:rFonts w:ascii="Cambria" w:hAnsi="Cambria"/>
                <w:sz w:val="20"/>
              </w:rPr>
              <w:t>Diferencias permanentes negativas</w:t>
            </w:r>
          </w:p>
        </w:tc>
        <w:tc>
          <w:tcPr>
            <w:tcW w:w="1134" w:type="dxa"/>
            <w:tcBorders>
              <w:top w:val="nil"/>
              <w:left w:val="nil"/>
              <w:bottom w:val="nil"/>
              <w:right w:val="nil"/>
            </w:tcBorders>
            <w:shd w:val="clear" w:color="000000" w:fill="FFFFFF"/>
          </w:tcPr>
          <w:p w14:paraId="6A09A911" w14:textId="7ED0BED5" w:rsidR="00A50046" w:rsidRPr="00DE37BA" w:rsidRDefault="00DE37BA" w:rsidP="00A50046">
            <w:pPr>
              <w:keepLines w:val="0"/>
              <w:widowControl/>
              <w:jc w:val="right"/>
              <w:rPr>
                <w:rFonts w:ascii="Cambria" w:hAnsi="Cambria"/>
                <w:sz w:val="20"/>
                <w:lang w:val="es-ES"/>
              </w:rPr>
            </w:pPr>
            <w:r w:rsidRPr="00DE37BA">
              <w:rPr>
                <w:rFonts w:ascii="Cambria" w:hAnsi="Cambria"/>
                <w:sz w:val="20"/>
                <w:lang w:val="es-ES"/>
              </w:rPr>
              <w:t>(</w:t>
            </w:r>
            <w:r w:rsidR="00EF0663">
              <w:rPr>
                <w:rFonts w:ascii="Cambria" w:hAnsi="Cambria"/>
                <w:sz w:val="20"/>
                <w:lang w:val="es-ES"/>
              </w:rPr>
              <w:t>466</w:t>
            </w:r>
            <w:r w:rsidRPr="00DE37BA">
              <w:rPr>
                <w:rFonts w:ascii="Cambria" w:hAnsi="Cambria"/>
                <w:sz w:val="20"/>
                <w:lang w:val="es-ES"/>
              </w:rPr>
              <w:t>)</w:t>
            </w:r>
          </w:p>
        </w:tc>
        <w:tc>
          <w:tcPr>
            <w:tcW w:w="1147" w:type="dxa"/>
            <w:tcBorders>
              <w:top w:val="nil"/>
              <w:left w:val="single" w:sz="4" w:space="0" w:color="auto"/>
              <w:bottom w:val="nil"/>
              <w:right w:val="single" w:sz="4" w:space="0" w:color="auto"/>
            </w:tcBorders>
            <w:shd w:val="clear" w:color="000000" w:fill="FFFFFF"/>
          </w:tcPr>
          <w:p w14:paraId="4FE0576E" w14:textId="37D0111D" w:rsidR="00A50046" w:rsidRDefault="00A50046" w:rsidP="0035286D">
            <w:pPr>
              <w:keepLines w:val="0"/>
              <w:widowControl/>
              <w:jc w:val="right"/>
              <w:rPr>
                <w:rFonts w:ascii="Cambria" w:hAnsi="Cambria"/>
                <w:sz w:val="20"/>
                <w:lang w:val="es-ES"/>
              </w:rPr>
            </w:pPr>
            <w:r>
              <w:rPr>
                <w:rFonts w:ascii="Cambria" w:hAnsi="Cambria"/>
                <w:sz w:val="20"/>
                <w:lang w:val="es-ES"/>
              </w:rPr>
              <w:t>(283)</w:t>
            </w:r>
          </w:p>
        </w:tc>
      </w:tr>
      <w:tr w:rsidR="00A50046" w:rsidRPr="0081499D" w14:paraId="5AB0F87E" w14:textId="77777777" w:rsidTr="00A50046">
        <w:trPr>
          <w:trHeight w:val="255"/>
          <w:jc w:val="center"/>
        </w:trPr>
        <w:tc>
          <w:tcPr>
            <w:tcW w:w="5944" w:type="dxa"/>
            <w:tcBorders>
              <w:top w:val="nil"/>
              <w:left w:val="single" w:sz="8" w:space="0" w:color="auto"/>
              <w:right w:val="single" w:sz="8" w:space="0" w:color="auto"/>
            </w:tcBorders>
            <w:shd w:val="clear" w:color="000000" w:fill="FFFFFF"/>
          </w:tcPr>
          <w:p w14:paraId="4C63DF08" w14:textId="5CBE10CF" w:rsidR="00A50046" w:rsidRPr="00F17AB5" w:rsidRDefault="00A50046" w:rsidP="00A50046">
            <w:pPr>
              <w:keepLines w:val="0"/>
              <w:widowControl/>
              <w:rPr>
                <w:rFonts w:ascii="Cambria" w:hAnsi="Cambria"/>
                <w:sz w:val="20"/>
                <w:lang w:val="es-ES"/>
              </w:rPr>
            </w:pPr>
            <w:r w:rsidRPr="00F17AB5">
              <w:rPr>
                <w:rFonts w:ascii="Cambria" w:hAnsi="Cambria"/>
                <w:sz w:val="20"/>
              </w:rPr>
              <w:t>Diferencias temporarias deducibles en origen</w:t>
            </w:r>
            <w:r>
              <w:rPr>
                <w:rFonts w:ascii="Cambria" w:hAnsi="Cambria"/>
                <w:sz w:val="20"/>
              </w:rPr>
              <w:t>.</w:t>
            </w:r>
          </w:p>
        </w:tc>
        <w:tc>
          <w:tcPr>
            <w:tcW w:w="1134" w:type="dxa"/>
            <w:tcBorders>
              <w:top w:val="nil"/>
              <w:left w:val="nil"/>
              <w:right w:val="nil"/>
            </w:tcBorders>
            <w:shd w:val="clear" w:color="auto" w:fill="auto"/>
          </w:tcPr>
          <w:p w14:paraId="2E700A80" w14:textId="27103F63" w:rsidR="00A50046" w:rsidRPr="00DE37BA" w:rsidRDefault="00DE37BA" w:rsidP="00A50046">
            <w:pPr>
              <w:keepLines w:val="0"/>
              <w:widowControl/>
              <w:jc w:val="right"/>
              <w:rPr>
                <w:rFonts w:ascii="Cambria" w:hAnsi="Cambria"/>
                <w:sz w:val="20"/>
                <w:lang w:val="es-ES"/>
              </w:rPr>
            </w:pPr>
            <w:r w:rsidRPr="00DE37BA">
              <w:rPr>
                <w:rFonts w:ascii="Cambria" w:hAnsi="Cambria"/>
                <w:sz w:val="20"/>
                <w:lang w:val="es-ES"/>
              </w:rPr>
              <w:t>175</w:t>
            </w:r>
          </w:p>
        </w:tc>
        <w:tc>
          <w:tcPr>
            <w:tcW w:w="1147" w:type="dxa"/>
            <w:tcBorders>
              <w:top w:val="nil"/>
              <w:left w:val="single" w:sz="4" w:space="0" w:color="auto"/>
              <w:right w:val="single" w:sz="4" w:space="0" w:color="auto"/>
            </w:tcBorders>
          </w:tcPr>
          <w:p w14:paraId="1029D623" w14:textId="442D5988" w:rsidR="00A50046" w:rsidRPr="00821170" w:rsidRDefault="00A50046" w:rsidP="00A50046">
            <w:pPr>
              <w:keepLines w:val="0"/>
              <w:widowControl/>
              <w:jc w:val="right"/>
              <w:rPr>
                <w:rFonts w:ascii="Cambria" w:hAnsi="Cambria"/>
                <w:sz w:val="20"/>
                <w:lang w:val="es-ES"/>
              </w:rPr>
            </w:pPr>
            <w:r w:rsidRPr="00821170">
              <w:rPr>
                <w:rFonts w:ascii="Cambria" w:hAnsi="Cambria"/>
                <w:sz w:val="20"/>
                <w:lang w:val="es-ES"/>
              </w:rPr>
              <w:t>1.835</w:t>
            </w:r>
          </w:p>
        </w:tc>
      </w:tr>
      <w:tr w:rsidR="00A50046" w:rsidRPr="0081499D" w14:paraId="7C1E3715" w14:textId="77777777" w:rsidTr="00A50046">
        <w:trPr>
          <w:trHeight w:val="255"/>
          <w:jc w:val="center"/>
        </w:trPr>
        <w:tc>
          <w:tcPr>
            <w:tcW w:w="5944" w:type="dxa"/>
            <w:tcBorders>
              <w:top w:val="nil"/>
              <w:left w:val="single" w:sz="8" w:space="0" w:color="auto"/>
              <w:bottom w:val="single" w:sz="4" w:space="0" w:color="auto"/>
              <w:right w:val="single" w:sz="8" w:space="0" w:color="auto"/>
            </w:tcBorders>
            <w:shd w:val="clear" w:color="000000" w:fill="FFFFFF"/>
          </w:tcPr>
          <w:p w14:paraId="5239D423" w14:textId="77777777" w:rsidR="00A50046" w:rsidRPr="00DC6522" w:rsidRDefault="00A50046" w:rsidP="00A50046">
            <w:pPr>
              <w:keepLines w:val="0"/>
              <w:widowControl/>
              <w:rPr>
                <w:rFonts w:ascii="Cambria" w:hAnsi="Cambria"/>
                <w:sz w:val="20"/>
                <w:lang w:val="es-ES"/>
              </w:rPr>
            </w:pPr>
            <w:r w:rsidRPr="00DC6522">
              <w:rPr>
                <w:rFonts w:ascii="Cambria" w:hAnsi="Cambria"/>
                <w:sz w:val="20"/>
              </w:rPr>
              <w:t>Diferencias temporarias deducibles en reversión</w:t>
            </w:r>
          </w:p>
        </w:tc>
        <w:tc>
          <w:tcPr>
            <w:tcW w:w="1134" w:type="dxa"/>
            <w:tcBorders>
              <w:top w:val="nil"/>
              <w:left w:val="nil"/>
              <w:bottom w:val="single" w:sz="4" w:space="0" w:color="auto"/>
              <w:right w:val="nil"/>
            </w:tcBorders>
            <w:shd w:val="clear" w:color="auto" w:fill="FFFFFF" w:themeFill="background1"/>
          </w:tcPr>
          <w:p w14:paraId="0F8C1ECE" w14:textId="215819A4" w:rsidR="00A50046" w:rsidRPr="00DC6522" w:rsidRDefault="00DE37BA" w:rsidP="00A50046">
            <w:pPr>
              <w:keepLines w:val="0"/>
              <w:widowControl/>
              <w:jc w:val="right"/>
              <w:rPr>
                <w:rFonts w:ascii="Cambria" w:hAnsi="Cambria"/>
                <w:sz w:val="20"/>
                <w:lang w:val="es-ES"/>
              </w:rPr>
            </w:pPr>
            <w:r w:rsidRPr="00DC6522">
              <w:rPr>
                <w:rFonts w:ascii="Cambria" w:hAnsi="Cambria"/>
                <w:sz w:val="20"/>
                <w:lang w:val="es-ES"/>
              </w:rPr>
              <w:t>(2.37</w:t>
            </w:r>
            <w:r w:rsidR="004370FC" w:rsidRPr="00DC6522">
              <w:rPr>
                <w:rFonts w:ascii="Cambria" w:hAnsi="Cambria"/>
                <w:sz w:val="20"/>
                <w:lang w:val="es-ES"/>
              </w:rPr>
              <w:t>2</w:t>
            </w:r>
            <w:r w:rsidRPr="00DC6522">
              <w:rPr>
                <w:rFonts w:ascii="Cambria" w:hAnsi="Cambria"/>
                <w:sz w:val="20"/>
                <w:lang w:val="es-ES"/>
              </w:rPr>
              <w:t>)</w:t>
            </w:r>
          </w:p>
        </w:tc>
        <w:tc>
          <w:tcPr>
            <w:tcW w:w="1147" w:type="dxa"/>
            <w:tcBorders>
              <w:top w:val="nil"/>
              <w:left w:val="single" w:sz="4" w:space="0" w:color="auto"/>
              <w:bottom w:val="single" w:sz="4" w:space="0" w:color="auto"/>
              <w:right w:val="single" w:sz="4" w:space="0" w:color="auto"/>
            </w:tcBorders>
            <w:shd w:val="clear" w:color="auto" w:fill="FFFFFF" w:themeFill="background1"/>
          </w:tcPr>
          <w:p w14:paraId="5C27ADC2" w14:textId="1AD081A3" w:rsidR="00A50046" w:rsidRPr="00DC6522" w:rsidRDefault="00A50046" w:rsidP="00A50046">
            <w:pPr>
              <w:keepLines w:val="0"/>
              <w:widowControl/>
              <w:jc w:val="right"/>
              <w:rPr>
                <w:rFonts w:ascii="Cambria" w:hAnsi="Cambria"/>
                <w:sz w:val="20"/>
                <w:lang w:val="es-ES"/>
              </w:rPr>
            </w:pPr>
            <w:r w:rsidRPr="00DC6522">
              <w:rPr>
                <w:rFonts w:ascii="Cambria" w:hAnsi="Cambria"/>
                <w:sz w:val="20"/>
                <w:lang w:val="es-ES"/>
              </w:rPr>
              <w:t>(2.620)</w:t>
            </w:r>
          </w:p>
        </w:tc>
      </w:tr>
      <w:tr w:rsidR="00A50046" w:rsidRPr="0081499D" w14:paraId="136B9CF0" w14:textId="77777777" w:rsidTr="00A50046">
        <w:trPr>
          <w:trHeight w:val="270"/>
          <w:jc w:val="center"/>
        </w:trPr>
        <w:tc>
          <w:tcPr>
            <w:tcW w:w="5944" w:type="dxa"/>
            <w:tcBorders>
              <w:top w:val="single" w:sz="4" w:space="0" w:color="auto"/>
              <w:left w:val="single" w:sz="8" w:space="0" w:color="auto"/>
              <w:bottom w:val="single" w:sz="8" w:space="0" w:color="auto"/>
              <w:right w:val="single" w:sz="8" w:space="0" w:color="auto"/>
            </w:tcBorders>
            <w:shd w:val="clear" w:color="000000" w:fill="FFFFFF"/>
            <w:vAlign w:val="bottom"/>
          </w:tcPr>
          <w:p w14:paraId="563345EE" w14:textId="2EF174D9" w:rsidR="00A50046" w:rsidRPr="006F0C58" w:rsidRDefault="00A50046" w:rsidP="00A50046">
            <w:pPr>
              <w:keepLines w:val="0"/>
              <w:widowControl/>
              <w:rPr>
                <w:rFonts w:ascii="Cambria" w:hAnsi="Cambria"/>
                <w:b/>
                <w:bCs/>
                <w:sz w:val="20"/>
              </w:rPr>
            </w:pPr>
            <w:r w:rsidRPr="00F17AB5">
              <w:rPr>
                <w:rFonts w:ascii="Cambria" w:hAnsi="Cambria"/>
                <w:b/>
                <w:bCs/>
                <w:sz w:val="20"/>
              </w:rPr>
              <w:t>Resultado contable ajustado</w:t>
            </w:r>
          </w:p>
        </w:tc>
        <w:tc>
          <w:tcPr>
            <w:tcW w:w="1134" w:type="dxa"/>
            <w:tcBorders>
              <w:top w:val="single" w:sz="4" w:space="0" w:color="auto"/>
              <w:left w:val="nil"/>
              <w:bottom w:val="single" w:sz="8" w:space="0" w:color="auto"/>
              <w:right w:val="nil"/>
            </w:tcBorders>
            <w:shd w:val="clear" w:color="000000" w:fill="FFFFFF"/>
            <w:vAlign w:val="bottom"/>
          </w:tcPr>
          <w:p w14:paraId="080EAA22" w14:textId="0E9A7622" w:rsidR="00A50046" w:rsidRPr="006F0C58" w:rsidRDefault="00064EC8" w:rsidP="00A50046">
            <w:pPr>
              <w:keepLines w:val="0"/>
              <w:widowControl/>
              <w:jc w:val="right"/>
              <w:rPr>
                <w:rFonts w:ascii="Cambria" w:hAnsi="Cambria"/>
                <w:b/>
                <w:bCs/>
                <w:sz w:val="20"/>
                <w:lang w:val="es-ES"/>
              </w:rPr>
            </w:pPr>
            <w:r>
              <w:rPr>
                <w:rFonts w:ascii="Cambria" w:hAnsi="Cambria"/>
                <w:b/>
                <w:bCs/>
                <w:sz w:val="20"/>
                <w:lang w:val="es-ES"/>
              </w:rPr>
              <w:t>(</w:t>
            </w:r>
            <w:r w:rsidR="00EF0663">
              <w:rPr>
                <w:rFonts w:ascii="Cambria" w:hAnsi="Cambria"/>
                <w:b/>
                <w:bCs/>
                <w:sz w:val="20"/>
                <w:lang w:val="es-ES"/>
              </w:rPr>
              <w:t>6.</w:t>
            </w:r>
            <w:r w:rsidR="001D445E">
              <w:rPr>
                <w:rFonts w:ascii="Cambria" w:hAnsi="Cambria"/>
                <w:b/>
                <w:bCs/>
                <w:sz w:val="20"/>
                <w:lang w:val="es-ES"/>
              </w:rPr>
              <w:t>213</w:t>
            </w:r>
            <w:r>
              <w:rPr>
                <w:rFonts w:ascii="Cambria" w:hAnsi="Cambria"/>
                <w:b/>
                <w:bCs/>
                <w:sz w:val="20"/>
                <w:lang w:val="es-ES"/>
              </w:rPr>
              <w:t>)</w:t>
            </w:r>
          </w:p>
        </w:tc>
        <w:tc>
          <w:tcPr>
            <w:tcW w:w="1147" w:type="dxa"/>
            <w:tcBorders>
              <w:top w:val="single" w:sz="4" w:space="0" w:color="auto"/>
              <w:left w:val="single" w:sz="4" w:space="0" w:color="auto"/>
              <w:bottom w:val="single" w:sz="8" w:space="0" w:color="auto"/>
              <w:right w:val="single" w:sz="4" w:space="0" w:color="auto"/>
            </w:tcBorders>
            <w:shd w:val="clear" w:color="000000" w:fill="FFFFFF"/>
            <w:vAlign w:val="bottom"/>
          </w:tcPr>
          <w:p w14:paraId="6F23D917" w14:textId="4C0A0BC7" w:rsidR="00A50046" w:rsidRDefault="00A50046" w:rsidP="0035286D">
            <w:pPr>
              <w:keepLines w:val="0"/>
              <w:widowControl/>
              <w:jc w:val="right"/>
              <w:rPr>
                <w:rFonts w:ascii="Cambria" w:hAnsi="Cambria"/>
                <w:b/>
                <w:bCs/>
                <w:sz w:val="20"/>
                <w:lang w:val="es-ES"/>
              </w:rPr>
            </w:pPr>
            <w:r>
              <w:rPr>
                <w:rFonts w:ascii="Cambria" w:hAnsi="Cambria"/>
                <w:b/>
                <w:bCs/>
                <w:sz w:val="20"/>
                <w:lang w:val="es-ES"/>
              </w:rPr>
              <w:t>2.308</w:t>
            </w:r>
          </w:p>
        </w:tc>
      </w:tr>
      <w:tr w:rsidR="00A50046" w:rsidRPr="0081499D" w14:paraId="5C78149F" w14:textId="77777777" w:rsidTr="00A50046">
        <w:trPr>
          <w:trHeight w:val="270"/>
          <w:jc w:val="center"/>
        </w:trPr>
        <w:tc>
          <w:tcPr>
            <w:tcW w:w="5944" w:type="dxa"/>
            <w:tcBorders>
              <w:top w:val="single" w:sz="4" w:space="0" w:color="auto"/>
              <w:left w:val="single" w:sz="8" w:space="0" w:color="auto"/>
              <w:bottom w:val="single" w:sz="8" w:space="0" w:color="auto"/>
              <w:right w:val="single" w:sz="8" w:space="0" w:color="auto"/>
            </w:tcBorders>
            <w:shd w:val="clear" w:color="000000" w:fill="FFFFFF"/>
            <w:vAlign w:val="bottom"/>
          </w:tcPr>
          <w:p w14:paraId="6787AA40" w14:textId="3096CD73" w:rsidR="00A50046" w:rsidRPr="006F0C58" w:rsidRDefault="00A50046" w:rsidP="00A50046">
            <w:pPr>
              <w:keepLines w:val="0"/>
              <w:widowControl/>
              <w:rPr>
                <w:rFonts w:ascii="Cambria" w:hAnsi="Cambria"/>
                <w:bCs/>
                <w:sz w:val="20"/>
              </w:rPr>
            </w:pPr>
            <w:r w:rsidRPr="006F0C58">
              <w:rPr>
                <w:rFonts w:ascii="Cambria" w:hAnsi="Cambria"/>
                <w:bCs/>
                <w:sz w:val="20"/>
              </w:rPr>
              <w:t xml:space="preserve">Compensación de BINs Grupo consolidable (25% B.I.) </w:t>
            </w:r>
          </w:p>
        </w:tc>
        <w:tc>
          <w:tcPr>
            <w:tcW w:w="1134" w:type="dxa"/>
            <w:tcBorders>
              <w:top w:val="single" w:sz="4" w:space="0" w:color="auto"/>
              <w:left w:val="nil"/>
              <w:bottom w:val="single" w:sz="8" w:space="0" w:color="auto"/>
              <w:right w:val="nil"/>
            </w:tcBorders>
            <w:shd w:val="clear" w:color="000000" w:fill="FFFFFF"/>
            <w:vAlign w:val="bottom"/>
          </w:tcPr>
          <w:p w14:paraId="5A9B38C8" w14:textId="761AE73B" w:rsidR="00A50046" w:rsidRPr="006F0C58" w:rsidRDefault="00E51C7F" w:rsidP="00E51C7F">
            <w:pPr>
              <w:keepLines w:val="0"/>
              <w:widowControl/>
              <w:jc w:val="center"/>
              <w:rPr>
                <w:rFonts w:ascii="Cambria" w:hAnsi="Cambria"/>
                <w:bCs/>
                <w:sz w:val="20"/>
                <w:lang w:val="es-ES"/>
              </w:rPr>
            </w:pPr>
            <w:r>
              <w:rPr>
                <w:rFonts w:ascii="Cambria" w:hAnsi="Cambria"/>
                <w:bCs/>
                <w:sz w:val="20"/>
                <w:lang w:val="es-ES"/>
              </w:rPr>
              <w:t>-</w:t>
            </w:r>
          </w:p>
        </w:tc>
        <w:tc>
          <w:tcPr>
            <w:tcW w:w="1147" w:type="dxa"/>
            <w:tcBorders>
              <w:top w:val="single" w:sz="4" w:space="0" w:color="auto"/>
              <w:left w:val="single" w:sz="4" w:space="0" w:color="auto"/>
              <w:bottom w:val="single" w:sz="8" w:space="0" w:color="auto"/>
              <w:right w:val="single" w:sz="4" w:space="0" w:color="auto"/>
            </w:tcBorders>
            <w:shd w:val="clear" w:color="000000" w:fill="FFFFFF"/>
            <w:vAlign w:val="bottom"/>
          </w:tcPr>
          <w:p w14:paraId="00232491" w14:textId="3872A8A9" w:rsidR="00A50046" w:rsidRPr="006F0C58" w:rsidRDefault="00A50046" w:rsidP="0035286D">
            <w:pPr>
              <w:keepLines w:val="0"/>
              <w:widowControl/>
              <w:jc w:val="right"/>
              <w:rPr>
                <w:rFonts w:ascii="Cambria" w:hAnsi="Cambria"/>
                <w:bCs/>
                <w:sz w:val="20"/>
                <w:lang w:val="es-ES"/>
              </w:rPr>
            </w:pPr>
            <w:r w:rsidRPr="006F0C58">
              <w:rPr>
                <w:rFonts w:ascii="Cambria" w:hAnsi="Cambria"/>
                <w:bCs/>
                <w:sz w:val="20"/>
                <w:lang w:val="es-ES"/>
              </w:rPr>
              <w:t>(577)</w:t>
            </w:r>
          </w:p>
        </w:tc>
      </w:tr>
      <w:tr w:rsidR="00A50046" w:rsidRPr="0081499D" w14:paraId="4E768A87" w14:textId="77777777" w:rsidTr="00A50046">
        <w:trPr>
          <w:trHeight w:val="270"/>
          <w:jc w:val="center"/>
        </w:trPr>
        <w:tc>
          <w:tcPr>
            <w:tcW w:w="5944" w:type="dxa"/>
            <w:tcBorders>
              <w:top w:val="nil"/>
              <w:left w:val="single" w:sz="8" w:space="0" w:color="auto"/>
              <w:bottom w:val="single" w:sz="8" w:space="0" w:color="auto"/>
              <w:right w:val="single" w:sz="8" w:space="0" w:color="auto"/>
            </w:tcBorders>
            <w:shd w:val="clear" w:color="000000" w:fill="FFFFFF"/>
            <w:vAlign w:val="bottom"/>
          </w:tcPr>
          <w:p w14:paraId="2E342075" w14:textId="41B080BD" w:rsidR="00A50046" w:rsidRPr="00F17AB5" w:rsidRDefault="00A50046" w:rsidP="00A50046">
            <w:pPr>
              <w:keepLines w:val="0"/>
              <w:widowControl/>
              <w:rPr>
                <w:rFonts w:ascii="Cambria" w:hAnsi="Cambria"/>
                <w:b/>
                <w:bCs/>
                <w:sz w:val="20"/>
                <w:lang w:val="es-ES"/>
              </w:rPr>
            </w:pPr>
            <w:r w:rsidRPr="00F17AB5">
              <w:rPr>
                <w:rFonts w:ascii="Cambria" w:hAnsi="Cambria"/>
                <w:b/>
                <w:bCs/>
                <w:sz w:val="20"/>
              </w:rPr>
              <w:t xml:space="preserve">BASE IMPONIBLE </w:t>
            </w:r>
            <w:r>
              <w:rPr>
                <w:rFonts w:ascii="Cambria" w:hAnsi="Cambria"/>
                <w:b/>
                <w:bCs/>
                <w:sz w:val="20"/>
              </w:rPr>
              <w:t>(RESULTADO FISCAL)</w:t>
            </w:r>
          </w:p>
        </w:tc>
        <w:tc>
          <w:tcPr>
            <w:tcW w:w="1134" w:type="dxa"/>
            <w:tcBorders>
              <w:top w:val="nil"/>
              <w:left w:val="nil"/>
              <w:bottom w:val="single" w:sz="8" w:space="0" w:color="auto"/>
              <w:right w:val="nil"/>
            </w:tcBorders>
            <w:shd w:val="clear" w:color="000000" w:fill="FFFFFF"/>
            <w:vAlign w:val="bottom"/>
          </w:tcPr>
          <w:p w14:paraId="20CDFDD9" w14:textId="56B2A854" w:rsidR="00A50046" w:rsidRPr="00F17AB5" w:rsidRDefault="00064EC8" w:rsidP="00A50046">
            <w:pPr>
              <w:keepLines w:val="0"/>
              <w:widowControl/>
              <w:jc w:val="right"/>
              <w:rPr>
                <w:rFonts w:ascii="Cambria" w:hAnsi="Cambria"/>
                <w:b/>
                <w:bCs/>
                <w:sz w:val="20"/>
                <w:lang w:val="es-ES"/>
              </w:rPr>
            </w:pPr>
            <w:r>
              <w:rPr>
                <w:rFonts w:ascii="Cambria" w:hAnsi="Cambria"/>
                <w:b/>
                <w:bCs/>
                <w:sz w:val="20"/>
                <w:lang w:val="es-ES"/>
              </w:rPr>
              <w:t>(</w:t>
            </w:r>
            <w:r w:rsidR="00EF0663">
              <w:rPr>
                <w:rFonts w:ascii="Cambria" w:hAnsi="Cambria"/>
                <w:b/>
                <w:bCs/>
                <w:sz w:val="20"/>
                <w:lang w:val="es-ES"/>
              </w:rPr>
              <w:t>6.</w:t>
            </w:r>
            <w:r w:rsidR="001D445E">
              <w:rPr>
                <w:rFonts w:ascii="Cambria" w:hAnsi="Cambria"/>
                <w:b/>
                <w:bCs/>
                <w:sz w:val="20"/>
                <w:lang w:val="es-ES"/>
              </w:rPr>
              <w:t>213</w:t>
            </w:r>
            <w:r>
              <w:rPr>
                <w:rFonts w:ascii="Cambria" w:hAnsi="Cambria"/>
                <w:b/>
                <w:bCs/>
                <w:sz w:val="20"/>
                <w:lang w:val="es-ES"/>
              </w:rPr>
              <w:t>)</w:t>
            </w:r>
          </w:p>
        </w:tc>
        <w:tc>
          <w:tcPr>
            <w:tcW w:w="1147" w:type="dxa"/>
            <w:tcBorders>
              <w:top w:val="nil"/>
              <w:left w:val="single" w:sz="4" w:space="0" w:color="auto"/>
              <w:bottom w:val="single" w:sz="8" w:space="0" w:color="auto"/>
              <w:right w:val="single" w:sz="4" w:space="0" w:color="auto"/>
            </w:tcBorders>
            <w:shd w:val="clear" w:color="000000" w:fill="FFFFFF"/>
            <w:vAlign w:val="bottom"/>
          </w:tcPr>
          <w:p w14:paraId="7A171ABB" w14:textId="21BD2D4B" w:rsidR="00A50046" w:rsidRPr="00F17AB5" w:rsidRDefault="00A50046" w:rsidP="00A50046">
            <w:pPr>
              <w:keepLines w:val="0"/>
              <w:widowControl/>
              <w:jc w:val="right"/>
              <w:rPr>
                <w:rFonts w:ascii="Cambria" w:hAnsi="Cambria"/>
                <w:b/>
                <w:bCs/>
                <w:sz w:val="20"/>
                <w:lang w:val="es-ES"/>
              </w:rPr>
            </w:pPr>
            <w:r>
              <w:rPr>
                <w:rFonts w:ascii="Cambria" w:hAnsi="Cambria"/>
                <w:b/>
                <w:bCs/>
                <w:sz w:val="20"/>
                <w:lang w:val="es-ES"/>
              </w:rPr>
              <w:t>1.731</w:t>
            </w:r>
          </w:p>
        </w:tc>
      </w:tr>
      <w:tr w:rsidR="00A50046" w:rsidRPr="0081499D" w14:paraId="40B3B9B9" w14:textId="77777777" w:rsidTr="00A50046">
        <w:trPr>
          <w:trHeight w:val="255"/>
          <w:jc w:val="center"/>
        </w:trPr>
        <w:tc>
          <w:tcPr>
            <w:tcW w:w="5944" w:type="dxa"/>
            <w:tcBorders>
              <w:top w:val="nil"/>
              <w:left w:val="single" w:sz="8" w:space="0" w:color="auto"/>
              <w:bottom w:val="single" w:sz="8" w:space="0" w:color="auto"/>
              <w:right w:val="single" w:sz="8" w:space="0" w:color="auto"/>
            </w:tcBorders>
            <w:shd w:val="clear" w:color="000000" w:fill="FFFFFF"/>
            <w:vAlign w:val="bottom"/>
          </w:tcPr>
          <w:p w14:paraId="34AD3B27" w14:textId="77777777" w:rsidR="00A50046" w:rsidRPr="006F0C58" w:rsidRDefault="00A50046" w:rsidP="00A50046">
            <w:pPr>
              <w:keepLines w:val="0"/>
              <w:widowControl/>
              <w:rPr>
                <w:rFonts w:ascii="Cambria" w:hAnsi="Cambria"/>
                <w:bCs/>
                <w:sz w:val="20"/>
                <w:lang w:val="es-ES"/>
              </w:rPr>
            </w:pPr>
            <w:r w:rsidRPr="006F0C58">
              <w:rPr>
                <w:rFonts w:ascii="Cambria" w:hAnsi="Cambria"/>
                <w:bCs/>
                <w:sz w:val="20"/>
              </w:rPr>
              <w:t>Crédito Fiscal Grupo consolidable (25% B.I.) (véase Nota 10.1)</w:t>
            </w:r>
          </w:p>
        </w:tc>
        <w:tc>
          <w:tcPr>
            <w:tcW w:w="1134" w:type="dxa"/>
            <w:tcBorders>
              <w:top w:val="nil"/>
              <w:left w:val="nil"/>
              <w:bottom w:val="single" w:sz="8" w:space="0" w:color="auto"/>
              <w:right w:val="nil"/>
            </w:tcBorders>
            <w:shd w:val="clear" w:color="000000" w:fill="FFFFFF"/>
            <w:vAlign w:val="bottom"/>
          </w:tcPr>
          <w:p w14:paraId="74C32666" w14:textId="1EF07E47" w:rsidR="00A50046" w:rsidRPr="006F0C58" w:rsidRDefault="004370FC" w:rsidP="00064EC8">
            <w:pPr>
              <w:keepLines w:val="0"/>
              <w:widowControl/>
              <w:jc w:val="right"/>
              <w:rPr>
                <w:rFonts w:ascii="Cambria" w:hAnsi="Cambria"/>
                <w:bCs/>
                <w:sz w:val="20"/>
                <w:lang w:val="es-ES"/>
              </w:rPr>
            </w:pPr>
            <w:r>
              <w:rPr>
                <w:rFonts w:ascii="Cambria" w:hAnsi="Cambria"/>
                <w:bCs/>
                <w:sz w:val="20"/>
                <w:lang w:val="es-ES"/>
              </w:rPr>
              <w:t>(</w:t>
            </w:r>
            <w:r w:rsidR="00064EC8">
              <w:rPr>
                <w:rFonts w:ascii="Cambria" w:hAnsi="Cambria"/>
                <w:bCs/>
                <w:sz w:val="20"/>
                <w:lang w:val="es-ES"/>
              </w:rPr>
              <w:t>1.</w:t>
            </w:r>
            <w:r w:rsidR="001D445E">
              <w:rPr>
                <w:rFonts w:ascii="Cambria" w:hAnsi="Cambria"/>
                <w:bCs/>
                <w:sz w:val="20"/>
                <w:lang w:val="es-ES"/>
              </w:rPr>
              <w:t>553</w:t>
            </w:r>
            <w:r>
              <w:rPr>
                <w:rFonts w:ascii="Cambria" w:hAnsi="Cambria"/>
                <w:bCs/>
                <w:sz w:val="20"/>
                <w:lang w:val="es-ES"/>
              </w:rPr>
              <w:t>)</w:t>
            </w:r>
          </w:p>
        </w:tc>
        <w:tc>
          <w:tcPr>
            <w:tcW w:w="1147" w:type="dxa"/>
            <w:tcBorders>
              <w:top w:val="nil"/>
              <w:left w:val="single" w:sz="4" w:space="0" w:color="auto"/>
              <w:bottom w:val="single" w:sz="4" w:space="0" w:color="auto"/>
              <w:right w:val="single" w:sz="4" w:space="0" w:color="auto"/>
            </w:tcBorders>
            <w:shd w:val="clear" w:color="000000" w:fill="FFFFFF"/>
            <w:vAlign w:val="bottom"/>
          </w:tcPr>
          <w:p w14:paraId="5C9DB1A4" w14:textId="717F5E2D" w:rsidR="00A50046" w:rsidRPr="006F0C58" w:rsidRDefault="00A50046" w:rsidP="00E51C7F">
            <w:pPr>
              <w:keepLines w:val="0"/>
              <w:widowControl/>
              <w:jc w:val="center"/>
              <w:rPr>
                <w:rFonts w:ascii="Cambria" w:hAnsi="Cambria"/>
                <w:bCs/>
                <w:sz w:val="20"/>
                <w:lang w:val="es-ES"/>
              </w:rPr>
            </w:pPr>
            <w:r w:rsidRPr="006F0C58">
              <w:rPr>
                <w:rFonts w:ascii="Cambria" w:hAnsi="Cambria"/>
                <w:bCs/>
                <w:sz w:val="20"/>
                <w:lang w:val="es-ES"/>
              </w:rPr>
              <w:t>-</w:t>
            </w:r>
          </w:p>
        </w:tc>
      </w:tr>
    </w:tbl>
    <w:p w14:paraId="49E8BF0E" w14:textId="77777777" w:rsidR="004701A0" w:rsidRDefault="004701A0" w:rsidP="001B2B25">
      <w:pPr>
        <w:pStyle w:val="Listaconnmeros"/>
        <w:ind w:left="426" w:firstLine="0"/>
        <w:rPr>
          <w:rFonts w:ascii="Cambria" w:hAnsi="Cambria"/>
          <w:sz w:val="24"/>
          <w:szCs w:val="24"/>
          <w:highlight w:val="yellow"/>
        </w:rPr>
      </w:pPr>
    </w:p>
    <w:p w14:paraId="0A20EB82" w14:textId="621EC304" w:rsidR="00A54435" w:rsidRPr="0034384E" w:rsidRDefault="001B2B25" w:rsidP="00914AD1">
      <w:pPr>
        <w:pStyle w:val="Listaconnmeros"/>
        <w:shd w:val="clear" w:color="auto" w:fill="FFFFFF" w:themeFill="background1"/>
        <w:ind w:left="426" w:firstLine="0"/>
        <w:rPr>
          <w:rFonts w:ascii="Cambria" w:hAnsi="Cambria"/>
          <w:sz w:val="24"/>
          <w:szCs w:val="24"/>
        </w:rPr>
      </w:pPr>
      <w:r w:rsidRPr="0034384E">
        <w:rPr>
          <w:rFonts w:ascii="Cambria" w:hAnsi="Cambria"/>
          <w:sz w:val="24"/>
          <w:szCs w:val="24"/>
        </w:rPr>
        <w:t xml:space="preserve">A efectos de tributación por el Impuesto sobre Sociedades, Cofivacasa forma parte del Grupo Consolidado Fiscal nº 9/86, formado por S.E.P.I. (Sociedad Estatal de Participaciones Industriales) y las sociedades residentes en territorio español, </w:t>
      </w:r>
      <w:r w:rsidR="00A54435" w:rsidRPr="0034384E">
        <w:rPr>
          <w:rFonts w:ascii="Cambria" w:hAnsi="Cambria"/>
          <w:sz w:val="24"/>
          <w:szCs w:val="24"/>
        </w:rPr>
        <w:t xml:space="preserve">en las que posee una participación directa o indirecta  superior al 75% y la mayoría de los derechos de voto, conforme </w:t>
      </w:r>
      <w:r w:rsidR="000D1F87" w:rsidRPr="0034384E">
        <w:rPr>
          <w:rFonts w:ascii="Cambria" w:hAnsi="Cambria"/>
          <w:sz w:val="24"/>
          <w:szCs w:val="24"/>
        </w:rPr>
        <w:t>a lo dispuesto en el art. 58 de la Ley 27/2014, del Impuesto sobre Sociedades</w:t>
      </w:r>
      <w:r w:rsidR="00A54435" w:rsidRPr="0034384E">
        <w:rPr>
          <w:rFonts w:ascii="Cambria" w:hAnsi="Cambria"/>
          <w:sz w:val="24"/>
          <w:szCs w:val="24"/>
        </w:rPr>
        <w:t>.</w:t>
      </w:r>
    </w:p>
    <w:p w14:paraId="2BF78BB7" w14:textId="77777777" w:rsidR="001B2B25" w:rsidRPr="0034384E" w:rsidRDefault="001B2B25" w:rsidP="001B2B25">
      <w:pPr>
        <w:pStyle w:val="Listaconnmeros"/>
        <w:ind w:left="426" w:firstLine="0"/>
        <w:rPr>
          <w:rFonts w:ascii="Cambria" w:hAnsi="Cambria"/>
          <w:sz w:val="24"/>
          <w:szCs w:val="24"/>
          <w:lang w:val="es-ES"/>
        </w:rPr>
      </w:pPr>
    </w:p>
    <w:p w14:paraId="52B7A980" w14:textId="5C2A868F" w:rsidR="001B2B25" w:rsidRDefault="001B2B25" w:rsidP="0034384E">
      <w:pPr>
        <w:pStyle w:val="Listaconnmeros"/>
        <w:shd w:val="clear" w:color="auto" w:fill="FFFFFF" w:themeFill="background1"/>
        <w:ind w:left="426" w:firstLine="0"/>
        <w:rPr>
          <w:rFonts w:ascii="Cambria" w:eastAsia="Batang" w:hAnsi="Cambria"/>
          <w:sz w:val="24"/>
          <w:szCs w:val="24"/>
        </w:rPr>
      </w:pPr>
      <w:r w:rsidRPr="00137DA6">
        <w:rPr>
          <w:rFonts w:ascii="Cambria" w:hAnsi="Cambria"/>
          <w:sz w:val="24"/>
          <w:szCs w:val="24"/>
          <w:shd w:val="clear" w:color="auto" w:fill="FFFFFF" w:themeFill="background1"/>
        </w:rPr>
        <w:t xml:space="preserve">La aplicación del régimen de tributación consolidada supone, de una parte, la imposibilidad de conservar individualmente los créditos fiscales generados en el ejercicio, al integrarse en la entidad dominante (Sociedad Estatal de Participaciones Industriales) y, de otra, el derecho a obtener una compensación por los créditos fiscales incorporados a la consolidación. </w:t>
      </w:r>
      <w:r w:rsidR="00E51C7F" w:rsidRPr="00C54007">
        <w:rPr>
          <w:rFonts w:ascii="Cambria" w:hAnsi="Cambria"/>
          <w:sz w:val="24"/>
          <w:szCs w:val="24"/>
        </w:rPr>
        <w:t>Esta compensación para el ejercicio 20</w:t>
      </w:r>
      <w:r w:rsidR="00E51C7F">
        <w:rPr>
          <w:rFonts w:ascii="Cambria" w:hAnsi="Cambria"/>
          <w:sz w:val="24"/>
          <w:szCs w:val="24"/>
        </w:rPr>
        <w:t xml:space="preserve">20 </w:t>
      </w:r>
      <w:r w:rsidR="00E51C7F" w:rsidRPr="004370FC">
        <w:rPr>
          <w:rFonts w:ascii="Cambria" w:hAnsi="Cambria"/>
          <w:sz w:val="24"/>
          <w:szCs w:val="24"/>
        </w:rPr>
        <w:t xml:space="preserve">asciende a </w:t>
      </w:r>
      <w:r w:rsidR="004370FC" w:rsidRPr="004370FC">
        <w:rPr>
          <w:rFonts w:ascii="Cambria" w:hAnsi="Cambria"/>
          <w:sz w:val="24"/>
          <w:szCs w:val="24"/>
        </w:rPr>
        <w:t>1.</w:t>
      </w:r>
      <w:r w:rsidR="004F3FF9">
        <w:rPr>
          <w:rFonts w:ascii="Cambria" w:hAnsi="Cambria"/>
          <w:sz w:val="24"/>
          <w:szCs w:val="24"/>
        </w:rPr>
        <w:t>553</w:t>
      </w:r>
      <w:r w:rsidR="004F3FF9" w:rsidRPr="004370FC">
        <w:rPr>
          <w:rFonts w:ascii="Cambria" w:hAnsi="Cambria"/>
          <w:sz w:val="24"/>
          <w:szCs w:val="24"/>
        </w:rPr>
        <w:t xml:space="preserve"> </w:t>
      </w:r>
      <w:r w:rsidR="00E51C7F" w:rsidRPr="004370FC">
        <w:rPr>
          <w:rFonts w:ascii="Cambria" w:hAnsi="Cambria"/>
          <w:sz w:val="24"/>
          <w:szCs w:val="24"/>
        </w:rPr>
        <w:t>miles de euros, en</w:t>
      </w:r>
      <w:r w:rsidR="00E51C7F" w:rsidRPr="00C54007">
        <w:rPr>
          <w:rFonts w:ascii="Cambria" w:hAnsi="Cambria"/>
          <w:sz w:val="24"/>
          <w:szCs w:val="24"/>
        </w:rPr>
        <w:t xml:space="preserve"> concepto de crédito </w:t>
      </w:r>
      <w:r w:rsidR="00E51C7F" w:rsidRPr="004370FC">
        <w:rPr>
          <w:rFonts w:ascii="Cambria" w:hAnsi="Cambria"/>
          <w:sz w:val="24"/>
          <w:szCs w:val="24"/>
        </w:rPr>
        <w:t xml:space="preserve">fiscal. </w:t>
      </w:r>
      <w:r w:rsidR="00014762">
        <w:rPr>
          <w:rFonts w:ascii="Cambria" w:hAnsi="Cambria"/>
          <w:sz w:val="24"/>
          <w:szCs w:val="24"/>
        </w:rPr>
        <w:t>La</w:t>
      </w:r>
      <w:r w:rsidRPr="004370FC">
        <w:rPr>
          <w:rFonts w:ascii="Cambria" w:hAnsi="Cambria"/>
          <w:sz w:val="24"/>
          <w:szCs w:val="24"/>
          <w:shd w:val="clear" w:color="auto" w:fill="FFFFFF" w:themeFill="background1"/>
        </w:rPr>
        <w:t xml:space="preserve"> compensación para el ejercicio 201</w:t>
      </w:r>
      <w:r w:rsidR="00A50046" w:rsidRPr="004370FC">
        <w:rPr>
          <w:rFonts w:ascii="Cambria" w:hAnsi="Cambria"/>
          <w:sz w:val="24"/>
          <w:szCs w:val="24"/>
          <w:shd w:val="clear" w:color="auto" w:fill="FFFFFF" w:themeFill="background1"/>
        </w:rPr>
        <w:t>9</w:t>
      </w:r>
      <w:r w:rsidR="00014762">
        <w:rPr>
          <w:rFonts w:ascii="Cambria" w:hAnsi="Cambria"/>
          <w:sz w:val="24"/>
          <w:szCs w:val="24"/>
          <w:shd w:val="clear" w:color="auto" w:fill="FFFFFF" w:themeFill="background1"/>
        </w:rPr>
        <w:t xml:space="preserve"> </w:t>
      </w:r>
      <w:r w:rsidR="00014762">
        <w:rPr>
          <w:rFonts w:ascii="Cambria" w:eastAsia="Batang" w:hAnsi="Cambria"/>
          <w:sz w:val="24"/>
          <w:szCs w:val="24"/>
        </w:rPr>
        <w:t>de bases imponibles negativas aportadas al Grupo Consolidado Fiscal</w:t>
      </w:r>
      <w:r w:rsidR="00CD5FFE" w:rsidRPr="004370FC">
        <w:rPr>
          <w:rFonts w:ascii="Cambria" w:hAnsi="Cambria"/>
          <w:sz w:val="24"/>
          <w:szCs w:val="24"/>
          <w:shd w:val="clear" w:color="auto" w:fill="FFFFFF" w:themeFill="background1"/>
        </w:rPr>
        <w:t xml:space="preserve"> </w:t>
      </w:r>
      <w:r w:rsidR="00A50046" w:rsidRPr="004370FC">
        <w:rPr>
          <w:rFonts w:ascii="Cambria" w:eastAsia="Batang" w:hAnsi="Cambria"/>
          <w:sz w:val="24"/>
          <w:szCs w:val="24"/>
        </w:rPr>
        <w:t>implicó la recompra de los créditos fiscales correspondientes, por un importe de 162 miles de euros</w:t>
      </w:r>
      <w:r w:rsidR="00CD5FFE" w:rsidRPr="004370FC">
        <w:rPr>
          <w:rFonts w:ascii="Cambria" w:eastAsia="Batang" w:hAnsi="Cambria"/>
          <w:sz w:val="24"/>
          <w:szCs w:val="24"/>
        </w:rPr>
        <w:t>.</w:t>
      </w:r>
      <w:r w:rsidR="00CD5FFE" w:rsidRPr="00137DA6">
        <w:rPr>
          <w:rFonts w:ascii="Cambria" w:eastAsia="Batang" w:hAnsi="Cambria"/>
          <w:sz w:val="24"/>
          <w:szCs w:val="24"/>
        </w:rPr>
        <w:t xml:space="preserve"> </w:t>
      </w:r>
    </w:p>
    <w:p w14:paraId="253DDCAB" w14:textId="77777777" w:rsidR="006C235E" w:rsidRDefault="006C235E" w:rsidP="006C235E">
      <w:pPr>
        <w:pStyle w:val="Lista"/>
        <w:rPr>
          <w:rFonts w:eastAsia="Batang"/>
        </w:rPr>
      </w:pPr>
    </w:p>
    <w:p w14:paraId="5B5DAC50" w14:textId="63AAE871" w:rsidR="00747ADD" w:rsidRDefault="00747ADD" w:rsidP="0034384E">
      <w:pPr>
        <w:pStyle w:val="Listaconnmeros"/>
        <w:shd w:val="clear" w:color="auto" w:fill="FFFFFF" w:themeFill="background1"/>
        <w:ind w:left="426" w:firstLine="0"/>
        <w:rPr>
          <w:rFonts w:ascii="Cambria" w:hAnsi="Cambria"/>
          <w:sz w:val="24"/>
          <w:szCs w:val="24"/>
        </w:rPr>
      </w:pPr>
      <w:r w:rsidRPr="00C54007">
        <w:rPr>
          <w:rFonts w:ascii="Cambria" w:hAnsi="Cambria"/>
          <w:sz w:val="24"/>
          <w:szCs w:val="24"/>
        </w:rPr>
        <w:t>En el ejercicio 20</w:t>
      </w:r>
      <w:r w:rsidR="006847C7">
        <w:rPr>
          <w:rFonts w:ascii="Cambria" w:hAnsi="Cambria"/>
          <w:sz w:val="24"/>
          <w:szCs w:val="24"/>
        </w:rPr>
        <w:t>20</w:t>
      </w:r>
      <w:r w:rsidRPr="00C54007">
        <w:rPr>
          <w:rFonts w:ascii="Cambria" w:hAnsi="Cambria"/>
          <w:sz w:val="24"/>
          <w:szCs w:val="24"/>
        </w:rPr>
        <w:t xml:space="preserve">, se realizan ajustes </w:t>
      </w:r>
      <w:r w:rsidR="009A7F53">
        <w:rPr>
          <w:rFonts w:ascii="Cambria" w:hAnsi="Cambria"/>
          <w:sz w:val="24"/>
          <w:szCs w:val="24"/>
        </w:rPr>
        <w:t xml:space="preserve">extracontables </w:t>
      </w:r>
      <w:r w:rsidRPr="00C54007">
        <w:rPr>
          <w:rFonts w:ascii="Cambria" w:hAnsi="Cambria"/>
          <w:sz w:val="24"/>
          <w:szCs w:val="24"/>
        </w:rPr>
        <w:t>positivos y negativos, como consecuencia de la dotación contable de distintas provisiones, tratándose de diferencias</w:t>
      </w:r>
      <w:r w:rsidR="002D6B88">
        <w:rPr>
          <w:rFonts w:ascii="Cambria" w:hAnsi="Cambria"/>
          <w:sz w:val="24"/>
          <w:szCs w:val="24"/>
        </w:rPr>
        <w:t xml:space="preserve"> permanentes positivas y negativas, de diferencias</w:t>
      </w:r>
      <w:r w:rsidRPr="00C54007">
        <w:rPr>
          <w:rFonts w:ascii="Cambria" w:hAnsi="Cambria"/>
          <w:sz w:val="24"/>
          <w:szCs w:val="24"/>
        </w:rPr>
        <w:t xml:space="preserve"> temporarias deducibles en origen, o bien, de diferencias temporarias deducibles en reversión. </w:t>
      </w:r>
    </w:p>
    <w:p w14:paraId="7D206A90" w14:textId="77777777" w:rsidR="002D6B88" w:rsidRDefault="002D6B88" w:rsidP="002D6B88">
      <w:pPr>
        <w:pStyle w:val="Lista"/>
      </w:pPr>
    </w:p>
    <w:p w14:paraId="5FA50C79" w14:textId="4D4B6C15" w:rsidR="002D6B88" w:rsidRPr="002D6B88" w:rsidRDefault="002D6B88" w:rsidP="002D6B88">
      <w:pPr>
        <w:pStyle w:val="Listaconnmeros"/>
        <w:ind w:left="426" w:firstLine="0"/>
        <w:rPr>
          <w:rFonts w:ascii="Cambria" w:hAnsi="Cambria"/>
          <w:sz w:val="24"/>
          <w:szCs w:val="24"/>
        </w:rPr>
      </w:pPr>
      <w:r w:rsidRPr="002D6B88">
        <w:rPr>
          <w:rFonts w:ascii="Cambria" w:hAnsi="Cambria"/>
          <w:sz w:val="24"/>
          <w:szCs w:val="24"/>
        </w:rPr>
        <w:t xml:space="preserve">Las diferencias permanentes </w:t>
      </w:r>
      <w:r w:rsidR="009A7F53">
        <w:rPr>
          <w:rFonts w:ascii="Cambria" w:hAnsi="Cambria"/>
          <w:sz w:val="24"/>
          <w:szCs w:val="24"/>
        </w:rPr>
        <w:t xml:space="preserve">surgen como consecuencia de la no deducibilidad de las </w:t>
      </w:r>
      <w:r>
        <w:rPr>
          <w:rFonts w:ascii="Cambria" w:hAnsi="Cambria"/>
          <w:sz w:val="24"/>
          <w:szCs w:val="24"/>
        </w:rPr>
        <w:t xml:space="preserve"> dotaciones de provisiones por recargos de prestaciones </w:t>
      </w:r>
      <w:r w:rsidR="004F3FF9">
        <w:rPr>
          <w:rFonts w:ascii="Cambria" w:hAnsi="Cambria"/>
          <w:sz w:val="24"/>
          <w:szCs w:val="24"/>
        </w:rPr>
        <w:t>asociados a pleitos de</w:t>
      </w:r>
      <w:r>
        <w:rPr>
          <w:rFonts w:ascii="Cambria" w:hAnsi="Cambria"/>
          <w:sz w:val="24"/>
          <w:szCs w:val="24"/>
        </w:rPr>
        <w:t xml:space="preserve"> asbestosis </w:t>
      </w:r>
      <w:r w:rsidR="004F3FF9">
        <w:rPr>
          <w:rFonts w:ascii="Cambria" w:hAnsi="Cambria"/>
          <w:sz w:val="24"/>
          <w:szCs w:val="24"/>
        </w:rPr>
        <w:t xml:space="preserve">e integración en plantilla </w:t>
      </w:r>
      <w:r>
        <w:rPr>
          <w:rFonts w:ascii="Cambria" w:hAnsi="Cambria"/>
          <w:sz w:val="24"/>
          <w:szCs w:val="24"/>
        </w:rPr>
        <w:t xml:space="preserve">(positivas) o por desdotaciones o aplicaciones  de provisiones </w:t>
      </w:r>
      <w:r w:rsidR="004F3FF9">
        <w:rPr>
          <w:rFonts w:ascii="Cambria" w:hAnsi="Cambria"/>
          <w:sz w:val="24"/>
          <w:szCs w:val="24"/>
        </w:rPr>
        <w:t xml:space="preserve">por recargos de prestaciones asociados a pleitos de asbestosis </w:t>
      </w:r>
      <w:r>
        <w:rPr>
          <w:rFonts w:ascii="Cambria" w:hAnsi="Cambria"/>
          <w:sz w:val="24"/>
          <w:szCs w:val="24"/>
        </w:rPr>
        <w:t>(negativas).</w:t>
      </w:r>
    </w:p>
    <w:p w14:paraId="5BFD5EF0" w14:textId="2EA43229" w:rsidR="006847C7" w:rsidRDefault="006847C7">
      <w:pPr>
        <w:keepLines w:val="0"/>
        <w:widowControl/>
        <w:jc w:val="left"/>
      </w:pPr>
      <w:r>
        <w:br w:type="page"/>
      </w:r>
    </w:p>
    <w:p w14:paraId="6C251314" w14:textId="77777777" w:rsidR="00CD5FFE" w:rsidRDefault="00CD5FFE" w:rsidP="00CD5FFE">
      <w:pPr>
        <w:pStyle w:val="Lista"/>
      </w:pPr>
    </w:p>
    <w:p w14:paraId="4B01485E" w14:textId="068F9076" w:rsidR="00D81ABB" w:rsidRPr="006847C7" w:rsidRDefault="00D81ABB" w:rsidP="00D81ABB">
      <w:pPr>
        <w:pStyle w:val="Listaconnmeros"/>
        <w:shd w:val="clear" w:color="auto" w:fill="FFFFFF" w:themeFill="background1"/>
        <w:ind w:left="426" w:firstLine="0"/>
        <w:rPr>
          <w:rFonts w:ascii="Cambria" w:hAnsi="Cambria"/>
          <w:sz w:val="24"/>
          <w:szCs w:val="24"/>
          <w:highlight w:val="yellow"/>
        </w:rPr>
      </w:pPr>
      <w:r w:rsidRPr="00CD5FFE">
        <w:rPr>
          <w:rFonts w:ascii="Cambria" w:hAnsi="Cambria"/>
          <w:sz w:val="24"/>
          <w:szCs w:val="24"/>
          <w:shd w:val="clear" w:color="auto" w:fill="FFFFFF" w:themeFill="background1"/>
        </w:rPr>
        <w:t>Las diferencias te</w:t>
      </w:r>
      <w:r>
        <w:rPr>
          <w:rFonts w:ascii="Cambria" w:hAnsi="Cambria"/>
          <w:sz w:val="24"/>
          <w:szCs w:val="24"/>
          <w:shd w:val="clear" w:color="auto" w:fill="FFFFFF" w:themeFill="background1"/>
        </w:rPr>
        <w:t xml:space="preserve">mporarias deducibles en origen </w:t>
      </w:r>
      <w:r w:rsidRPr="00CD5FFE">
        <w:rPr>
          <w:rFonts w:ascii="Cambria" w:hAnsi="Cambria"/>
          <w:sz w:val="24"/>
          <w:szCs w:val="24"/>
          <w:shd w:val="clear" w:color="auto" w:fill="FFFFFF" w:themeFill="background1"/>
        </w:rPr>
        <w:t xml:space="preserve">surgen como consecuencia de la dotación de las siguientes provisiones: </w:t>
      </w:r>
      <w:r w:rsidRPr="00DE37BA">
        <w:rPr>
          <w:rFonts w:ascii="Cambria" w:hAnsi="Cambria"/>
          <w:sz w:val="24"/>
          <w:szCs w:val="24"/>
          <w:shd w:val="clear" w:color="auto" w:fill="FFFFFF" w:themeFill="background1"/>
        </w:rPr>
        <w:t xml:space="preserve">(i) dotación de </w:t>
      </w:r>
      <w:r w:rsidRPr="00DE37BA">
        <w:rPr>
          <w:rFonts w:ascii="Cambria" w:hAnsi="Cambria"/>
          <w:sz w:val="24"/>
          <w:szCs w:val="24"/>
        </w:rPr>
        <w:t xml:space="preserve">provisión para la regularización de las pólizas 111 y 112 de </w:t>
      </w:r>
      <w:r w:rsidR="00F55135" w:rsidRPr="00DE37BA">
        <w:rPr>
          <w:rFonts w:ascii="Cambria" w:hAnsi="Cambria"/>
          <w:sz w:val="24"/>
          <w:szCs w:val="24"/>
        </w:rPr>
        <w:t xml:space="preserve">la sociedad extinguida ACENOR por importe de </w:t>
      </w:r>
      <w:r w:rsidR="00DE37BA">
        <w:rPr>
          <w:rFonts w:ascii="Cambria" w:hAnsi="Cambria"/>
          <w:sz w:val="24"/>
          <w:szCs w:val="24"/>
        </w:rPr>
        <w:t>154</w:t>
      </w:r>
      <w:r w:rsidR="00F55135" w:rsidRPr="00DE37BA">
        <w:rPr>
          <w:rFonts w:ascii="Cambria" w:hAnsi="Cambria"/>
          <w:sz w:val="24"/>
          <w:szCs w:val="24"/>
        </w:rPr>
        <w:t xml:space="preserve"> miles de euros </w:t>
      </w:r>
      <w:r w:rsidRPr="00DE37BA">
        <w:rPr>
          <w:rFonts w:ascii="Cambria" w:hAnsi="Cambria"/>
          <w:sz w:val="24"/>
          <w:szCs w:val="24"/>
        </w:rPr>
        <w:t xml:space="preserve">(ii) la dotación por importe de </w:t>
      </w:r>
      <w:r w:rsidR="00F55135" w:rsidRPr="00DE37BA">
        <w:rPr>
          <w:rFonts w:ascii="Cambria" w:hAnsi="Cambria"/>
          <w:sz w:val="24"/>
          <w:szCs w:val="24"/>
        </w:rPr>
        <w:t>21</w:t>
      </w:r>
      <w:r w:rsidRPr="00DE37BA">
        <w:rPr>
          <w:rFonts w:ascii="Cambria" w:hAnsi="Cambria"/>
          <w:sz w:val="24"/>
          <w:szCs w:val="24"/>
        </w:rPr>
        <w:t xml:space="preserve"> miles de euros correspondiente a la provisión </w:t>
      </w:r>
      <w:r w:rsidR="00DE37BA" w:rsidRPr="00DE37BA">
        <w:rPr>
          <w:rFonts w:ascii="Cambria" w:hAnsi="Cambria"/>
          <w:sz w:val="24"/>
          <w:szCs w:val="24"/>
        </w:rPr>
        <w:t xml:space="preserve">para la restauración de la mina de la sociedad </w:t>
      </w:r>
      <w:r w:rsidR="00014762">
        <w:rPr>
          <w:rFonts w:ascii="Cambria" w:hAnsi="Cambria"/>
          <w:sz w:val="24"/>
          <w:szCs w:val="24"/>
        </w:rPr>
        <w:t xml:space="preserve">absorbida </w:t>
      </w:r>
      <w:r w:rsidR="00DE37BA" w:rsidRPr="00DE37BA">
        <w:rPr>
          <w:rFonts w:ascii="Cambria" w:hAnsi="Cambria"/>
          <w:sz w:val="24"/>
          <w:szCs w:val="24"/>
        </w:rPr>
        <w:t>PRESUR, S.A</w:t>
      </w:r>
      <w:r w:rsidR="00DE37BA">
        <w:rPr>
          <w:rFonts w:ascii="Cambria" w:hAnsi="Cambria"/>
          <w:sz w:val="24"/>
          <w:szCs w:val="24"/>
        </w:rPr>
        <w:t>.</w:t>
      </w:r>
      <w:r w:rsidR="00F55135" w:rsidRPr="006847C7">
        <w:rPr>
          <w:rFonts w:ascii="Cambria" w:hAnsi="Cambria"/>
          <w:sz w:val="24"/>
          <w:szCs w:val="24"/>
          <w:highlight w:val="yellow"/>
        </w:rPr>
        <w:t xml:space="preserve"> </w:t>
      </w:r>
    </w:p>
    <w:p w14:paraId="7DCA4408" w14:textId="77777777" w:rsidR="00CD5FFE" w:rsidRPr="006847C7" w:rsidRDefault="00CD5FFE" w:rsidP="00CD5FFE">
      <w:pPr>
        <w:pStyle w:val="Lista"/>
        <w:rPr>
          <w:highlight w:val="yellow"/>
        </w:rPr>
      </w:pPr>
    </w:p>
    <w:p w14:paraId="792E9703" w14:textId="49FDDCCB" w:rsidR="00306FEF" w:rsidRPr="00DC6522" w:rsidRDefault="00306FEF" w:rsidP="00306FEF">
      <w:pPr>
        <w:pStyle w:val="Listaconnmeros"/>
        <w:ind w:left="426" w:firstLine="0"/>
        <w:rPr>
          <w:rFonts w:ascii="Cambria" w:hAnsi="Cambria"/>
          <w:sz w:val="24"/>
          <w:szCs w:val="24"/>
        </w:rPr>
      </w:pPr>
      <w:r w:rsidRPr="00DE37BA">
        <w:rPr>
          <w:rFonts w:ascii="Cambria" w:hAnsi="Cambria"/>
          <w:sz w:val="24"/>
          <w:szCs w:val="24"/>
        </w:rPr>
        <w:t>Por otra parte, la diferencias temporarias deducibles en reversión  correspondientes al ejercicio 20</w:t>
      </w:r>
      <w:r w:rsidR="00DE37BA">
        <w:rPr>
          <w:rFonts w:ascii="Cambria" w:hAnsi="Cambria"/>
          <w:sz w:val="24"/>
          <w:szCs w:val="24"/>
        </w:rPr>
        <w:t>20</w:t>
      </w:r>
      <w:r w:rsidRPr="00DE37BA">
        <w:rPr>
          <w:rFonts w:ascii="Cambria" w:hAnsi="Cambria"/>
          <w:sz w:val="24"/>
          <w:szCs w:val="24"/>
        </w:rPr>
        <w:t xml:space="preserve"> surgen de la aplicación de las siguientes provisiones: (i) provisión por los pagos realizados al personal pasivo adherido al ERE 2005 de la sociedad absorbida PRESUR, S.A., , siendo el ajuste negativo por </w:t>
      </w:r>
      <w:r w:rsidRPr="00DC6522">
        <w:rPr>
          <w:rFonts w:ascii="Cambria" w:hAnsi="Cambria"/>
          <w:sz w:val="24"/>
          <w:szCs w:val="24"/>
        </w:rPr>
        <w:t>un total de 1.</w:t>
      </w:r>
      <w:r w:rsidR="00DE37BA" w:rsidRPr="00DC6522">
        <w:rPr>
          <w:rFonts w:ascii="Cambria" w:hAnsi="Cambria"/>
          <w:sz w:val="24"/>
          <w:szCs w:val="24"/>
        </w:rPr>
        <w:t>871</w:t>
      </w:r>
      <w:r w:rsidRPr="00DC6522">
        <w:rPr>
          <w:rFonts w:ascii="Cambria" w:hAnsi="Cambria"/>
          <w:sz w:val="24"/>
          <w:szCs w:val="24"/>
        </w:rPr>
        <w:t xml:space="preserve"> miles de euros; (ii) ajuste negativo por los pagos realizados para el mantenimiento de los equipos de la extinta filial ETM, por importe de 2</w:t>
      </w:r>
      <w:r w:rsidR="00DE37BA" w:rsidRPr="00DC6522">
        <w:rPr>
          <w:rFonts w:ascii="Cambria" w:hAnsi="Cambria"/>
          <w:sz w:val="24"/>
          <w:szCs w:val="24"/>
        </w:rPr>
        <w:t>4</w:t>
      </w:r>
      <w:r w:rsidRPr="00DC6522">
        <w:rPr>
          <w:rFonts w:ascii="Cambria" w:hAnsi="Cambria"/>
          <w:sz w:val="24"/>
          <w:szCs w:val="24"/>
        </w:rPr>
        <w:t xml:space="preserve"> miles de euros; (iii) de la aplicación de la provisión dotada para hacer frente a los pagos por pensiones del personal prejubilado procedente de AHV-Ensidesa Capital (AEC), siendo el ajuste negativo por </w:t>
      </w:r>
      <w:r w:rsidR="00DE37BA" w:rsidRPr="00DC6522">
        <w:rPr>
          <w:rFonts w:ascii="Cambria" w:hAnsi="Cambria"/>
          <w:sz w:val="24"/>
          <w:szCs w:val="24"/>
        </w:rPr>
        <w:t>241</w:t>
      </w:r>
      <w:r w:rsidRPr="00DC6522">
        <w:rPr>
          <w:rFonts w:ascii="Cambria" w:hAnsi="Cambria"/>
          <w:sz w:val="24"/>
          <w:szCs w:val="24"/>
        </w:rPr>
        <w:t xml:space="preserve"> miles de euros; (iv) provisión para la restauración de la mina de la sociedad PRESUR, S.A, siendo el ajuste de 2</w:t>
      </w:r>
      <w:r w:rsidR="00DE37BA" w:rsidRPr="00DC6522">
        <w:rPr>
          <w:rFonts w:ascii="Cambria" w:hAnsi="Cambria"/>
          <w:sz w:val="24"/>
          <w:szCs w:val="24"/>
        </w:rPr>
        <w:t>36</w:t>
      </w:r>
      <w:r w:rsidRPr="00DC6522">
        <w:rPr>
          <w:rFonts w:ascii="Cambria" w:hAnsi="Cambria"/>
          <w:sz w:val="24"/>
          <w:szCs w:val="24"/>
        </w:rPr>
        <w:t xml:space="preserve"> miles de euros</w:t>
      </w:r>
      <w:r w:rsidR="00DE37BA" w:rsidRPr="00DC6522">
        <w:rPr>
          <w:rFonts w:ascii="Cambria" w:hAnsi="Cambria"/>
          <w:sz w:val="24"/>
          <w:szCs w:val="24"/>
        </w:rPr>
        <w:t>.</w:t>
      </w:r>
    </w:p>
    <w:p w14:paraId="7BA4B7DD" w14:textId="77777777" w:rsidR="00306FEF" w:rsidRDefault="00306FEF" w:rsidP="00CD5FFE">
      <w:pPr>
        <w:pStyle w:val="Lista"/>
      </w:pPr>
    </w:p>
    <w:p w14:paraId="2E0BBD98" w14:textId="22733C46" w:rsidR="00A50046" w:rsidRDefault="00A50046" w:rsidP="00A50046">
      <w:pPr>
        <w:pStyle w:val="Listaconnmeros"/>
        <w:shd w:val="clear" w:color="auto" w:fill="FFFFFF" w:themeFill="background1"/>
        <w:ind w:left="426" w:firstLine="0"/>
        <w:rPr>
          <w:rFonts w:ascii="Cambria" w:hAnsi="Cambria"/>
          <w:sz w:val="24"/>
          <w:szCs w:val="24"/>
        </w:rPr>
      </w:pPr>
      <w:r w:rsidRPr="00C54007">
        <w:rPr>
          <w:rFonts w:ascii="Cambria" w:hAnsi="Cambria"/>
          <w:sz w:val="24"/>
          <w:szCs w:val="24"/>
        </w:rPr>
        <w:t>En el ejercicio 201</w:t>
      </w:r>
      <w:r>
        <w:rPr>
          <w:rFonts w:ascii="Cambria" w:hAnsi="Cambria"/>
          <w:sz w:val="24"/>
          <w:szCs w:val="24"/>
        </w:rPr>
        <w:t>9</w:t>
      </w:r>
      <w:r w:rsidRPr="00C54007">
        <w:rPr>
          <w:rFonts w:ascii="Cambria" w:hAnsi="Cambria"/>
          <w:sz w:val="24"/>
          <w:szCs w:val="24"/>
        </w:rPr>
        <w:t>, se realiza</w:t>
      </w:r>
      <w:r w:rsidR="00561394">
        <w:rPr>
          <w:rFonts w:ascii="Cambria" w:hAnsi="Cambria"/>
          <w:sz w:val="24"/>
          <w:szCs w:val="24"/>
        </w:rPr>
        <w:t>ron</w:t>
      </w:r>
      <w:r w:rsidRPr="00C54007">
        <w:rPr>
          <w:rFonts w:ascii="Cambria" w:hAnsi="Cambria"/>
          <w:sz w:val="24"/>
          <w:szCs w:val="24"/>
        </w:rPr>
        <w:t xml:space="preserve"> ajustes </w:t>
      </w:r>
      <w:r>
        <w:rPr>
          <w:rFonts w:ascii="Cambria" w:hAnsi="Cambria"/>
          <w:sz w:val="24"/>
          <w:szCs w:val="24"/>
        </w:rPr>
        <w:t xml:space="preserve">extracontables </w:t>
      </w:r>
      <w:r w:rsidRPr="00C54007">
        <w:rPr>
          <w:rFonts w:ascii="Cambria" w:hAnsi="Cambria"/>
          <w:sz w:val="24"/>
          <w:szCs w:val="24"/>
        </w:rPr>
        <w:t>positivos y negativos, como consecuencia de la dotación contable de distintas provisiones, tratándose de diferencias</w:t>
      </w:r>
      <w:r>
        <w:rPr>
          <w:rFonts w:ascii="Cambria" w:hAnsi="Cambria"/>
          <w:sz w:val="24"/>
          <w:szCs w:val="24"/>
        </w:rPr>
        <w:t xml:space="preserve"> permanentes positivas y negativas, de diferencias</w:t>
      </w:r>
      <w:r w:rsidRPr="00C54007">
        <w:rPr>
          <w:rFonts w:ascii="Cambria" w:hAnsi="Cambria"/>
          <w:sz w:val="24"/>
          <w:szCs w:val="24"/>
        </w:rPr>
        <w:t xml:space="preserve"> temporarias deducibles en origen, o bien, de diferencias temporarias deducibles en reversión. </w:t>
      </w:r>
    </w:p>
    <w:p w14:paraId="13753DB3" w14:textId="77777777" w:rsidR="00A50046" w:rsidRDefault="00A50046" w:rsidP="00A50046">
      <w:pPr>
        <w:pStyle w:val="Lista"/>
      </w:pPr>
    </w:p>
    <w:p w14:paraId="13CCA876" w14:textId="39DC0F90" w:rsidR="00A50046" w:rsidRPr="002D6B88" w:rsidRDefault="00A50046" w:rsidP="00A50046">
      <w:pPr>
        <w:pStyle w:val="Listaconnmeros"/>
        <w:ind w:left="426" w:firstLine="0"/>
        <w:rPr>
          <w:rFonts w:ascii="Cambria" w:hAnsi="Cambria"/>
          <w:sz w:val="24"/>
          <w:szCs w:val="24"/>
        </w:rPr>
      </w:pPr>
      <w:r w:rsidRPr="002D6B88">
        <w:rPr>
          <w:rFonts w:ascii="Cambria" w:hAnsi="Cambria"/>
          <w:sz w:val="24"/>
          <w:szCs w:val="24"/>
        </w:rPr>
        <w:t xml:space="preserve">Las diferencias permanentes </w:t>
      </w:r>
      <w:r>
        <w:rPr>
          <w:rFonts w:ascii="Cambria" w:hAnsi="Cambria"/>
          <w:sz w:val="24"/>
          <w:szCs w:val="24"/>
        </w:rPr>
        <w:t>surg</w:t>
      </w:r>
      <w:r w:rsidR="00561394">
        <w:rPr>
          <w:rFonts w:ascii="Cambria" w:hAnsi="Cambria"/>
          <w:sz w:val="24"/>
          <w:szCs w:val="24"/>
        </w:rPr>
        <w:t>ieron</w:t>
      </w:r>
      <w:r>
        <w:rPr>
          <w:rFonts w:ascii="Cambria" w:hAnsi="Cambria"/>
          <w:sz w:val="24"/>
          <w:szCs w:val="24"/>
        </w:rPr>
        <w:t xml:space="preserve"> como consecuencia de la no deducibilidad de </w:t>
      </w:r>
      <w:r w:rsidR="000056C5">
        <w:rPr>
          <w:rFonts w:ascii="Cambria" w:hAnsi="Cambria"/>
          <w:sz w:val="24"/>
          <w:szCs w:val="24"/>
        </w:rPr>
        <w:t>las dotaciones</w:t>
      </w:r>
      <w:r>
        <w:rPr>
          <w:rFonts w:ascii="Cambria" w:hAnsi="Cambria"/>
          <w:sz w:val="24"/>
          <w:szCs w:val="24"/>
        </w:rPr>
        <w:t xml:space="preserve"> de provisiones por recargos de prestaciones de asbestosis (positivas) o por desdotaciones o </w:t>
      </w:r>
      <w:r w:rsidR="000056C5">
        <w:rPr>
          <w:rFonts w:ascii="Cambria" w:hAnsi="Cambria"/>
          <w:sz w:val="24"/>
          <w:szCs w:val="24"/>
        </w:rPr>
        <w:t>aplicaciones de</w:t>
      </w:r>
      <w:r>
        <w:rPr>
          <w:rFonts w:ascii="Cambria" w:hAnsi="Cambria"/>
          <w:sz w:val="24"/>
          <w:szCs w:val="24"/>
        </w:rPr>
        <w:t xml:space="preserve"> las citadas provisiones (negativas).</w:t>
      </w:r>
    </w:p>
    <w:p w14:paraId="2D6785B1" w14:textId="77777777" w:rsidR="00A50046" w:rsidRDefault="00A50046" w:rsidP="00A50046">
      <w:pPr>
        <w:pStyle w:val="Lista"/>
      </w:pPr>
    </w:p>
    <w:p w14:paraId="7780B46F" w14:textId="4A4DE1C0" w:rsidR="00A50046" w:rsidRPr="00CD5FFE" w:rsidRDefault="00A50046" w:rsidP="00A50046">
      <w:pPr>
        <w:pStyle w:val="Listaconnmeros"/>
        <w:shd w:val="clear" w:color="auto" w:fill="FFFFFF" w:themeFill="background1"/>
        <w:ind w:left="426" w:firstLine="0"/>
        <w:rPr>
          <w:rFonts w:ascii="Cambria" w:hAnsi="Cambria"/>
          <w:sz w:val="24"/>
          <w:szCs w:val="24"/>
        </w:rPr>
      </w:pPr>
      <w:r w:rsidRPr="00CD5FFE">
        <w:rPr>
          <w:rFonts w:ascii="Cambria" w:hAnsi="Cambria"/>
          <w:sz w:val="24"/>
          <w:szCs w:val="24"/>
          <w:shd w:val="clear" w:color="auto" w:fill="FFFFFF" w:themeFill="background1"/>
        </w:rPr>
        <w:t>Las diferencias te</w:t>
      </w:r>
      <w:r>
        <w:rPr>
          <w:rFonts w:ascii="Cambria" w:hAnsi="Cambria"/>
          <w:sz w:val="24"/>
          <w:szCs w:val="24"/>
          <w:shd w:val="clear" w:color="auto" w:fill="FFFFFF" w:themeFill="background1"/>
        </w:rPr>
        <w:t xml:space="preserve">mporarias deducibles en origen </w:t>
      </w:r>
      <w:r w:rsidRPr="00CD5FFE">
        <w:rPr>
          <w:rFonts w:ascii="Cambria" w:hAnsi="Cambria"/>
          <w:sz w:val="24"/>
          <w:szCs w:val="24"/>
          <w:shd w:val="clear" w:color="auto" w:fill="FFFFFF" w:themeFill="background1"/>
        </w:rPr>
        <w:t>surg</w:t>
      </w:r>
      <w:r w:rsidR="00561394">
        <w:rPr>
          <w:rFonts w:ascii="Cambria" w:hAnsi="Cambria"/>
          <w:sz w:val="24"/>
          <w:szCs w:val="24"/>
          <w:shd w:val="clear" w:color="auto" w:fill="FFFFFF" w:themeFill="background1"/>
        </w:rPr>
        <w:t>ieron</w:t>
      </w:r>
      <w:r w:rsidRPr="00CD5FFE">
        <w:rPr>
          <w:rFonts w:ascii="Cambria" w:hAnsi="Cambria"/>
          <w:sz w:val="24"/>
          <w:szCs w:val="24"/>
          <w:shd w:val="clear" w:color="auto" w:fill="FFFFFF" w:themeFill="background1"/>
        </w:rPr>
        <w:t xml:space="preserve"> como consecuencia de la dotación de las siguientes provisiones: (i) </w:t>
      </w:r>
      <w:r>
        <w:rPr>
          <w:rFonts w:ascii="Cambria" w:hAnsi="Cambria"/>
          <w:sz w:val="24"/>
          <w:szCs w:val="24"/>
          <w:shd w:val="clear" w:color="auto" w:fill="FFFFFF" w:themeFill="background1"/>
        </w:rPr>
        <w:t xml:space="preserve">dotación de </w:t>
      </w:r>
      <w:r w:rsidRPr="00CD5FFE">
        <w:rPr>
          <w:rFonts w:ascii="Cambria" w:hAnsi="Cambria"/>
          <w:sz w:val="24"/>
          <w:szCs w:val="24"/>
        </w:rPr>
        <w:t xml:space="preserve">provisión para </w:t>
      </w:r>
      <w:r>
        <w:rPr>
          <w:rFonts w:ascii="Cambria" w:hAnsi="Cambria"/>
          <w:sz w:val="24"/>
          <w:szCs w:val="24"/>
        </w:rPr>
        <w:t xml:space="preserve">la regularización de las pólizas 111 y 112 de la sociedad extinguida ACENOR por importe de 1.614 miles de euros </w:t>
      </w:r>
      <w:r w:rsidRPr="00CD5FFE">
        <w:rPr>
          <w:rFonts w:ascii="Cambria" w:hAnsi="Cambria"/>
          <w:sz w:val="24"/>
          <w:szCs w:val="24"/>
        </w:rPr>
        <w:t xml:space="preserve">(ii) la dotación por importe de </w:t>
      </w:r>
      <w:r>
        <w:rPr>
          <w:rFonts w:ascii="Cambria" w:hAnsi="Cambria"/>
          <w:sz w:val="24"/>
          <w:szCs w:val="24"/>
        </w:rPr>
        <w:t>211</w:t>
      </w:r>
      <w:r w:rsidRPr="00CD5FFE">
        <w:rPr>
          <w:rFonts w:ascii="Cambria" w:hAnsi="Cambria"/>
          <w:sz w:val="24"/>
          <w:szCs w:val="24"/>
        </w:rPr>
        <w:t xml:space="preserve"> miles de euros correspondiente a la provisión de </w:t>
      </w:r>
      <w:r>
        <w:rPr>
          <w:rFonts w:ascii="Cambria" w:hAnsi="Cambria"/>
          <w:sz w:val="24"/>
          <w:szCs w:val="24"/>
        </w:rPr>
        <w:t xml:space="preserve">salto a los 60 del personal pasivo de la sociedad extinta ACENOR y finalmente una dotación de 5 miles de euros de </w:t>
      </w:r>
      <w:r w:rsidRPr="00CD5FFE">
        <w:rPr>
          <w:rFonts w:ascii="Cambria" w:hAnsi="Cambria"/>
          <w:sz w:val="24"/>
          <w:szCs w:val="24"/>
        </w:rPr>
        <w:t>ayudas previas, relativa al proceso de exteriorizació</w:t>
      </w:r>
      <w:r>
        <w:rPr>
          <w:rFonts w:ascii="Cambria" w:hAnsi="Cambria"/>
          <w:sz w:val="24"/>
          <w:szCs w:val="24"/>
        </w:rPr>
        <w:t xml:space="preserve">n de la sociedad extinguida AHV y otra dotación de 5 miles de euros correspondientes al personal pasivo de PRESUR. </w:t>
      </w:r>
    </w:p>
    <w:p w14:paraId="1F96FE10" w14:textId="6559CB58" w:rsidR="006847C7" w:rsidRDefault="006847C7">
      <w:pPr>
        <w:keepLines w:val="0"/>
        <w:widowControl/>
        <w:jc w:val="left"/>
      </w:pPr>
      <w:r>
        <w:br w:type="page"/>
      </w:r>
    </w:p>
    <w:p w14:paraId="40DACA28" w14:textId="77777777" w:rsidR="00A50046" w:rsidRDefault="00A50046" w:rsidP="00A50046">
      <w:pPr>
        <w:pStyle w:val="Lista"/>
      </w:pPr>
    </w:p>
    <w:p w14:paraId="7E9D697A" w14:textId="48A08347" w:rsidR="00A50046" w:rsidRPr="00CD5FFE" w:rsidRDefault="00A50046" w:rsidP="00A50046">
      <w:pPr>
        <w:pStyle w:val="Listaconnmeros"/>
        <w:ind w:left="426" w:firstLine="0"/>
        <w:rPr>
          <w:rFonts w:ascii="Cambria" w:hAnsi="Cambria"/>
          <w:sz w:val="24"/>
          <w:szCs w:val="24"/>
        </w:rPr>
      </w:pPr>
      <w:r w:rsidRPr="00CD5FFE">
        <w:rPr>
          <w:rFonts w:ascii="Cambria" w:hAnsi="Cambria"/>
          <w:sz w:val="24"/>
          <w:szCs w:val="24"/>
        </w:rPr>
        <w:t>Por otra parte, la diferencias temporarias deducibles en reversión  correspondientes al ejercicio 201</w:t>
      </w:r>
      <w:r>
        <w:rPr>
          <w:rFonts w:ascii="Cambria" w:hAnsi="Cambria"/>
          <w:sz w:val="24"/>
          <w:szCs w:val="24"/>
        </w:rPr>
        <w:t>9</w:t>
      </w:r>
      <w:r w:rsidRPr="00CD5FFE">
        <w:rPr>
          <w:rFonts w:ascii="Cambria" w:hAnsi="Cambria"/>
          <w:sz w:val="24"/>
          <w:szCs w:val="24"/>
        </w:rPr>
        <w:t xml:space="preserve"> surg</w:t>
      </w:r>
      <w:r w:rsidR="0027422F">
        <w:rPr>
          <w:rFonts w:ascii="Cambria" w:hAnsi="Cambria"/>
          <w:sz w:val="24"/>
          <w:szCs w:val="24"/>
        </w:rPr>
        <w:t>ieron</w:t>
      </w:r>
      <w:r w:rsidRPr="00CD5FFE">
        <w:rPr>
          <w:rFonts w:ascii="Cambria" w:hAnsi="Cambria"/>
          <w:sz w:val="24"/>
          <w:szCs w:val="24"/>
        </w:rPr>
        <w:t xml:space="preserve"> de la aplicación de l</w:t>
      </w:r>
      <w:r>
        <w:rPr>
          <w:rFonts w:ascii="Cambria" w:hAnsi="Cambria"/>
          <w:sz w:val="24"/>
          <w:szCs w:val="24"/>
        </w:rPr>
        <w:t>as siguientes provisiones: (i)</w:t>
      </w:r>
      <w:r w:rsidRPr="00CD5FFE">
        <w:rPr>
          <w:rFonts w:ascii="Cambria" w:hAnsi="Cambria"/>
          <w:sz w:val="24"/>
          <w:szCs w:val="24"/>
        </w:rPr>
        <w:t xml:space="preserve"> provisión por los pagos realizados al personal pasivo adherido al ERE 2005 de la sociedad absorbida PRESUR, S.A., , siendo el ajus</w:t>
      </w:r>
      <w:r>
        <w:rPr>
          <w:rFonts w:ascii="Cambria" w:hAnsi="Cambria"/>
          <w:sz w:val="24"/>
          <w:szCs w:val="24"/>
        </w:rPr>
        <w:t>te negativo por un total de 1.956</w:t>
      </w:r>
      <w:r w:rsidRPr="00CD5FFE">
        <w:rPr>
          <w:rFonts w:ascii="Cambria" w:hAnsi="Cambria"/>
          <w:sz w:val="24"/>
          <w:szCs w:val="24"/>
        </w:rPr>
        <w:t xml:space="preserve"> miles de euros;</w:t>
      </w:r>
      <w:r>
        <w:rPr>
          <w:rFonts w:ascii="Cambria" w:hAnsi="Cambria"/>
          <w:sz w:val="24"/>
          <w:szCs w:val="24"/>
        </w:rPr>
        <w:t xml:space="preserve"> (ii</w:t>
      </w:r>
      <w:r w:rsidRPr="00CD5FFE">
        <w:rPr>
          <w:rFonts w:ascii="Cambria" w:hAnsi="Cambria"/>
          <w:sz w:val="24"/>
          <w:szCs w:val="24"/>
        </w:rPr>
        <w:t>) ajuste negativo por los pagos realizados para el mantenimiento de los equipos de la extin</w:t>
      </w:r>
      <w:r>
        <w:rPr>
          <w:rFonts w:ascii="Cambria" w:hAnsi="Cambria"/>
          <w:sz w:val="24"/>
          <w:szCs w:val="24"/>
        </w:rPr>
        <w:t>ta filial ETM, por importe de 27</w:t>
      </w:r>
      <w:r w:rsidRPr="00CD5FFE">
        <w:rPr>
          <w:rFonts w:ascii="Cambria" w:hAnsi="Cambria"/>
          <w:sz w:val="24"/>
          <w:szCs w:val="24"/>
        </w:rPr>
        <w:t xml:space="preserve"> miles de euros;</w:t>
      </w:r>
      <w:r>
        <w:rPr>
          <w:rFonts w:ascii="Cambria" w:hAnsi="Cambria"/>
          <w:sz w:val="24"/>
          <w:szCs w:val="24"/>
        </w:rPr>
        <w:t xml:space="preserve"> (iii</w:t>
      </w:r>
      <w:r w:rsidRPr="00CD5FFE">
        <w:rPr>
          <w:rFonts w:ascii="Cambria" w:hAnsi="Cambria"/>
          <w:sz w:val="24"/>
          <w:szCs w:val="24"/>
        </w:rPr>
        <w:t xml:space="preserve">) de la aplicación de la provisión dotada para hacer frente a los pagos por pensiones del personal prejubilado procedente de AHV-Ensidesa Capital (AEC), siendo el ajuste negativo por </w:t>
      </w:r>
      <w:r>
        <w:rPr>
          <w:rFonts w:ascii="Cambria" w:hAnsi="Cambria"/>
          <w:sz w:val="24"/>
          <w:szCs w:val="24"/>
        </w:rPr>
        <w:t>390</w:t>
      </w:r>
      <w:r w:rsidRPr="00CD5FFE">
        <w:rPr>
          <w:rFonts w:ascii="Cambria" w:hAnsi="Cambria"/>
          <w:sz w:val="24"/>
          <w:szCs w:val="24"/>
        </w:rPr>
        <w:t xml:space="preserve"> miles de euros; (</w:t>
      </w:r>
      <w:r>
        <w:rPr>
          <w:rFonts w:ascii="Cambria" w:hAnsi="Cambria"/>
          <w:sz w:val="24"/>
          <w:szCs w:val="24"/>
        </w:rPr>
        <w:t>i</w:t>
      </w:r>
      <w:r w:rsidRPr="00CD5FFE">
        <w:rPr>
          <w:rFonts w:ascii="Cambria" w:hAnsi="Cambria"/>
          <w:sz w:val="24"/>
          <w:szCs w:val="24"/>
        </w:rPr>
        <w:t>v) provisión para la restauración de la mina de la sociedad PRE</w:t>
      </w:r>
      <w:r>
        <w:rPr>
          <w:rFonts w:ascii="Cambria" w:hAnsi="Cambria"/>
          <w:sz w:val="24"/>
          <w:szCs w:val="24"/>
        </w:rPr>
        <w:t>SUR, S.A, siendo el ajuste de 225</w:t>
      </w:r>
      <w:r w:rsidRPr="00CD5FFE">
        <w:rPr>
          <w:rFonts w:ascii="Cambria" w:hAnsi="Cambria"/>
          <w:sz w:val="24"/>
          <w:szCs w:val="24"/>
        </w:rPr>
        <w:t xml:space="preserve"> miles de euros; </w:t>
      </w:r>
      <w:r>
        <w:rPr>
          <w:rFonts w:ascii="Cambria" w:hAnsi="Cambria"/>
          <w:sz w:val="24"/>
          <w:szCs w:val="24"/>
        </w:rPr>
        <w:t>(v</w:t>
      </w:r>
      <w:r w:rsidRPr="00CD5FFE">
        <w:rPr>
          <w:rFonts w:ascii="Cambria" w:hAnsi="Cambria"/>
          <w:sz w:val="24"/>
          <w:szCs w:val="24"/>
        </w:rPr>
        <w:t>)</w:t>
      </w:r>
      <w:r>
        <w:rPr>
          <w:rFonts w:ascii="Cambria" w:hAnsi="Cambria"/>
          <w:sz w:val="24"/>
          <w:szCs w:val="24"/>
        </w:rPr>
        <w:t xml:space="preserve"> ajuste negativo de 22</w:t>
      </w:r>
      <w:r w:rsidRPr="00CD5FFE">
        <w:rPr>
          <w:rFonts w:ascii="Cambria" w:hAnsi="Cambria"/>
          <w:sz w:val="24"/>
          <w:szCs w:val="24"/>
        </w:rPr>
        <w:t xml:space="preserve"> miles de euros procedentes de pagos de pensiones asociados a la norma Benzo.</w:t>
      </w:r>
    </w:p>
    <w:p w14:paraId="77E459F7" w14:textId="77777777" w:rsidR="00A50046" w:rsidRDefault="00A50046" w:rsidP="00A50046">
      <w:pPr>
        <w:pStyle w:val="Lista"/>
      </w:pPr>
    </w:p>
    <w:p w14:paraId="1BCFDBFC" w14:textId="0E5C4142" w:rsidR="006E078F" w:rsidRPr="00CC5836" w:rsidRDefault="00CC5836" w:rsidP="006B4CBE">
      <w:pPr>
        <w:keepLines w:val="0"/>
        <w:widowControl/>
        <w:ind w:left="426"/>
        <w:rPr>
          <w:rFonts w:ascii="Cambria" w:hAnsi="Cambria"/>
          <w:sz w:val="24"/>
          <w:szCs w:val="24"/>
        </w:rPr>
      </w:pPr>
      <w:r w:rsidRPr="00CC5836">
        <w:rPr>
          <w:rFonts w:ascii="Cambria" w:hAnsi="Cambria"/>
          <w:sz w:val="24"/>
          <w:szCs w:val="24"/>
        </w:rPr>
        <w:t xml:space="preserve">Durante los </w:t>
      </w:r>
      <w:r w:rsidR="006E078F" w:rsidRPr="00CC5836">
        <w:rPr>
          <w:rFonts w:ascii="Cambria" w:hAnsi="Cambria"/>
          <w:sz w:val="24"/>
          <w:szCs w:val="24"/>
        </w:rPr>
        <w:t>ejercicio</w:t>
      </w:r>
      <w:r w:rsidRPr="00CC5836">
        <w:rPr>
          <w:rFonts w:ascii="Cambria" w:hAnsi="Cambria"/>
          <w:sz w:val="24"/>
          <w:szCs w:val="24"/>
        </w:rPr>
        <w:t>s 20</w:t>
      </w:r>
      <w:r w:rsidR="00A50046">
        <w:rPr>
          <w:rFonts w:ascii="Cambria" w:hAnsi="Cambria"/>
          <w:sz w:val="24"/>
          <w:szCs w:val="24"/>
        </w:rPr>
        <w:t>20</w:t>
      </w:r>
      <w:r w:rsidRPr="00CC5836">
        <w:rPr>
          <w:rFonts w:ascii="Cambria" w:hAnsi="Cambria"/>
          <w:sz w:val="24"/>
          <w:szCs w:val="24"/>
        </w:rPr>
        <w:t xml:space="preserve"> y </w:t>
      </w:r>
      <w:r w:rsidR="006E078F" w:rsidRPr="00CC5836">
        <w:rPr>
          <w:rFonts w:ascii="Cambria" w:hAnsi="Cambria"/>
          <w:sz w:val="24"/>
          <w:szCs w:val="24"/>
        </w:rPr>
        <w:t>201</w:t>
      </w:r>
      <w:r w:rsidR="00A50046">
        <w:rPr>
          <w:rFonts w:ascii="Cambria" w:hAnsi="Cambria"/>
          <w:sz w:val="24"/>
          <w:szCs w:val="24"/>
        </w:rPr>
        <w:t>9</w:t>
      </w:r>
      <w:r w:rsidR="006E078F" w:rsidRPr="00CC5836">
        <w:rPr>
          <w:rFonts w:ascii="Cambria" w:hAnsi="Cambria"/>
          <w:sz w:val="24"/>
          <w:szCs w:val="24"/>
        </w:rPr>
        <w:t xml:space="preserve">, el tipo impositivo del Impuesto sobre Sociedades se mantiene en el 25%. </w:t>
      </w:r>
    </w:p>
    <w:p w14:paraId="10370D38" w14:textId="77777777" w:rsidR="001B2B25" w:rsidRPr="00C407D3" w:rsidRDefault="001B2B25" w:rsidP="001B2B25">
      <w:pPr>
        <w:pStyle w:val="Listaconnmeros"/>
        <w:ind w:left="426" w:firstLine="0"/>
        <w:rPr>
          <w:rFonts w:ascii="Cambria" w:hAnsi="Cambria"/>
          <w:sz w:val="24"/>
          <w:szCs w:val="24"/>
          <w:highlight w:val="yellow"/>
        </w:rPr>
      </w:pPr>
    </w:p>
    <w:p w14:paraId="2B02D970" w14:textId="75A205DF" w:rsidR="001B2B25" w:rsidRPr="00CC5836" w:rsidRDefault="001B2B25" w:rsidP="001B2B25">
      <w:pPr>
        <w:pStyle w:val="Listaconnmeros"/>
        <w:ind w:left="426" w:firstLine="0"/>
        <w:rPr>
          <w:rFonts w:ascii="Cambria" w:hAnsi="Cambria"/>
          <w:sz w:val="24"/>
          <w:szCs w:val="24"/>
        </w:rPr>
      </w:pPr>
      <w:r w:rsidRPr="00CC5836">
        <w:rPr>
          <w:rFonts w:ascii="Cambria" w:hAnsi="Cambria"/>
          <w:sz w:val="24"/>
          <w:szCs w:val="24"/>
        </w:rPr>
        <w:t>El detalle del Impuesto sobre S</w:t>
      </w:r>
      <w:r w:rsidR="00B82EA9" w:rsidRPr="00CC5836">
        <w:rPr>
          <w:rFonts w:ascii="Cambria" w:hAnsi="Cambria"/>
          <w:sz w:val="24"/>
          <w:szCs w:val="24"/>
        </w:rPr>
        <w:t xml:space="preserve">ociedades de los ejercicios </w:t>
      </w:r>
      <w:r w:rsidR="00D44BB5" w:rsidRPr="00CC5836">
        <w:rPr>
          <w:rFonts w:ascii="Cambria" w:hAnsi="Cambria"/>
          <w:sz w:val="24"/>
          <w:szCs w:val="24"/>
        </w:rPr>
        <w:t>20</w:t>
      </w:r>
      <w:r w:rsidR="00A50046">
        <w:rPr>
          <w:rFonts w:ascii="Cambria" w:hAnsi="Cambria"/>
          <w:sz w:val="24"/>
          <w:szCs w:val="24"/>
        </w:rPr>
        <w:t>20</w:t>
      </w:r>
      <w:r w:rsidR="00D44BB5">
        <w:rPr>
          <w:rFonts w:ascii="Cambria" w:hAnsi="Cambria"/>
          <w:sz w:val="24"/>
          <w:szCs w:val="24"/>
        </w:rPr>
        <w:t xml:space="preserve"> </w:t>
      </w:r>
      <w:r w:rsidR="00CC5836">
        <w:rPr>
          <w:rFonts w:ascii="Cambria" w:hAnsi="Cambria"/>
          <w:sz w:val="24"/>
          <w:szCs w:val="24"/>
        </w:rPr>
        <w:t>y 201</w:t>
      </w:r>
      <w:r w:rsidR="00A50046">
        <w:rPr>
          <w:rFonts w:ascii="Cambria" w:hAnsi="Cambria"/>
          <w:sz w:val="24"/>
          <w:szCs w:val="24"/>
        </w:rPr>
        <w:t>9</w:t>
      </w:r>
      <w:r w:rsidRPr="00CC5836">
        <w:rPr>
          <w:rFonts w:ascii="Cambria" w:hAnsi="Cambria"/>
          <w:sz w:val="24"/>
          <w:szCs w:val="24"/>
        </w:rPr>
        <w:t>, es el siguiente (en miles de euros):</w:t>
      </w:r>
    </w:p>
    <w:p w14:paraId="275C6B17" w14:textId="48CF0260" w:rsidR="001B2B25" w:rsidRPr="00C407D3" w:rsidRDefault="001B2B25" w:rsidP="001B2B25">
      <w:pPr>
        <w:pStyle w:val="Listaconnmeros"/>
        <w:ind w:left="426" w:firstLine="0"/>
        <w:rPr>
          <w:rFonts w:ascii="Cambria" w:hAnsi="Cambria"/>
          <w:sz w:val="24"/>
          <w:szCs w:val="24"/>
          <w:highlight w:val="yellow"/>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1332"/>
        <w:gridCol w:w="1360"/>
      </w:tblGrid>
      <w:tr w:rsidR="00A50046" w:rsidRPr="00183249" w14:paraId="06FD8DAA" w14:textId="77777777" w:rsidTr="00DC6522">
        <w:trPr>
          <w:jc w:val="center"/>
        </w:trPr>
        <w:tc>
          <w:tcPr>
            <w:tcW w:w="5246" w:type="dxa"/>
            <w:tcBorders>
              <w:top w:val="nil"/>
              <w:left w:val="nil"/>
              <w:bottom w:val="single" w:sz="4" w:space="0" w:color="auto"/>
            </w:tcBorders>
          </w:tcPr>
          <w:p w14:paraId="1F851D2F" w14:textId="77777777" w:rsidR="00A50046" w:rsidRPr="00183249" w:rsidRDefault="00A50046" w:rsidP="00A50046">
            <w:pPr>
              <w:rPr>
                <w:rFonts w:ascii="Cambria" w:hAnsi="Cambria"/>
              </w:rPr>
            </w:pPr>
          </w:p>
        </w:tc>
        <w:tc>
          <w:tcPr>
            <w:tcW w:w="1332" w:type="dxa"/>
            <w:tcBorders>
              <w:bottom w:val="single" w:sz="4" w:space="0" w:color="auto"/>
            </w:tcBorders>
            <w:vAlign w:val="center"/>
          </w:tcPr>
          <w:p w14:paraId="50BD6705" w14:textId="1B69E798" w:rsidR="00A50046" w:rsidRPr="00183249" w:rsidRDefault="00A50046" w:rsidP="00A50046">
            <w:pPr>
              <w:keepLines w:val="0"/>
              <w:jc w:val="center"/>
              <w:rPr>
                <w:rFonts w:ascii="Cambria" w:hAnsi="Cambria"/>
                <w:b/>
                <w:bCs/>
                <w:sz w:val="20"/>
                <w:lang w:val="es-ES"/>
              </w:rPr>
            </w:pPr>
            <w:r w:rsidRPr="00183249">
              <w:rPr>
                <w:rFonts w:ascii="Cambria" w:hAnsi="Cambria"/>
                <w:b/>
                <w:bCs/>
                <w:snapToGrid w:val="0"/>
                <w:sz w:val="20"/>
                <w:lang w:val="es-ES"/>
              </w:rPr>
              <w:t>20</w:t>
            </w:r>
            <w:r>
              <w:rPr>
                <w:rFonts w:ascii="Cambria" w:hAnsi="Cambria"/>
                <w:b/>
                <w:bCs/>
                <w:snapToGrid w:val="0"/>
                <w:sz w:val="20"/>
                <w:lang w:val="es-ES"/>
              </w:rPr>
              <w:t>20</w:t>
            </w:r>
          </w:p>
        </w:tc>
        <w:tc>
          <w:tcPr>
            <w:tcW w:w="1360" w:type="dxa"/>
            <w:tcBorders>
              <w:bottom w:val="single" w:sz="4" w:space="0" w:color="auto"/>
            </w:tcBorders>
            <w:vAlign w:val="center"/>
          </w:tcPr>
          <w:p w14:paraId="6CB348C4" w14:textId="439A0ED7" w:rsidR="00A50046" w:rsidRPr="00183249" w:rsidRDefault="00A50046" w:rsidP="00A50046">
            <w:pPr>
              <w:keepLines w:val="0"/>
              <w:jc w:val="center"/>
              <w:rPr>
                <w:rFonts w:ascii="Cambria" w:hAnsi="Cambria"/>
                <w:b/>
                <w:bCs/>
                <w:snapToGrid w:val="0"/>
                <w:sz w:val="20"/>
                <w:lang w:val="es-ES"/>
              </w:rPr>
            </w:pPr>
            <w:r w:rsidRPr="00183249">
              <w:rPr>
                <w:rFonts w:ascii="Cambria" w:hAnsi="Cambria"/>
                <w:b/>
                <w:bCs/>
                <w:snapToGrid w:val="0"/>
                <w:sz w:val="20"/>
                <w:lang w:val="es-ES"/>
              </w:rPr>
              <w:t>2019</w:t>
            </w:r>
          </w:p>
        </w:tc>
      </w:tr>
      <w:tr w:rsidR="00A50046" w:rsidRPr="00183249" w14:paraId="4EBDD5E4" w14:textId="77777777" w:rsidTr="00DC6522">
        <w:trPr>
          <w:jc w:val="center"/>
        </w:trPr>
        <w:tc>
          <w:tcPr>
            <w:tcW w:w="5246" w:type="dxa"/>
            <w:tcBorders>
              <w:bottom w:val="nil"/>
              <w:right w:val="single" w:sz="4" w:space="0" w:color="auto"/>
            </w:tcBorders>
            <w:vAlign w:val="bottom"/>
          </w:tcPr>
          <w:p w14:paraId="48305E84" w14:textId="52386930" w:rsidR="00A50046" w:rsidRPr="00183249" w:rsidRDefault="00A50046" w:rsidP="00A50046">
            <w:pPr>
              <w:keepLines w:val="0"/>
              <w:jc w:val="left"/>
              <w:rPr>
                <w:rFonts w:ascii="Cambria" w:hAnsi="Cambria"/>
                <w:sz w:val="20"/>
                <w:lang w:val="es-ES"/>
              </w:rPr>
            </w:pPr>
            <w:r>
              <w:rPr>
                <w:rFonts w:ascii="Cambria" w:hAnsi="Cambria"/>
                <w:sz w:val="20"/>
              </w:rPr>
              <w:t>Base imponible (Resultado fiscal)</w:t>
            </w:r>
          </w:p>
        </w:tc>
        <w:tc>
          <w:tcPr>
            <w:tcW w:w="1332" w:type="dxa"/>
            <w:tcBorders>
              <w:left w:val="single" w:sz="4" w:space="0" w:color="auto"/>
              <w:bottom w:val="nil"/>
              <w:right w:val="single" w:sz="4" w:space="0" w:color="auto"/>
            </w:tcBorders>
            <w:shd w:val="clear" w:color="auto" w:fill="FFFFFF" w:themeFill="background1"/>
            <w:vAlign w:val="bottom"/>
          </w:tcPr>
          <w:p w14:paraId="02A6CACB" w14:textId="183D4AC4" w:rsidR="00A50046" w:rsidRPr="00DC6522" w:rsidRDefault="00DC6522" w:rsidP="00DC6522">
            <w:pPr>
              <w:keepLines w:val="0"/>
              <w:jc w:val="right"/>
              <w:rPr>
                <w:rFonts w:ascii="Cambria" w:hAnsi="Cambria"/>
                <w:sz w:val="20"/>
                <w:lang w:val="es-ES"/>
              </w:rPr>
            </w:pPr>
            <w:r w:rsidRPr="00DC6522">
              <w:rPr>
                <w:rFonts w:ascii="Cambria" w:hAnsi="Cambria"/>
                <w:sz w:val="20"/>
                <w:lang w:val="es-ES"/>
              </w:rPr>
              <w:t>(</w:t>
            </w:r>
            <w:r w:rsidR="00EF0663">
              <w:rPr>
                <w:rFonts w:ascii="Cambria" w:hAnsi="Cambria"/>
                <w:sz w:val="20"/>
                <w:lang w:val="es-ES"/>
              </w:rPr>
              <w:t>6.</w:t>
            </w:r>
            <w:r w:rsidR="004F3FF9">
              <w:rPr>
                <w:rFonts w:ascii="Cambria" w:hAnsi="Cambria"/>
                <w:sz w:val="20"/>
                <w:lang w:val="es-ES"/>
              </w:rPr>
              <w:t>213</w:t>
            </w:r>
            <w:r w:rsidRPr="00DC6522">
              <w:rPr>
                <w:rFonts w:ascii="Cambria" w:hAnsi="Cambria"/>
                <w:sz w:val="20"/>
                <w:lang w:val="es-ES"/>
              </w:rPr>
              <w:t>)</w:t>
            </w:r>
          </w:p>
        </w:tc>
        <w:tc>
          <w:tcPr>
            <w:tcW w:w="1360" w:type="dxa"/>
            <w:tcBorders>
              <w:left w:val="single" w:sz="4" w:space="0" w:color="auto"/>
              <w:bottom w:val="nil"/>
              <w:right w:val="single" w:sz="4" w:space="0" w:color="auto"/>
            </w:tcBorders>
            <w:vAlign w:val="bottom"/>
          </w:tcPr>
          <w:p w14:paraId="2E3C0CE9" w14:textId="0838178A" w:rsidR="00A50046" w:rsidRPr="00DC6522" w:rsidRDefault="00A50046" w:rsidP="00A50046">
            <w:pPr>
              <w:keepLines w:val="0"/>
              <w:jc w:val="right"/>
              <w:rPr>
                <w:rFonts w:ascii="Cambria" w:hAnsi="Cambria"/>
                <w:sz w:val="20"/>
                <w:lang w:val="es-ES"/>
              </w:rPr>
            </w:pPr>
            <w:r w:rsidRPr="00DC6522">
              <w:rPr>
                <w:rFonts w:ascii="Cambria" w:hAnsi="Cambria"/>
                <w:sz w:val="20"/>
                <w:lang w:val="es-ES"/>
              </w:rPr>
              <w:t>1.731</w:t>
            </w:r>
          </w:p>
        </w:tc>
      </w:tr>
      <w:tr w:rsidR="00A50046" w:rsidRPr="00183249" w14:paraId="30AAAF80" w14:textId="77777777" w:rsidTr="00DC6522">
        <w:trPr>
          <w:jc w:val="center"/>
        </w:trPr>
        <w:tc>
          <w:tcPr>
            <w:tcW w:w="5246" w:type="dxa"/>
            <w:tcBorders>
              <w:top w:val="nil"/>
              <w:bottom w:val="single" w:sz="4" w:space="0" w:color="auto"/>
              <w:right w:val="single" w:sz="4" w:space="0" w:color="auto"/>
            </w:tcBorders>
            <w:vAlign w:val="bottom"/>
          </w:tcPr>
          <w:p w14:paraId="63C359AD" w14:textId="77777777" w:rsidR="00A50046" w:rsidRPr="00183249" w:rsidRDefault="00A50046" w:rsidP="00A50046">
            <w:pPr>
              <w:keepLines w:val="0"/>
              <w:jc w:val="left"/>
              <w:rPr>
                <w:rFonts w:ascii="Cambria" w:hAnsi="Cambria"/>
                <w:sz w:val="20"/>
                <w:lang w:val="es-ES"/>
              </w:rPr>
            </w:pPr>
            <w:r w:rsidRPr="00183249">
              <w:rPr>
                <w:rFonts w:ascii="Cambria" w:hAnsi="Cambria"/>
                <w:sz w:val="20"/>
              </w:rPr>
              <w:t>Tipo impositivo</w:t>
            </w:r>
          </w:p>
        </w:tc>
        <w:tc>
          <w:tcPr>
            <w:tcW w:w="1332" w:type="dxa"/>
            <w:tcBorders>
              <w:top w:val="nil"/>
              <w:left w:val="single" w:sz="4" w:space="0" w:color="auto"/>
              <w:bottom w:val="single" w:sz="4" w:space="0" w:color="auto"/>
              <w:right w:val="single" w:sz="4" w:space="0" w:color="auto"/>
            </w:tcBorders>
            <w:shd w:val="clear" w:color="auto" w:fill="FFFFFF" w:themeFill="background1"/>
            <w:vAlign w:val="bottom"/>
          </w:tcPr>
          <w:p w14:paraId="5854377C" w14:textId="7D230F61" w:rsidR="00A50046" w:rsidRPr="00DC6522" w:rsidRDefault="00A50046" w:rsidP="00A50046">
            <w:pPr>
              <w:keepLines w:val="0"/>
              <w:jc w:val="right"/>
              <w:rPr>
                <w:rFonts w:ascii="Cambria" w:hAnsi="Cambria"/>
                <w:sz w:val="20"/>
                <w:lang w:val="es-ES"/>
              </w:rPr>
            </w:pPr>
            <w:r w:rsidRPr="00DC6522">
              <w:rPr>
                <w:rFonts w:ascii="Cambria" w:hAnsi="Cambria"/>
                <w:sz w:val="20"/>
                <w:lang w:val="es-ES"/>
              </w:rPr>
              <w:t>25%</w:t>
            </w:r>
          </w:p>
        </w:tc>
        <w:tc>
          <w:tcPr>
            <w:tcW w:w="1360" w:type="dxa"/>
            <w:tcBorders>
              <w:top w:val="nil"/>
              <w:left w:val="single" w:sz="4" w:space="0" w:color="auto"/>
              <w:bottom w:val="single" w:sz="4" w:space="0" w:color="auto"/>
              <w:right w:val="single" w:sz="4" w:space="0" w:color="auto"/>
            </w:tcBorders>
            <w:vAlign w:val="bottom"/>
          </w:tcPr>
          <w:p w14:paraId="290EA129" w14:textId="6AEBBCE8" w:rsidR="00A50046" w:rsidRPr="00DC6522" w:rsidRDefault="00A50046" w:rsidP="00DC6522">
            <w:pPr>
              <w:keepLines w:val="0"/>
              <w:jc w:val="right"/>
              <w:rPr>
                <w:rFonts w:ascii="Cambria" w:hAnsi="Cambria"/>
                <w:sz w:val="20"/>
                <w:lang w:val="es-ES"/>
              </w:rPr>
            </w:pPr>
            <w:r w:rsidRPr="00DC6522">
              <w:rPr>
                <w:rFonts w:ascii="Cambria" w:hAnsi="Cambria"/>
                <w:sz w:val="20"/>
                <w:lang w:val="es-ES"/>
              </w:rPr>
              <w:t>25%</w:t>
            </w:r>
          </w:p>
        </w:tc>
      </w:tr>
      <w:tr w:rsidR="00A50046" w:rsidRPr="00183249" w14:paraId="05844EE0" w14:textId="77777777" w:rsidTr="00DC6522">
        <w:trPr>
          <w:jc w:val="center"/>
        </w:trPr>
        <w:tc>
          <w:tcPr>
            <w:tcW w:w="5246" w:type="dxa"/>
            <w:tcBorders>
              <w:top w:val="single" w:sz="4" w:space="0" w:color="auto"/>
              <w:bottom w:val="single" w:sz="4" w:space="0" w:color="auto"/>
              <w:right w:val="single" w:sz="4" w:space="0" w:color="auto"/>
            </w:tcBorders>
            <w:vAlign w:val="bottom"/>
          </w:tcPr>
          <w:p w14:paraId="7A447C8F" w14:textId="793301AC" w:rsidR="00A50046" w:rsidRPr="00D408B8" w:rsidRDefault="00A50046" w:rsidP="00A50046">
            <w:pPr>
              <w:keepLines w:val="0"/>
              <w:jc w:val="left"/>
              <w:rPr>
                <w:rFonts w:ascii="Cambria" w:hAnsi="Cambria"/>
                <w:sz w:val="20"/>
              </w:rPr>
            </w:pPr>
            <w:r w:rsidRPr="00D408B8">
              <w:rPr>
                <w:rFonts w:ascii="Cambria" w:hAnsi="Cambria"/>
                <w:sz w:val="20"/>
              </w:rPr>
              <w:t>Cuota íntegra</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6B8624" w14:textId="4E42436C" w:rsidR="00A50046" w:rsidRPr="00A50046" w:rsidRDefault="00DC6522" w:rsidP="00DC6522">
            <w:pPr>
              <w:keepLines w:val="0"/>
              <w:jc w:val="center"/>
              <w:rPr>
                <w:rFonts w:ascii="Cambria" w:hAnsi="Cambria"/>
                <w:sz w:val="20"/>
                <w:highlight w:val="yellow"/>
                <w:lang w:val="es-ES"/>
              </w:rPr>
            </w:pPr>
            <w:r w:rsidRPr="00DC6522">
              <w:rPr>
                <w:rFonts w:ascii="Cambria" w:hAnsi="Cambria"/>
                <w:sz w:val="20"/>
                <w:lang w:val="es-ES"/>
              </w:rPr>
              <w:t>-</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7C36BD" w14:textId="70BAFDD3" w:rsidR="00A50046" w:rsidRPr="00D408B8" w:rsidRDefault="00A50046" w:rsidP="00DC6522">
            <w:pPr>
              <w:keepLines w:val="0"/>
              <w:jc w:val="right"/>
              <w:rPr>
                <w:rFonts w:ascii="Cambria" w:hAnsi="Cambria"/>
                <w:sz w:val="20"/>
                <w:lang w:val="es-ES"/>
              </w:rPr>
            </w:pPr>
            <w:r w:rsidRPr="00D408B8">
              <w:rPr>
                <w:rFonts w:ascii="Cambria" w:hAnsi="Cambria"/>
                <w:sz w:val="20"/>
                <w:lang w:val="es-ES"/>
              </w:rPr>
              <w:t>43</w:t>
            </w:r>
            <w:r>
              <w:rPr>
                <w:rFonts w:ascii="Cambria" w:hAnsi="Cambria"/>
                <w:sz w:val="20"/>
                <w:lang w:val="es-ES"/>
              </w:rPr>
              <w:t>3</w:t>
            </w:r>
          </w:p>
        </w:tc>
      </w:tr>
      <w:tr w:rsidR="00A50046" w:rsidRPr="00183249" w14:paraId="7B1FCDED" w14:textId="77777777" w:rsidTr="00DC6522">
        <w:trPr>
          <w:jc w:val="center"/>
        </w:trPr>
        <w:tc>
          <w:tcPr>
            <w:tcW w:w="5246" w:type="dxa"/>
            <w:tcBorders>
              <w:top w:val="nil"/>
              <w:bottom w:val="nil"/>
              <w:right w:val="single" w:sz="4" w:space="0" w:color="auto"/>
            </w:tcBorders>
            <w:vAlign w:val="bottom"/>
          </w:tcPr>
          <w:p w14:paraId="651D6F83" w14:textId="7BD70A2B" w:rsidR="00A50046" w:rsidRPr="00D408B8" w:rsidRDefault="00A50046" w:rsidP="00A50046">
            <w:pPr>
              <w:keepLines w:val="0"/>
              <w:jc w:val="left"/>
              <w:rPr>
                <w:rFonts w:ascii="Cambria" w:hAnsi="Cambria"/>
                <w:sz w:val="20"/>
              </w:rPr>
            </w:pPr>
            <w:r w:rsidRPr="00D408B8">
              <w:rPr>
                <w:rFonts w:ascii="Cambria" w:hAnsi="Cambria"/>
                <w:sz w:val="20"/>
              </w:rPr>
              <w:t xml:space="preserve">Recompra de crédito fiscal (28% </w:t>
            </w:r>
            <w:r w:rsidRPr="00D408B8">
              <w:rPr>
                <w:rFonts w:ascii="Cambria" w:hAnsi="Cambria"/>
                <w:bCs/>
                <w:sz w:val="20"/>
              </w:rPr>
              <w:t>BINs</w:t>
            </w:r>
            <w:r w:rsidRPr="00D408B8">
              <w:rPr>
                <w:rFonts w:ascii="Cambria" w:hAnsi="Cambria"/>
                <w:sz w:val="20"/>
              </w:rPr>
              <w:t>)</w:t>
            </w:r>
            <w:r>
              <w:rPr>
                <w:rFonts w:ascii="Cambria" w:hAnsi="Cambria"/>
                <w:sz w:val="20"/>
              </w:rPr>
              <w:t xml:space="preserve"> (Nota 10.1)</w:t>
            </w:r>
          </w:p>
        </w:tc>
        <w:tc>
          <w:tcPr>
            <w:tcW w:w="1332" w:type="dxa"/>
            <w:tcBorders>
              <w:top w:val="nil"/>
              <w:left w:val="single" w:sz="4" w:space="0" w:color="auto"/>
              <w:bottom w:val="nil"/>
              <w:right w:val="single" w:sz="4" w:space="0" w:color="auto"/>
            </w:tcBorders>
            <w:shd w:val="clear" w:color="auto" w:fill="FFFFFF" w:themeFill="background1"/>
            <w:vAlign w:val="bottom"/>
          </w:tcPr>
          <w:p w14:paraId="354BCF54" w14:textId="31493E9A" w:rsidR="00A50046" w:rsidRPr="00DE37BA" w:rsidRDefault="00DE37BA" w:rsidP="00DE37BA">
            <w:pPr>
              <w:keepLines w:val="0"/>
              <w:jc w:val="center"/>
              <w:rPr>
                <w:rFonts w:ascii="Cambria" w:hAnsi="Cambria"/>
                <w:sz w:val="20"/>
                <w:lang w:val="es-ES"/>
              </w:rPr>
            </w:pPr>
            <w:r w:rsidRPr="00DE37BA">
              <w:rPr>
                <w:rFonts w:ascii="Cambria" w:hAnsi="Cambria"/>
                <w:sz w:val="20"/>
                <w:lang w:val="es-ES"/>
              </w:rPr>
              <w:t>-</w:t>
            </w:r>
          </w:p>
        </w:tc>
        <w:tc>
          <w:tcPr>
            <w:tcW w:w="1360" w:type="dxa"/>
            <w:tcBorders>
              <w:top w:val="nil"/>
              <w:left w:val="single" w:sz="4" w:space="0" w:color="auto"/>
              <w:bottom w:val="nil"/>
              <w:right w:val="single" w:sz="4" w:space="0" w:color="auto"/>
            </w:tcBorders>
            <w:shd w:val="clear" w:color="auto" w:fill="FFFFFF" w:themeFill="background1"/>
            <w:vAlign w:val="bottom"/>
          </w:tcPr>
          <w:p w14:paraId="57F254C7" w14:textId="50A87712" w:rsidR="00A50046" w:rsidRPr="00D408B8" w:rsidRDefault="00A50046" w:rsidP="00DC6522">
            <w:pPr>
              <w:keepLines w:val="0"/>
              <w:jc w:val="right"/>
              <w:rPr>
                <w:rFonts w:ascii="Cambria" w:hAnsi="Cambria"/>
                <w:sz w:val="20"/>
                <w:lang w:val="es-ES"/>
              </w:rPr>
            </w:pPr>
            <w:r w:rsidRPr="00D408B8">
              <w:rPr>
                <w:rFonts w:ascii="Cambria" w:hAnsi="Cambria"/>
                <w:sz w:val="20"/>
                <w:lang w:val="es-ES"/>
              </w:rPr>
              <w:t>162</w:t>
            </w:r>
          </w:p>
        </w:tc>
      </w:tr>
      <w:tr w:rsidR="00A50046" w:rsidRPr="00183249" w14:paraId="170D212A" w14:textId="77777777" w:rsidTr="00DC6522">
        <w:trPr>
          <w:jc w:val="center"/>
        </w:trPr>
        <w:tc>
          <w:tcPr>
            <w:tcW w:w="5246" w:type="dxa"/>
            <w:tcBorders>
              <w:top w:val="nil"/>
              <w:bottom w:val="nil"/>
              <w:right w:val="single" w:sz="4" w:space="0" w:color="auto"/>
            </w:tcBorders>
            <w:vAlign w:val="bottom"/>
          </w:tcPr>
          <w:p w14:paraId="36827844" w14:textId="1B97C408" w:rsidR="00A50046" w:rsidRDefault="00A50046" w:rsidP="00A50046">
            <w:pPr>
              <w:keepLines w:val="0"/>
              <w:jc w:val="left"/>
              <w:rPr>
                <w:rFonts w:ascii="Cambria" w:hAnsi="Cambria"/>
                <w:sz w:val="20"/>
              </w:rPr>
            </w:pPr>
            <w:r>
              <w:rPr>
                <w:rFonts w:ascii="Cambria" w:hAnsi="Cambria"/>
                <w:sz w:val="20"/>
              </w:rPr>
              <w:t>Crédito fiscal (25%)</w:t>
            </w:r>
          </w:p>
        </w:tc>
        <w:tc>
          <w:tcPr>
            <w:tcW w:w="1332" w:type="dxa"/>
            <w:tcBorders>
              <w:top w:val="nil"/>
              <w:left w:val="single" w:sz="4" w:space="0" w:color="auto"/>
              <w:bottom w:val="nil"/>
              <w:right w:val="single" w:sz="4" w:space="0" w:color="auto"/>
            </w:tcBorders>
            <w:shd w:val="clear" w:color="auto" w:fill="FFFFFF" w:themeFill="background1"/>
            <w:vAlign w:val="bottom"/>
          </w:tcPr>
          <w:p w14:paraId="464C961B" w14:textId="0269F3B5" w:rsidR="00A50046" w:rsidRPr="00DE37BA" w:rsidRDefault="0027422F" w:rsidP="00DC6522">
            <w:pPr>
              <w:keepLines w:val="0"/>
              <w:jc w:val="right"/>
              <w:rPr>
                <w:rFonts w:ascii="Cambria" w:hAnsi="Cambria"/>
                <w:sz w:val="20"/>
                <w:lang w:val="es-ES"/>
              </w:rPr>
            </w:pPr>
            <w:r>
              <w:rPr>
                <w:rFonts w:ascii="Cambria" w:hAnsi="Cambria"/>
                <w:sz w:val="20"/>
                <w:lang w:val="es-ES"/>
              </w:rPr>
              <w:t>(</w:t>
            </w:r>
            <w:r w:rsidR="00DC6522">
              <w:rPr>
                <w:rFonts w:ascii="Cambria" w:hAnsi="Cambria"/>
                <w:sz w:val="20"/>
                <w:lang w:val="es-ES"/>
              </w:rPr>
              <w:t>1</w:t>
            </w:r>
            <w:r>
              <w:rPr>
                <w:rFonts w:ascii="Cambria" w:hAnsi="Cambria"/>
                <w:sz w:val="20"/>
                <w:lang w:val="es-ES"/>
              </w:rPr>
              <w:t>.</w:t>
            </w:r>
            <w:r w:rsidR="004F3FF9">
              <w:rPr>
                <w:rFonts w:ascii="Cambria" w:hAnsi="Cambria"/>
                <w:sz w:val="20"/>
                <w:lang w:val="es-ES"/>
              </w:rPr>
              <w:t>553</w:t>
            </w:r>
            <w:r>
              <w:rPr>
                <w:rFonts w:ascii="Cambria" w:hAnsi="Cambria"/>
                <w:sz w:val="20"/>
                <w:lang w:val="es-ES"/>
              </w:rPr>
              <w:t>)</w:t>
            </w:r>
          </w:p>
        </w:tc>
        <w:tc>
          <w:tcPr>
            <w:tcW w:w="1360" w:type="dxa"/>
            <w:tcBorders>
              <w:top w:val="nil"/>
              <w:left w:val="single" w:sz="4" w:space="0" w:color="auto"/>
              <w:bottom w:val="nil"/>
              <w:right w:val="single" w:sz="4" w:space="0" w:color="auto"/>
            </w:tcBorders>
            <w:shd w:val="clear" w:color="auto" w:fill="FFFFFF" w:themeFill="background1"/>
            <w:vAlign w:val="bottom"/>
          </w:tcPr>
          <w:p w14:paraId="72032745" w14:textId="69ECCB46" w:rsidR="00A50046" w:rsidRDefault="00A50046" w:rsidP="00DE37BA">
            <w:pPr>
              <w:keepLines w:val="0"/>
              <w:jc w:val="center"/>
              <w:rPr>
                <w:rFonts w:ascii="Cambria" w:hAnsi="Cambria"/>
                <w:sz w:val="20"/>
                <w:lang w:val="es-ES"/>
              </w:rPr>
            </w:pPr>
            <w:r>
              <w:rPr>
                <w:rFonts w:ascii="Cambria" w:hAnsi="Cambria"/>
                <w:sz w:val="20"/>
                <w:lang w:val="es-ES"/>
              </w:rPr>
              <w:t>-</w:t>
            </w:r>
          </w:p>
        </w:tc>
      </w:tr>
      <w:tr w:rsidR="00A50046" w:rsidRPr="00183249" w14:paraId="4306C632" w14:textId="77777777" w:rsidTr="00DC6522">
        <w:trPr>
          <w:jc w:val="center"/>
        </w:trPr>
        <w:tc>
          <w:tcPr>
            <w:tcW w:w="5246" w:type="dxa"/>
            <w:tcBorders>
              <w:top w:val="nil"/>
              <w:bottom w:val="single" w:sz="4" w:space="0" w:color="auto"/>
              <w:right w:val="single" w:sz="4" w:space="0" w:color="auto"/>
            </w:tcBorders>
            <w:vAlign w:val="bottom"/>
          </w:tcPr>
          <w:p w14:paraId="1341B74D" w14:textId="75EE378A" w:rsidR="00A50046" w:rsidRPr="00183249" w:rsidRDefault="00A50046" w:rsidP="00A50046">
            <w:pPr>
              <w:keepLines w:val="0"/>
              <w:jc w:val="left"/>
              <w:rPr>
                <w:rFonts w:ascii="Cambria" w:hAnsi="Cambria"/>
                <w:sz w:val="20"/>
              </w:rPr>
            </w:pPr>
            <w:r>
              <w:rPr>
                <w:rFonts w:ascii="Cambria" w:hAnsi="Cambria"/>
                <w:sz w:val="20"/>
              </w:rPr>
              <w:t>Diferencias temporarias</w:t>
            </w:r>
          </w:p>
        </w:tc>
        <w:tc>
          <w:tcPr>
            <w:tcW w:w="1332" w:type="dxa"/>
            <w:tcBorders>
              <w:top w:val="nil"/>
              <w:left w:val="single" w:sz="4" w:space="0" w:color="auto"/>
              <w:bottom w:val="single" w:sz="4" w:space="0" w:color="auto"/>
              <w:right w:val="single" w:sz="4" w:space="0" w:color="auto"/>
            </w:tcBorders>
            <w:shd w:val="clear" w:color="auto" w:fill="FFFFFF" w:themeFill="background1"/>
            <w:vAlign w:val="bottom"/>
          </w:tcPr>
          <w:p w14:paraId="5B21B034" w14:textId="4B375659" w:rsidR="00A50046" w:rsidRPr="00DC6522" w:rsidRDefault="00DC6522" w:rsidP="00A50046">
            <w:pPr>
              <w:keepLines w:val="0"/>
              <w:jc w:val="right"/>
              <w:rPr>
                <w:rFonts w:ascii="Cambria" w:hAnsi="Cambria"/>
                <w:sz w:val="20"/>
                <w:lang w:val="es-ES"/>
              </w:rPr>
            </w:pPr>
            <w:r w:rsidRPr="00DC6522">
              <w:rPr>
                <w:rFonts w:ascii="Cambria" w:hAnsi="Cambria"/>
                <w:sz w:val="20"/>
                <w:lang w:val="es-ES"/>
              </w:rPr>
              <w:t>549</w:t>
            </w:r>
          </w:p>
        </w:tc>
        <w:tc>
          <w:tcPr>
            <w:tcW w:w="1360" w:type="dxa"/>
            <w:tcBorders>
              <w:top w:val="nil"/>
              <w:left w:val="single" w:sz="4" w:space="0" w:color="auto"/>
              <w:bottom w:val="single" w:sz="4" w:space="0" w:color="auto"/>
              <w:right w:val="single" w:sz="4" w:space="0" w:color="auto"/>
            </w:tcBorders>
            <w:shd w:val="clear" w:color="auto" w:fill="FFFFFF" w:themeFill="background1"/>
            <w:vAlign w:val="bottom"/>
          </w:tcPr>
          <w:p w14:paraId="575F29D0" w14:textId="3C3F1F30" w:rsidR="00A50046" w:rsidRPr="00DC6522" w:rsidRDefault="00A50046" w:rsidP="00A50046">
            <w:pPr>
              <w:keepLines w:val="0"/>
              <w:jc w:val="right"/>
              <w:rPr>
                <w:rFonts w:ascii="Cambria" w:hAnsi="Cambria"/>
                <w:sz w:val="20"/>
                <w:lang w:val="es-ES"/>
              </w:rPr>
            </w:pPr>
            <w:r w:rsidRPr="00DC6522">
              <w:rPr>
                <w:rFonts w:ascii="Cambria" w:hAnsi="Cambria"/>
                <w:sz w:val="20"/>
                <w:lang w:val="es-ES"/>
              </w:rPr>
              <w:t>195</w:t>
            </w:r>
          </w:p>
        </w:tc>
      </w:tr>
      <w:tr w:rsidR="00A50046" w:rsidRPr="00183249" w14:paraId="240B35D0" w14:textId="77777777" w:rsidTr="00DC6522">
        <w:trPr>
          <w:jc w:val="center"/>
        </w:trPr>
        <w:tc>
          <w:tcPr>
            <w:tcW w:w="5246" w:type="dxa"/>
            <w:tcBorders>
              <w:top w:val="single" w:sz="4" w:space="0" w:color="auto"/>
              <w:bottom w:val="single" w:sz="4" w:space="0" w:color="auto"/>
              <w:right w:val="single" w:sz="4" w:space="0" w:color="auto"/>
            </w:tcBorders>
            <w:vAlign w:val="bottom"/>
          </w:tcPr>
          <w:p w14:paraId="1F1B8144" w14:textId="77777777" w:rsidR="00A50046" w:rsidRPr="00D408B8" w:rsidRDefault="00A50046" w:rsidP="00A50046">
            <w:pPr>
              <w:keepLines w:val="0"/>
              <w:jc w:val="left"/>
              <w:rPr>
                <w:rFonts w:ascii="Cambria" w:hAnsi="Cambria"/>
                <w:b/>
                <w:sz w:val="20"/>
                <w:lang w:val="es-ES"/>
              </w:rPr>
            </w:pPr>
            <w:r w:rsidRPr="00D408B8">
              <w:rPr>
                <w:rFonts w:ascii="Cambria" w:hAnsi="Cambria"/>
                <w:b/>
                <w:sz w:val="20"/>
              </w:rPr>
              <w:t>Impuesto sobre Sociedades</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3AD748" w14:textId="35B72A91" w:rsidR="00A50046" w:rsidRPr="00DC6522" w:rsidRDefault="0027422F" w:rsidP="00A50046">
            <w:pPr>
              <w:keepLines w:val="0"/>
              <w:jc w:val="right"/>
              <w:rPr>
                <w:rFonts w:ascii="Cambria" w:hAnsi="Cambria"/>
                <w:b/>
                <w:sz w:val="20"/>
                <w:lang w:val="es-ES"/>
              </w:rPr>
            </w:pPr>
            <w:r>
              <w:rPr>
                <w:rFonts w:ascii="Cambria" w:hAnsi="Cambria"/>
                <w:b/>
                <w:sz w:val="20"/>
                <w:lang w:val="es-ES"/>
              </w:rPr>
              <w:t>(</w:t>
            </w:r>
            <w:r w:rsidR="00DC6522" w:rsidRPr="00DC6522">
              <w:rPr>
                <w:rFonts w:ascii="Cambria" w:hAnsi="Cambria"/>
                <w:b/>
                <w:sz w:val="20"/>
                <w:lang w:val="es-ES"/>
              </w:rPr>
              <w:t>1.</w:t>
            </w:r>
            <w:r w:rsidR="004F3FF9">
              <w:rPr>
                <w:rFonts w:ascii="Cambria" w:hAnsi="Cambria"/>
                <w:b/>
                <w:sz w:val="20"/>
                <w:lang w:val="es-ES"/>
              </w:rPr>
              <w:t>004</w:t>
            </w:r>
            <w:r>
              <w:rPr>
                <w:rFonts w:ascii="Cambria" w:hAnsi="Cambria"/>
                <w:b/>
                <w:sz w:val="20"/>
                <w:lang w:val="es-ES"/>
              </w:rPr>
              <w:t>)</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C81590" w14:textId="5C9C3759" w:rsidR="00A50046" w:rsidRPr="00DC6522" w:rsidRDefault="00A50046" w:rsidP="00A50046">
            <w:pPr>
              <w:keepLines w:val="0"/>
              <w:jc w:val="right"/>
              <w:rPr>
                <w:rFonts w:ascii="Cambria" w:hAnsi="Cambria"/>
                <w:b/>
                <w:sz w:val="20"/>
                <w:lang w:val="es-ES"/>
              </w:rPr>
            </w:pPr>
            <w:r w:rsidRPr="00DC6522">
              <w:rPr>
                <w:rFonts w:ascii="Cambria" w:hAnsi="Cambria"/>
                <w:b/>
                <w:sz w:val="20"/>
                <w:lang w:val="es-ES"/>
              </w:rPr>
              <w:t>790</w:t>
            </w:r>
          </w:p>
        </w:tc>
      </w:tr>
      <w:tr w:rsidR="00A50046" w:rsidRPr="00183249" w14:paraId="03F58AAD" w14:textId="77777777" w:rsidTr="00DC6522">
        <w:trPr>
          <w:jc w:val="center"/>
        </w:trPr>
        <w:tc>
          <w:tcPr>
            <w:tcW w:w="5246" w:type="dxa"/>
            <w:tcBorders>
              <w:top w:val="single" w:sz="4" w:space="0" w:color="auto"/>
              <w:left w:val="single" w:sz="4" w:space="0" w:color="auto"/>
              <w:bottom w:val="nil"/>
            </w:tcBorders>
            <w:shd w:val="clear" w:color="auto" w:fill="FFFFFF" w:themeFill="background1"/>
            <w:vAlign w:val="center"/>
          </w:tcPr>
          <w:p w14:paraId="5D1C3D2F" w14:textId="6BB6FA43" w:rsidR="00A50046" w:rsidRPr="00183249" w:rsidRDefault="00A50046" w:rsidP="00A50046">
            <w:pPr>
              <w:keepLines w:val="0"/>
              <w:jc w:val="left"/>
              <w:rPr>
                <w:rFonts w:ascii="Cambria" w:hAnsi="Cambria"/>
                <w:sz w:val="20"/>
              </w:rPr>
            </w:pPr>
            <w:r w:rsidRPr="00183249">
              <w:rPr>
                <w:rFonts w:ascii="Cambria" w:hAnsi="Cambria"/>
                <w:sz w:val="20"/>
              </w:rPr>
              <w:t xml:space="preserve">Deuda </w:t>
            </w:r>
            <w:r>
              <w:rPr>
                <w:rFonts w:ascii="Cambria" w:hAnsi="Cambria"/>
                <w:sz w:val="20"/>
              </w:rPr>
              <w:t xml:space="preserve">regularización fiscal- S.E.P.I. </w:t>
            </w:r>
            <w:r w:rsidRPr="00183249">
              <w:rPr>
                <w:rFonts w:ascii="Cambria" w:hAnsi="Cambria"/>
                <w:sz w:val="20"/>
              </w:rPr>
              <w:t xml:space="preserve"> </w:t>
            </w:r>
            <w:r>
              <w:rPr>
                <w:rFonts w:ascii="Cambria" w:hAnsi="Cambria"/>
                <w:sz w:val="20"/>
              </w:rPr>
              <w:t>(*) (Nota 10.1)</w:t>
            </w:r>
          </w:p>
        </w:tc>
        <w:tc>
          <w:tcPr>
            <w:tcW w:w="1332" w:type="dxa"/>
            <w:tcBorders>
              <w:top w:val="single" w:sz="4" w:space="0" w:color="auto"/>
              <w:bottom w:val="nil"/>
            </w:tcBorders>
            <w:shd w:val="clear" w:color="auto" w:fill="auto"/>
            <w:vAlign w:val="center"/>
          </w:tcPr>
          <w:p w14:paraId="1F641F00" w14:textId="5D424E10" w:rsidR="00A50046" w:rsidRPr="00DC6522" w:rsidRDefault="00DE37BA" w:rsidP="00DE37BA">
            <w:pPr>
              <w:keepLines w:val="0"/>
              <w:jc w:val="center"/>
              <w:rPr>
                <w:rFonts w:ascii="Cambria" w:hAnsi="Cambria"/>
                <w:sz w:val="20"/>
              </w:rPr>
            </w:pPr>
            <w:r w:rsidRPr="00DC6522">
              <w:rPr>
                <w:rFonts w:ascii="Cambria" w:hAnsi="Cambria"/>
                <w:sz w:val="20"/>
              </w:rPr>
              <w:t>-</w:t>
            </w:r>
          </w:p>
        </w:tc>
        <w:tc>
          <w:tcPr>
            <w:tcW w:w="1360" w:type="dxa"/>
            <w:tcBorders>
              <w:top w:val="single" w:sz="4" w:space="0" w:color="auto"/>
              <w:bottom w:val="nil"/>
            </w:tcBorders>
            <w:vAlign w:val="center"/>
          </w:tcPr>
          <w:p w14:paraId="514A4ECD" w14:textId="70043309" w:rsidR="00A50046" w:rsidRPr="00DC6522" w:rsidRDefault="00A50046" w:rsidP="0035286D">
            <w:pPr>
              <w:keepLines w:val="0"/>
              <w:jc w:val="right"/>
              <w:rPr>
                <w:rFonts w:ascii="Cambria" w:hAnsi="Cambria"/>
                <w:b/>
                <w:bCs/>
                <w:sz w:val="20"/>
                <w:lang w:val="es-ES"/>
              </w:rPr>
            </w:pPr>
            <w:r w:rsidRPr="00DC6522">
              <w:rPr>
                <w:rFonts w:ascii="Cambria" w:hAnsi="Cambria"/>
                <w:sz w:val="20"/>
              </w:rPr>
              <w:t>868</w:t>
            </w:r>
          </w:p>
        </w:tc>
      </w:tr>
      <w:tr w:rsidR="00A50046" w:rsidRPr="00183249" w14:paraId="35878BBA" w14:textId="77777777" w:rsidTr="00DC6522">
        <w:trPr>
          <w:jc w:val="center"/>
        </w:trPr>
        <w:tc>
          <w:tcPr>
            <w:tcW w:w="5246" w:type="dxa"/>
            <w:vAlign w:val="center"/>
          </w:tcPr>
          <w:p w14:paraId="5241031C" w14:textId="0E887144" w:rsidR="00A50046" w:rsidRPr="00183249" w:rsidRDefault="00A50046" w:rsidP="00A50046">
            <w:pPr>
              <w:keepLines w:val="0"/>
              <w:jc w:val="left"/>
              <w:rPr>
                <w:rFonts w:ascii="Cambria" w:hAnsi="Cambria"/>
                <w:b/>
                <w:bCs/>
                <w:sz w:val="20"/>
              </w:rPr>
            </w:pPr>
            <w:r w:rsidRPr="00183249">
              <w:rPr>
                <w:rFonts w:ascii="Cambria" w:hAnsi="Cambria"/>
                <w:b/>
                <w:bCs/>
                <w:sz w:val="20"/>
              </w:rPr>
              <w:t>Total Gasto/(Ingreso) I.S.</w:t>
            </w:r>
          </w:p>
        </w:tc>
        <w:tc>
          <w:tcPr>
            <w:tcW w:w="1332" w:type="dxa"/>
            <w:shd w:val="clear" w:color="auto" w:fill="FFFFFF" w:themeFill="background1"/>
            <w:vAlign w:val="center"/>
          </w:tcPr>
          <w:p w14:paraId="23211BD2" w14:textId="4EE8BEEA" w:rsidR="00A50046" w:rsidRPr="00DC6522" w:rsidRDefault="0027422F" w:rsidP="00A50046">
            <w:pPr>
              <w:keepLines w:val="0"/>
              <w:jc w:val="right"/>
              <w:rPr>
                <w:rFonts w:ascii="Cambria" w:hAnsi="Cambria"/>
                <w:b/>
                <w:sz w:val="20"/>
              </w:rPr>
            </w:pPr>
            <w:r>
              <w:rPr>
                <w:rFonts w:ascii="Cambria" w:hAnsi="Cambria"/>
                <w:b/>
                <w:sz w:val="20"/>
              </w:rPr>
              <w:t>(</w:t>
            </w:r>
            <w:r w:rsidR="00DC6522" w:rsidRPr="00DC6522">
              <w:rPr>
                <w:rFonts w:ascii="Cambria" w:hAnsi="Cambria"/>
                <w:b/>
                <w:sz w:val="20"/>
              </w:rPr>
              <w:t>1.</w:t>
            </w:r>
            <w:r w:rsidR="004F3FF9">
              <w:rPr>
                <w:rFonts w:ascii="Cambria" w:hAnsi="Cambria"/>
                <w:b/>
                <w:sz w:val="20"/>
              </w:rPr>
              <w:t>004</w:t>
            </w:r>
            <w:r>
              <w:rPr>
                <w:rFonts w:ascii="Cambria" w:hAnsi="Cambria"/>
                <w:b/>
                <w:sz w:val="20"/>
              </w:rPr>
              <w:t>)</w:t>
            </w:r>
          </w:p>
        </w:tc>
        <w:tc>
          <w:tcPr>
            <w:tcW w:w="1360" w:type="dxa"/>
            <w:shd w:val="clear" w:color="auto" w:fill="FFFFFF" w:themeFill="background1"/>
            <w:vAlign w:val="center"/>
          </w:tcPr>
          <w:p w14:paraId="542CA3B9" w14:textId="6C26DB13" w:rsidR="00A50046" w:rsidRPr="00DC6522" w:rsidRDefault="00A50046" w:rsidP="00A50046">
            <w:pPr>
              <w:keepLines w:val="0"/>
              <w:jc w:val="right"/>
              <w:rPr>
                <w:rFonts w:ascii="Cambria" w:hAnsi="Cambria"/>
                <w:b/>
                <w:bCs/>
                <w:sz w:val="20"/>
                <w:lang w:val="es-ES"/>
              </w:rPr>
            </w:pPr>
            <w:r w:rsidRPr="00DC6522">
              <w:rPr>
                <w:rFonts w:ascii="Cambria" w:hAnsi="Cambria"/>
                <w:b/>
                <w:sz w:val="20"/>
              </w:rPr>
              <w:t>1.658</w:t>
            </w:r>
          </w:p>
        </w:tc>
      </w:tr>
    </w:tbl>
    <w:p w14:paraId="7DD5BF66" w14:textId="77777777" w:rsidR="001B2B25" w:rsidRDefault="001B2B25" w:rsidP="001B2B25">
      <w:pPr>
        <w:pStyle w:val="Listaconnmeros"/>
        <w:ind w:left="426" w:firstLine="0"/>
        <w:rPr>
          <w:rFonts w:ascii="Cambria" w:hAnsi="Cambria"/>
          <w:sz w:val="24"/>
          <w:szCs w:val="24"/>
        </w:rPr>
      </w:pPr>
    </w:p>
    <w:p w14:paraId="4604D2E4" w14:textId="38544725" w:rsidR="003D14B9" w:rsidRPr="008906E2" w:rsidRDefault="003D14B9" w:rsidP="008906E2">
      <w:pPr>
        <w:keepLines w:val="0"/>
        <w:widowControl/>
        <w:ind w:left="426"/>
        <w:jc w:val="left"/>
        <w:rPr>
          <w:rFonts w:ascii="Cambria" w:hAnsi="Cambria"/>
          <w:sz w:val="18"/>
          <w:szCs w:val="18"/>
        </w:rPr>
      </w:pPr>
      <w:r w:rsidRPr="008906E2">
        <w:rPr>
          <w:rFonts w:ascii="Cambria" w:hAnsi="Cambria"/>
          <w:sz w:val="18"/>
          <w:szCs w:val="18"/>
        </w:rPr>
        <w:t xml:space="preserve">(*) Deuda correspondiente a la regularización de </w:t>
      </w:r>
      <w:r w:rsidR="008906E2" w:rsidRPr="008906E2">
        <w:rPr>
          <w:rFonts w:ascii="Cambria" w:hAnsi="Cambria"/>
          <w:sz w:val="18"/>
          <w:szCs w:val="18"/>
        </w:rPr>
        <w:t>las compensaciones percibidas de S.E.P.I por los créditos fiscales de los ejercicios 2011 a 2018 derivados de la no deducibilidad de los recargos de prestaciones por asbestosis.</w:t>
      </w:r>
    </w:p>
    <w:p w14:paraId="25D66D92" w14:textId="77777777" w:rsidR="003D14B9" w:rsidRDefault="003D14B9" w:rsidP="003D14B9">
      <w:pPr>
        <w:pStyle w:val="Lista"/>
        <w:ind w:firstLine="143"/>
        <w:rPr>
          <w:rFonts w:ascii="Cambria" w:hAnsi="Cambria"/>
          <w:sz w:val="20"/>
        </w:rPr>
      </w:pPr>
    </w:p>
    <w:p w14:paraId="0C1CA0DF" w14:textId="1E0DF9B0" w:rsidR="001B2B25" w:rsidRPr="00CC5836" w:rsidRDefault="008906E2" w:rsidP="001B2B25">
      <w:pPr>
        <w:pStyle w:val="Listaconnmeros"/>
        <w:ind w:left="426" w:firstLine="0"/>
        <w:rPr>
          <w:rFonts w:ascii="Cambria" w:hAnsi="Cambria"/>
          <w:sz w:val="24"/>
          <w:szCs w:val="24"/>
        </w:rPr>
      </w:pPr>
      <w:r>
        <w:rPr>
          <w:rFonts w:ascii="Cambria" w:hAnsi="Cambria"/>
          <w:sz w:val="24"/>
          <w:szCs w:val="24"/>
        </w:rPr>
        <w:tab/>
      </w:r>
      <w:r w:rsidR="001B2B25" w:rsidRPr="00CC5836">
        <w:rPr>
          <w:rFonts w:ascii="Cambria" w:hAnsi="Cambria"/>
          <w:sz w:val="24"/>
          <w:szCs w:val="24"/>
        </w:rPr>
        <w:t xml:space="preserve">El detalle del saldo de la cuenta de Activos por impuesto diferido, </w:t>
      </w:r>
      <w:r w:rsidR="00B82EA9" w:rsidRPr="00CC5836">
        <w:rPr>
          <w:rFonts w:ascii="Cambria" w:hAnsi="Cambria"/>
          <w:sz w:val="24"/>
          <w:szCs w:val="24"/>
        </w:rPr>
        <w:t>al cierre de los ejercicios 20</w:t>
      </w:r>
      <w:r w:rsidR="00A50046">
        <w:rPr>
          <w:rFonts w:ascii="Cambria" w:hAnsi="Cambria"/>
          <w:sz w:val="24"/>
          <w:szCs w:val="24"/>
        </w:rPr>
        <w:t>20</w:t>
      </w:r>
      <w:r w:rsidR="00CC5836">
        <w:rPr>
          <w:rFonts w:ascii="Cambria" w:hAnsi="Cambria"/>
          <w:sz w:val="24"/>
          <w:szCs w:val="24"/>
        </w:rPr>
        <w:t xml:space="preserve"> y 201</w:t>
      </w:r>
      <w:r w:rsidR="00A50046">
        <w:rPr>
          <w:rFonts w:ascii="Cambria" w:hAnsi="Cambria"/>
          <w:sz w:val="24"/>
          <w:szCs w:val="24"/>
        </w:rPr>
        <w:t>9</w:t>
      </w:r>
      <w:r w:rsidR="001B2B25" w:rsidRPr="00CC5836">
        <w:rPr>
          <w:rFonts w:ascii="Cambria" w:hAnsi="Cambria"/>
          <w:sz w:val="24"/>
          <w:szCs w:val="24"/>
        </w:rPr>
        <w:t>, es el siguiente (en miles de euros):</w:t>
      </w:r>
    </w:p>
    <w:p w14:paraId="41544562" w14:textId="77777777" w:rsidR="001B2B25" w:rsidRPr="00C407D3" w:rsidRDefault="001B2B25" w:rsidP="001B2B25">
      <w:pPr>
        <w:pStyle w:val="Lista"/>
        <w:rPr>
          <w:highlight w:val="yellow"/>
        </w:rPr>
      </w:pP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gridCol w:w="1303"/>
        <w:gridCol w:w="1303"/>
      </w:tblGrid>
      <w:tr w:rsidR="00A50046" w:rsidRPr="0081499D" w14:paraId="032D03B3" w14:textId="77777777" w:rsidTr="00A50046">
        <w:trPr>
          <w:jc w:val="center"/>
        </w:trPr>
        <w:tc>
          <w:tcPr>
            <w:tcW w:w="5156" w:type="dxa"/>
            <w:tcBorders>
              <w:top w:val="nil"/>
              <w:left w:val="nil"/>
              <w:bottom w:val="single" w:sz="4" w:space="0" w:color="auto"/>
            </w:tcBorders>
            <w:vAlign w:val="bottom"/>
          </w:tcPr>
          <w:p w14:paraId="58F6872F" w14:textId="77777777" w:rsidR="00A50046" w:rsidRPr="001427FC" w:rsidRDefault="00A50046" w:rsidP="00A50046">
            <w:pPr>
              <w:keepLines w:val="0"/>
              <w:widowControl/>
              <w:jc w:val="center"/>
              <w:rPr>
                <w:rFonts w:ascii="Cambria" w:hAnsi="Cambria"/>
                <w:sz w:val="20"/>
                <w:lang w:val="es-ES"/>
              </w:rPr>
            </w:pPr>
            <w:r w:rsidRPr="001427FC">
              <w:rPr>
                <w:rFonts w:ascii="Cambria" w:hAnsi="Cambria"/>
                <w:sz w:val="20"/>
                <w:lang w:val="es-ES"/>
              </w:rPr>
              <w:t> </w:t>
            </w:r>
          </w:p>
        </w:tc>
        <w:tc>
          <w:tcPr>
            <w:tcW w:w="1303" w:type="dxa"/>
            <w:tcBorders>
              <w:bottom w:val="single" w:sz="4" w:space="0" w:color="auto"/>
            </w:tcBorders>
            <w:shd w:val="clear" w:color="auto" w:fill="auto"/>
            <w:vAlign w:val="center"/>
          </w:tcPr>
          <w:p w14:paraId="04ACF3F7" w14:textId="58A2C2C4" w:rsidR="00A50046" w:rsidRPr="00946E70" w:rsidRDefault="00A50046" w:rsidP="00A50046">
            <w:pPr>
              <w:keepLines w:val="0"/>
              <w:widowControl/>
              <w:jc w:val="center"/>
              <w:rPr>
                <w:rFonts w:ascii="Cambria" w:hAnsi="Cambria"/>
                <w:b/>
                <w:bCs/>
                <w:sz w:val="20"/>
                <w:lang w:val="es-ES"/>
              </w:rPr>
            </w:pPr>
            <w:r w:rsidRPr="00946E70">
              <w:rPr>
                <w:rFonts w:ascii="Cambria" w:hAnsi="Cambria"/>
                <w:b/>
                <w:bCs/>
                <w:snapToGrid w:val="0"/>
                <w:sz w:val="20"/>
                <w:lang w:val="es-ES"/>
              </w:rPr>
              <w:t>20</w:t>
            </w:r>
            <w:r>
              <w:rPr>
                <w:rFonts w:ascii="Cambria" w:hAnsi="Cambria"/>
                <w:b/>
                <w:bCs/>
                <w:snapToGrid w:val="0"/>
                <w:sz w:val="20"/>
                <w:lang w:val="es-ES"/>
              </w:rPr>
              <w:t>20</w:t>
            </w:r>
          </w:p>
        </w:tc>
        <w:tc>
          <w:tcPr>
            <w:tcW w:w="1303" w:type="dxa"/>
            <w:tcBorders>
              <w:bottom w:val="single" w:sz="4" w:space="0" w:color="auto"/>
            </w:tcBorders>
            <w:vAlign w:val="center"/>
          </w:tcPr>
          <w:p w14:paraId="5CD8A847" w14:textId="4C8189E8" w:rsidR="00A50046" w:rsidRPr="00CC5836" w:rsidRDefault="00A50046" w:rsidP="00A50046">
            <w:pPr>
              <w:keepLines w:val="0"/>
              <w:widowControl/>
              <w:jc w:val="center"/>
              <w:rPr>
                <w:rFonts w:ascii="Cambria" w:hAnsi="Cambria"/>
                <w:b/>
                <w:bCs/>
                <w:snapToGrid w:val="0"/>
                <w:sz w:val="20"/>
                <w:lang w:val="es-ES"/>
              </w:rPr>
            </w:pPr>
            <w:r w:rsidRPr="00946E70">
              <w:rPr>
                <w:rFonts w:ascii="Cambria" w:hAnsi="Cambria"/>
                <w:b/>
                <w:bCs/>
                <w:snapToGrid w:val="0"/>
                <w:sz w:val="20"/>
                <w:lang w:val="es-ES"/>
              </w:rPr>
              <w:t>2019</w:t>
            </w:r>
          </w:p>
        </w:tc>
      </w:tr>
      <w:tr w:rsidR="00A50046" w:rsidRPr="0081499D" w14:paraId="3D58C6CF" w14:textId="77777777" w:rsidTr="00A50046">
        <w:trPr>
          <w:jc w:val="center"/>
        </w:trPr>
        <w:tc>
          <w:tcPr>
            <w:tcW w:w="5156" w:type="dxa"/>
            <w:tcBorders>
              <w:top w:val="nil"/>
              <w:bottom w:val="nil"/>
              <w:right w:val="single" w:sz="4" w:space="0" w:color="auto"/>
            </w:tcBorders>
            <w:vAlign w:val="bottom"/>
          </w:tcPr>
          <w:p w14:paraId="70F3A631" w14:textId="77777777" w:rsidR="00A50046" w:rsidRPr="001427FC" w:rsidRDefault="00A50046" w:rsidP="00A50046">
            <w:pPr>
              <w:keepLines w:val="0"/>
              <w:widowControl/>
              <w:jc w:val="left"/>
              <w:rPr>
                <w:rFonts w:ascii="Cambria" w:hAnsi="Cambria"/>
                <w:b/>
                <w:bCs/>
                <w:sz w:val="20"/>
                <w:lang w:val="es-ES"/>
              </w:rPr>
            </w:pPr>
            <w:r w:rsidRPr="001427FC">
              <w:rPr>
                <w:rFonts w:ascii="Cambria" w:hAnsi="Cambria"/>
                <w:b/>
                <w:bCs/>
                <w:sz w:val="20"/>
              </w:rPr>
              <w:t>Diferencias temporarias</w:t>
            </w:r>
          </w:p>
        </w:tc>
        <w:tc>
          <w:tcPr>
            <w:tcW w:w="1303" w:type="dxa"/>
            <w:tcBorders>
              <w:top w:val="nil"/>
              <w:left w:val="single" w:sz="4" w:space="0" w:color="auto"/>
              <w:bottom w:val="nil"/>
              <w:right w:val="single" w:sz="4" w:space="0" w:color="auto"/>
            </w:tcBorders>
            <w:shd w:val="clear" w:color="auto" w:fill="auto"/>
          </w:tcPr>
          <w:p w14:paraId="4E3BA089" w14:textId="6F8CB721" w:rsidR="00A50046" w:rsidRPr="00DC6522" w:rsidRDefault="00A50046" w:rsidP="00A50046">
            <w:pPr>
              <w:keepLines w:val="0"/>
              <w:widowControl/>
              <w:rPr>
                <w:rFonts w:ascii="Cambria" w:hAnsi="Cambria"/>
                <w:sz w:val="20"/>
                <w:lang w:val="es-ES"/>
              </w:rPr>
            </w:pPr>
          </w:p>
        </w:tc>
        <w:tc>
          <w:tcPr>
            <w:tcW w:w="1303" w:type="dxa"/>
            <w:tcBorders>
              <w:top w:val="nil"/>
              <w:left w:val="single" w:sz="4" w:space="0" w:color="auto"/>
              <w:bottom w:val="nil"/>
              <w:right w:val="single" w:sz="4" w:space="0" w:color="auto"/>
            </w:tcBorders>
          </w:tcPr>
          <w:p w14:paraId="24B802FC" w14:textId="20945543" w:rsidR="00A50046" w:rsidRPr="00A42905" w:rsidRDefault="00A50046" w:rsidP="00A50046">
            <w:pPr>
              <w:keepLines w:val="0"/>
              <w:widowControl/>
              <w:rPr>
                <w:rFonts w:ascii="Cambria" w:hAnsi="Cambria"/>
                <w:sz w:val="20"/>
              </w:rPr>
            </w:pPr>
            <w:r w:rsidRPr="00946E70">
              <w:rPr>
                <w:rFonts w:ascii="Cambria" w:hAnsi="Cambria"/>
                <w:sz w:val="20"/>
              </w:rPr>
              <w:t> </w:t>
            </w:r>
          </w:p>
        </w:tc>
      </w:tr>
      <w:tr w:rsidR="00A50046" w:rsidRPr="0081499D" w14:paraId="5329C253" w14:textId="77777777" w:rsidTr="00A50046">
        <w:trPr>
          <w:jc w:val="center"/>
        </w:trPr>
        <w:tc>
          <w:tcPr>
            <w:tcW w:w="5156" w:type="dxa"/>
            <w:tcBorders>
              <w:top w:val="nil"/>
              <w:bottom w:val="nil"/>
              <w:right w:val="single" w:sz="4" w:space="0" w:color="auto"/>
            </w:tcBorders>
            <w:vAlign w:val="bottom"/>
          </w:tcPr>
          <w:p w14:paraId="11CFC925" w14:textId="77777777" w:rsidR="00A50046" w:rsidRPr="00C07F59" w:rsidRDefault="00A50046" w:rsidP="00A50046">
            <w:pPr>
              <w:keepLines w:val="0"/>
              <w:widowControl/>
              <w:jc w:val="left"/>
              <w:rPr>
                <w:rFonts w:ascii="Cambria" w:hAnsi="Cambria"/>
                <w:sz w:val="20"/>
                <w:lang w:val="es-ES"/>
              </w:rPr>
            </w:pPr>
            <w:r w:rsidRPr="00C07F59">
              <w:rPr>
                <w:rFonts w:ascii="Cambria" w:hAnsi="Cambria"/>
                <w:sz w:val="20"/>
              </w:rPr>
              <w:t xml:space="preserve">    Provisiones de responsabilidades y litigios</w:t>
            </w:r>
          </w:p>
        </w:tc>
        <w:tc>
          <w:tcPr>
            <w:tcW w:w="1303" w:type="dxa"/>
            <w:tcBorders>
              <w:top w:val="nil"/>
              <w:left w:val="single" w:sz="4" w:space="0" w:color="auto"/>
              <w:bottom w:val="nil"/>
              <w:right w:val="single" w:sz="4" w:space="0" w:color="auto"/>
            </w:tcBorders>
            <w:shd w:val="clear" w:color="auto" w:fill="auto"/>
            <w:vAlign w:val="bottom"/>
          </w:tcPr>
          <w:p w14:paraId="6B645107" w14:textId="58BDE106" w:rsidR="00A50046" w:rsidRPr="00C07F59" w:rsidRDefault="004874FD" w:rsidP="00A50046">
            <w:pPr>
              <w:keepLines w:val="0"/>
              <w:widowControl/>
              <w:jc w:val="right"/>
              <w:rPr>
                <w:rFonts w:ascii="Cambria" w:hAnsi="Cambria"/>
                <w:sz w:val="20"/>
                <w:lang w:val="es-ES"/>
              </w:rPr>
            </w:pPr>
            <w:r>
              <w:rPr>
                <w:rFonts w:ascii="Cambria" w:hAnsi="Cambria"/>
                <w:sz w:val="20"/>
                <w:lang w:val="es-ES"/>
              </w:rPr>
              <w:t>880</w:t>
            </w:r>
          </w:p>
        </w:tc>
        <w:tc>
          <w:tcPr>
            <w:tcW w:w="1303" w:type="dxa"/>
            <w:tcBorders>
              <w:top w:val="nil"/>
              <w:left w:val="single" w:sz="4" w:space="0" w:color="auto"/>
              <w:bottom w:val="nil"/>
              <w:right w:val="single" w:sz="4" w:space="0" w:color="auto"/>
            </w:tcBorders>
            <w:vAlign w:val="bottom"/>
          </w:tcPr>
          <w:p w14:paraId="2B9DC431" w14:textId="7597A5DB" w:rsidR="00A50046" w:rsidRPr="00C07F59" w:rsidRDefault="00A50046" w:rsidP="00A50046">
            <w:pPr>
              <w:keepLines w:val="0"/>
              <w:widowControl/>
              <w:jc w:val="right"/>
              <w:rPr>
                <w:rFonts w:ascii="Cambria" w:hAnsi="Cambria"/>
                <w:sz w:val="20"/>
                <w:lang w:val="es-ES"/>
              </w:rPr>
            </w:pPr>
            <w:r w:rsidRPr="00C07F59">
              <w:rPr>
                <w:rFonts w:ascii="Cambria" w:hAnsi="Cambria"/>
                <w:sz w:val="20"/>
                <w:lang w:val="es-ES"/>
              </w:rPr>
              <w:t>886</w:t>
            </w:r>
          </w:p>
        </w:tc>
      </w:tr>
      <w:tr w:rsidR="00A50046" w:rsidRPr="0081499D" w14:paraId="1524C908" w14:textId="77777777" w:rsidTr="00A50046">
        <w:trPr>
          <w:jc w:val="center"/>
        </w:trPr>
        <w:tc>
          <w:tcPr>
            <w:tcW w:w="5156" w:type="dxa"/>
            <w:tcBorders>
              <w:top w:val="nil"/>
              <w:bottom w:val="nil"/>
              <w:right w:val="single" w:sz="4" w:space="0" w:color="auto"/>
            </w:tcBorders>
            <w:vAlign w:val="bottom"/>
          </w:tcPr>
          <w:p w14:paraId="0410DA8D" w14:textId="77777777" w:rsidR="00A50046" w:rsidRPr="00C07F59" w:rsidRDefault="00A50046" w:rsidP="00A50046">
            <w:pPr>
              <w:keepLines w:val="0"/>
              <w:widowControl/>
              <w:jc w:val="left"/>
              <w:rPr>
                <w:rFonts w:ascii="Cambria" w:hAnsi="Cambria"/>
                <w:sz w:val="20"/>
                <w:lang w:val="es-ES"/>
              </w:rPr>
            </w:pPr>
            <w:r w:rsidRPr="00C07F59">
              <w:rPr>
                <w:rFonts w:ascii="Cambria" w:hAnsi="Cambria"/>
                <w:sz w:val="20"/>
              </w:rPr>
              <w:t xml:space="preserve">    Movimientos por obligaciones con el personal pasivo</w:t>
            </w:r>
          </w:p>
        </w:tc>
        <w:tc>
          <w:tcPr>
            <w:tcW w:w="1303" w:type="dxa"/>
            <w:tcBorders>
              <w:top w:val="nil"/>
              <w:left w:val="single" w:sz="4" w:space="0" w:color="auto"/>
              <w:bottom w:val="nil"/>
              <w:right w:val="single" w:sz="4" w:space="0" w:color="auto"/>
            </w:tcBorders>
            <w:shd w:val="clear" w:color="auto" w:fill="auto"/>
            <w:vAlign w:val="bottom"/>
          </w:tcPr>
          <w:p w14:paraId="159D0906" w14:textId="076E8EDB" w:rsidR="00A50046" w:rsidRPr="00C07F59" w:rsidRDefault="004874FD" w:rsidP="00A50046">
            <w:pPr>
              <w:keepLines w:val="0"/>
              <w:widowControl/>
              <w:jc w:val="right"/>
              <w:rPr>
                <w:rFonts w:ascii="Cambria" w:hAnsi="Cambria"/>
                <w:sz w:val="20"/>
                <w:lang w:val="es-ES"/>
              </w:rPr>
            </w:pPr>
            <w:r>
              <w:rPr>
                <w:rFonts w:ascii="Cambria" w:hAnsi="Cambria"/>
                <w:sz w:val="20"/>
                <w:lang w:val="es-ES"/>
              </w:rPr>
              <w:t>1.988</w:t>
            </w:r>
          </w:p>
        </w:tc>
        <w:tc>
          <w:tcPr>
            <w:tcW w:w="1303" w:type="dxa"/>
            <w:tcBorders>
              <w:top w:val="nil"/>
              <w:left w:val="single" w:sz="4" w:space="0" w:color="auto"/>
              <w:bottom w:val="nil"/>
              <w:right w:val="single" w:sz="4" w:space="0" w:color="auto"/>
            </w:tcBorders>
            <w:vAlign w:val="bottom"/>
          </w:tcPr>
          <w:p w14:paraId="612C8619" w14:textId="55C2BD71" w:rsidR="00A50046" w:rsidRPr="00C07F59" w:rsidRDefault="00A50046" w:rsidP="00A50046">
            <w:pPr>
              <w:keepLines w:val="0"/>
              <w:widowControl/>
              <w:jc w:val="right"/>
              <w:rPr>
                <w:rFonts w:ascii="Cambria" w:hAnsi="Cambria"/>
                <w:sz w:val="20"/>
                <w:lang w:val="es-ES"/>
              </w:rPr>
            </w:pPr>
            <w:r w:rsidRPr="00C07F59">
              <w:rPr>
                <w:rFonts w:ascii="Cambria" w:hAnsi="Cambria"/>
                <w:sz w:val="20"/>
                <w:lang w:val="es-ES"/>
              </w:rPr>
              <w:t>2.477</w:t>
            </w:r>
          </w:p>
        </w:tc>
      </w:tr>
      <w:tr w:rsidR="00A50046" w:rsidRPr="0081499D" w14:paraId="641C6483" w14:textId="77777777" w:rsidTr="00A50046">
        <w:trPr>
          <w:jc w:val="center"/>
        </w:trPr>
        <w:tc>
          <w:tcPr>
            <w:tcW w:w="5156" w:type="dxa"/>
            <w:tcBorders>
              <w:top w:val="nil"/>
              <w:bottom w:val="nil"/>
              <w:right w:val="single" w:sz="4" w:space="0" w:color="auto"/>
            </w:tcBorders>
            <w:vAlign w:val="bottom"/>
          </w:tcPr>
          <w:p w14:paraId="3F40EB62" w14:textId="77777777" w:rsidR="00A50046" w:rsidRPr="00C07F59" w:rsidRDefault="00A50046" w:rsidP="00A50046">
            <w:pPr>
              <w:keepLines w:val="0"/>
              <w:widowControl/>
              <w:jc w:val="left"/>
              <w:rPr>
                <w:rFonts w:ascii="Cambria" w:hAnsi="Cambria"/>
                <w:sz w:val="20"/>
                <w:lang w:val="es-ES"/>
              </w:rPr>
            </w:pPr>
            <w:r w:rsidRPr="00C07F59">
              <w:rPr>
                <w:rFonts w:ascii="Cambria" w:hAnsi="Cambria"/>
                <w:sz w:val="20"/>
              </w:rPr>
              <w:t xml:space="preserve">    Pérdida por deterioro valor inmovilizado material</w:t>
            </w:r>
          </w:p>
        </w:tc>
        <w:tc>
          <w:tcPr>
            <w:tcW w:w="1303" w:type="dxa"/>
            <w:tcBorders>
              <w:top w:val="nil"/>
              <w:left w:val="single" w:sz="4" w:space="0" w:color="auto"/>
              <w:bottom w:val="nil"/>
              <w:right w:val="single" w:sz="4" w:space="0" w:color="auto"/>
            </w:tcBorders>
            <w:shd w:val="clear" w:color="auto" w:fill="auto"/>
            <w:vAlign w:val="bottom"/>
          </w:tcPr>
          <w:p w14:paraId="3892E046" w14:textId="36B8B2F2" w:rsidR="00A50046" w:rsidRPr="00C07F59" w:rsidRDefault="00C07F59" w:rsidP="00A50046">
            <w:pPr>
              <w:keepLines w:val="0"/>
              <w:widowControl/>
              <w:jc w:val="right"/>
              <w:rPr>
                <w:rFonts w:ascii="Cambria" w:hAnsi="Cambria"/>
                <w:sz w:val="20"/>
                <w:lang w:val="es-ES"/>
              </w:rPr>
            </w:pPr>
            <w:r w:rsidRPr="00C07F59">
              <w:rPr>
                <w:rFonts w:ascii="Cambria" w:hAnsi="Cambria"/>
                <w:sz w:val="20"/>
                <w:lang w:val="es-ES"/>
              </w:rPr>
              <w:t>5</w:t>
            </w:r>
          </w:p>
        </w:tc>
        <w:tc>
          <w:tcPr>
            <w:tcW w:w="1303" w:type="dxa"/>
            <w:tcBorders>
              <w:top w:val="nil"/>
              <w:left w:val="single" w:sz="4" w:space="0" w:color="auto"/>
              <w:bottom w:val="nil"/>
              <w:right w:val="single" w:sz="4" w:space="0" w:color="auto"/>
            </w:tcBorders>
            <w:vAlign w:val="bottom"/>
          </w:tcPr>
          <w:p w14:paraId="0FE36CC8" w14:textId="2AEA6DB2" w:rsidR="00A50046" w:rsidRPr="00C07F59" w:rsidRDefault="00A50046" w:rsidP="00A50046">
            <w:pPr>
              <w:keepLines w:val="0"/>
              <w:widowControl/>
              <w:jc w:val="right"/>
              <w:rPr>
                <w:rFonts w:ascii="Cambria" w:hAnsi="Cambria"/>
                <w:sz w:val="20"/>
                <w:lang w:val="es-ES"/>
              </w:rPr>
            </w:pPr>
            <w:r w:rsidRPr="00C07F59">
              <w:rPr>
                <w:rFonts w:ascii="Cambria" w:hAnsi="Cambria"/>
                <w:sz w:val="20"/>
                <w:lang w:val="es-ES"/>
              </w:rPr>
              <w:t>5</w:t>
            </w:r>
          </w:p>
        </w:tc>
      </w:tr>
      <w:tr w:rsidR="00A50046" w:rsidRPr="0081499D" w14:paraId="75E6BA84" w14:textId="77777777" w:rsidTr="00A50046">
        <w:trPr>
          <w:jc w:val="center"/>
        </w:trPr>
        <w:tc>
          <w:tcPr>
            <w:tcW w:w="5156" w:type="dxa"/>
            <w:tcBorders>
              <w:top w:val="nil"/>
              <w:bottom w:val="nil"/>
              <w:right w:val="single" w:sz="4" w:space="0" w:color="auto"/>
            </w:tcBorders>
            <w:vAlign w:val="bottom"/>
          </w:tcPr>
          <w:p w14:paraId="3048E7B5" w14:textId="77777777" w:rsidR="00A50046" w:rsidRPr="00C07F59" w:rsidRDefault="00A50046" w:rsidP="00A50046">
            <w:pPr>
              <w:keepLines w:val="0"/>
              <w:widowControl/>
              <w:jc w:val="left"/>
              <w:rPr>
                <w:rFonts w:ascii="Cambria" w:hAnsi="Cambria"/>
                <w:sz w:val="20"/>
              </w:rPr>
            </w:pPr>
            <w:r w:rsidRPr="00C07F59">
              <w:rPr>
                <w:rFonts w:ascii="Cambria" w:hAnsi="Cambria"/>
                <w:sz w:val="20"/>
              </w:rPr>
              <w:t xml:space="preserve">    Provisión para actuaciones medioambientales</w:t>
            </w:r>
          </w:p>
        </w:tc>
        <w:tc>
          <w:tcPr>
            <w:tcW w:w="1303" w:type="dxa"/>
            <w:tcBorders>
              <w:top w:val="nil"/>
              <w:left w:val="single" w:sz="4" w:space="0" w:color="auto"/>
              <w:bottom w:val="nil"/>
              <w:right w:val="single" w:sz="4" w:space="0" w:color="auto"/>
            </w:tcBorders>
            <w:shd w:val="clear" w:color="auto" w:fill="auto"/>
            <w:vAlign w:val="bottom"/>
          </w:tcPr>
          <w:p w14:paraId="77EDD6BA" w14:textId="793A26AA" w:rsidR="00A50046" w:rsidRPr="00C07F59" w:rsidRDefault="00C07F59" w:rsidP="00A50046">
            <w:pPr>
              <w:keepLines w:val="0"/>
              <w:widowControl/>
              <w:jc w:val="right"/>
              <w:rPr>
                <w:rFonts w:ascii="Cambria" w:hAnsi="Cambria"/>
                <w:sz w:val="20"/>
              </w:rPr>
            </w:pPr>
            <w:r>
              <w:rPr>
                <w:rFonts w:ascii="Cambria" w:hAnsi="Cambria"/>
                <w:sz w:val="20"/>
              </w:rPr>
              <w:t>180</w:t>
            </w:r>
          </w:p>
        </w:tc>
        <w:tc>
          <w:tcPr>
            <w:tcW w:w="1303" w:type="dxa"/>
            <w:tcBorders>
              <w:top w:val="nil"/>
              <w:left w:val="single" w:sz="4" w:space="0" w:color="auto"/>
              <w:bottom w:val="nil"/>
              <w:right w:val="single" w:sz="4" w:space="0" w:color="auto"/>
            </w:tcBorders>
            <w:vAlign w:val="bottom"/>
          </w:tcPr>
          <w:p w14:paraId="46D5CA73" w14:textId="7E7F10BD" w:rsidR="00A50046" w:rsidRPr="00C07F59" w:rsidRDefault="00A50046" w:rsidP="00A50046">
            <w:pPr>
              <w:keepLines w:val="0"/>
              <w:widowControl/>
              <w:jc w:val="right"/>
              <w:rPr>
                <w:rFonts w:ascii="Cambria" w:hAnsi="Cambria"/>
                <w:sz w:val="20"/>
              </w:rPr>
            </w:pPr>
            <w:r w:rsidRPr="00C07F59">
              <w:rPr>
                <w:rFonts w:ascii="Cambria" w:hAnsi="Cambria"/>
                <w:sz w:val="20"/>
              </w:rPr>
              <w:t>234</w:t>
            </w:r>
          </w:p>
        </w:tc>
      </w:tr>
      <w:tr w:rsidR="00A50046" w:rsidRPr="0081499D" w14:paraId="14F68FFB" w14:textId="77777777" w:rsidTr="00A50046">
        <w:trPr>
          <w:jc w:val="center"/>
        </w:trPr>
        <w:tc>
          <w:tcPr>
            <w:tcW w:w="5156" w:type="dxa"/>
            <w:tcBorders>
              <w:top w:val="nil"/>
              <w:bottom w:val="nil"/>
              <w:right w:val="single" w:sz="4" w:space="0" w:color="auto"/>
            </w:tcBorders>
            <w:vAlign w:val="bottom"/>
          </w:tcPr>
          <w:p w14:paraId="2F8E5D01" w14:textId="77777777" w:rsidR="00A50046" w:rsidRPr="00C07F59" w:rsidRDefault="00A50046" w:rsidP="00A50046">
            <w:pPr>
              <w:keepLines w:val="0"/>
              <w:widowControl/>
              <w:jc w:val="left"/>
              <w:rPr>
                <w:rFonts w:ascii="Cambria" w:hAnsi="Cambria"/>
                <w:sz w:val="20"/>
              </w:rPr>
            </w:pPr>
            <w:r w:rsidRPr="00C07F59">
              <w:rPr>
                <w:rFonts w:ascii="Cambria" w:hAnsi="Cambria"/>
                <w:sz w:val="20"/>
              </w:rPr>
              <w:t xml:space="preserve">    Límite amortizaciones fiscalmente deducibles</w:t>
            </w:r>
          </w:p>
        </w:tc>
        <w:tc>
          <w:tcPr>
            <w:tcW w:w="1303" w:type="dxa"/>
            <w:tcBorders>
              <w:top w:val="nil"/>
              <w:left w:val="single" w:sz="4" w:space="0" w:color="auto"/>
              <w:bottom w:val="nil"/>
              <w:right w:val="single" w:sz="4" w:space="0" w:color="auto"/>
            </w:tcBorders>
            <w:shd w:val="clear" w:color="auto" w:fill="auto"/>
            <w:vAlign w:val="bottom"/>
          </w:tcPr>
          <w:p w14:paraId="0392BD5E" w14:textId="51984542" w:rsidR="00A50046" w:rsidRPr="00C07F59" w:rsidRDefault="00A50046" w:rsidP="00A50046">
            <w:pPr>
              <w:keepLines w:val="0"/>
              <w:widowControl/>
              <w:jc w:val="right"/>
              <w:rPr>
                <w:rFonts w:ascii="Cambria" w:hAnsi="Cambria"/>
                <w:sz w:val="20"/>
              </w:rPr>
            </w:pPr>
            <w:r w:rsidRPr="00C07F59">
              <w:rPr>
                <w:rFonts w:ascii="Cambria" w:hAnsi="Cambria"/>
                <w:sz w:val="20"/>
              </w:rPr>
              <w:t>1</w:t>
            </w:r>
          </w:p>
        </w:tc>
        <w:tc>
          <w:tcPr>
            <w:tcW w:w="1303" w:type="dxa"/>
            <w:tcBorders>
              <w:top w:val="nil"/>
              <w:left w:val="single" w:sz="4" w:space="0" w:color="auto"/>
              <w:bottom w:val="nil"/>
              <w:right w:val="single" w:sz="4" w:space="0" w:color="auto"/>
            </w:tcBorders>
            <w:vAlign w:val="bottom"/>
          </w:tcPr>
          <w:p w14:paraId="16DA3250" w14:textId="6BB22303" w:rsidR="00A50046" w:rsidRPr="00C07F59" w:rsidRDefault="00A50046" w:rsidP="00A50046">
            <w:pPr>
              <w:keepLines w:val="0"/>
              <w:widowControl/>
              <w:jc w:val="right"/>
              <w:rPr>
                <w:rFonts w:ascii="Cambria" w:hAnsi="Cambria"/>
                <w:sz w:val="20"/>
              </w:rPr>
            </w:pPr>
            <w:r w:rsidRPr="00C07F59">
              <w:rPr>
                <w:rFonts w:ascii="Cambria" w:hAnsi="Cambria"/>
                <w:sz w:val="20"/>
              </w:rPr>
              <w:t>1</w:t>
            </w:r>
          </w:p>
        </w:tc>
      </w:tr>
      <w:tr w:rsidR="00A50046" w:rsidRPr="0081499D" w14:paraId="49D855EB" w14:textId="77777777" w:rsidTr="00A50046">
        <w:trPr>
          <w:jc w:val="center"/>
        </w:trPr>
        <w:tc>
          <w:tcPr>
            <w:tcW w:w="5156" w:type="dxa"/>
            <w:tcBorders>
              <w:top w:val="nil"/>
              <w:bottom w:val="nil"/>
              <w:right w:val="single" w:sz="4" w:space="0" w:color="auto"/>
            </w:tcBorders>
            <w:vAlign w:val="bottom"/>
          </w:tcPr>
          <w:p w14:paraId="51FE4994" w14:textId="77777777" w:rsidR="00A50046" w:rsidRPr="00C07F59" w:rsidRDefault="00A50046" w:rsidP="00A50046">
            <w:pPr>
              <w:keepLines w:val="0"/>
              <w:widowControl/>
              <w:jc w:val="left"/>
              <w:rPr>
                <w:rFonts w:ascii="Cambria" w:hAnsi="Cambria"/>
                <w:b/>
                <w:bCs/>
                <w:sz w:val="20"/>
                <w:lang w:val="es-ES"/>
              </w:rPr>
            </w:pPr>
            <w:r w:rsidRPr="00C07F59">
              <w:rPr>
                <w:rFonts w:ascii="Cambria" w:hAnsi="Cambria"/>
                <w:b/>
                <w:bCs/>
                <w:sz w:val="20"/>
              </w:rPr>
              <w:t>Movimientos registrados contra Patrimonio</w:t>
            </w:r>
          </w:p>
        </w:tc>
        <w:tc>
          <w:tcPr>
            <w:tcW w:w="1303" w:type="dxa"/>
            <w:tcBorders>
              <w:top w:val="nil"/>
              <w:left w:val="single" w:sz="4" w:space="0" w:color="auto"/>
              <w:bottom w:val="nil"/>
              <w:right w:val="single" w:sz="4" w:space="0" w:color="auto"/>
            </w:tcBorders>
            <w:shd w:val="clear" w:color="auto" w:fill="auto"/>
            <w:vAlign w:val="bottom"/>
          </w:tcPr>
          <w:p w14:paraId="235991DA" w14:textId="77777777" w:rsidR="00A50046" w:rsidRPr="00C07F59" w:rsidRDefault="00A50046" w:rsidP="00A50046">
            <w:pPr>
              <w:keepLines w:val="0"/>
              <w:widowControl/>
              <w:jc w:val="right"/>
              <w:rPr>
                <w:rFonts w:ascii="Cambria" w:hAnsi="Cambria"/>
                <w:sz w:val="20"/>
                <w:lang w:val="es-ES"/>
              </w:rPr>
            </w:pPr>
          </w:p>
        </w:tc>
        <w:tc>
          <w:tcPr>
            <w:tcW w:w="1303" w:type="dxa"/>
            <w:tcBorders>
              <w:top w:val="nil"/>
              <w:left w:val="single" w:sz="4" w:space="0" w:color="auto"/>
              <w:bottom w:val="nil"/>
              <w:right w:val="single" w:sz="4" w:space="0" w:color="auto"/>
            </w:tcBorders>
            <w:vAlign w:val="bottom"/>
          </w:tcPr>
          <w:p w14:paraId="7693CDD9" w14:textId="77777777" w:rsidR="00A50046" w:rsidRPr="00C07F59" w:rsidRDefault="00A50046" w:rsidP="00A50046">
            <w:pPr>
              <w:keepLines w:val="0"/>
              <w:widowControl/>
              <w:jc w:val="right"/>
              <w:rPr>
                <w:rFonts w:ascii="Cambria" w:hAnsi="Cambria"/>
                <w:sz w:val="20"/>
                <w:lang w:val="es-ES"/>
              </w:rPr>
            </w:pPr>
          </w:p>
        </w:tc>
      </w:tr>
      <w:tr w:rsidR="00A50046" w:rsidRPr="0081499D" w14:paraId="1A033E32" w14:textId="77777777" w:rsidTr="00A50046">
        <w:trPr>
          <w:jc w:val="center"/>
        </w:trPr>
        <w:tc>
          <w:tcPr>
            <w:tcW w:w="5156" w:type="dxa"/>
            <w:tcBorders>
              <w:top w:val="nil"/>
              <w:right w:val="single" w:sz="4" w:space="0" w:color="auto"/>
            </w:tcBorders>
            <w:vAlign w:val="bottom"/>
          </w:tcPr>
          <w:p w14:paraId="0B6500D3" w14:textId="77777777" w:rsidR="00A50046" w:rsidRPr="00C07F59" w:rsidRDefault="00A50046" w:rsidP="00A50046">
            <w:pPr>
              <w:keepLines w:val="0"/>
              <w:widowControl/>
              <w:jc w:val="left"/>
              <w:rPr>
                <w:rFonts w:ascii="Cambria" w:hAnsi="Cambria"/>
                <w:sz w:val="20"/>
                <w:lang w:val="es-ES"/>
              </w:rPr>
            </w:pPr>
            <w:r w:rsidRPr="00C07F59">
              <w:rPr>
                <w:rFonts w:ascii="Cambria" w:hAnsi="Cambria"/>
                <w:sz w:val="20"/>
              </w:rPr>
              <w:t xml:space="preserve">    Movimientos por obligaciones con el personal pasivo</w:t>
            </w:r>
          </w:p>
        </w:tc>
        <w:tc>
          <w:tcPr>
            <w:tcW w:w="1303" w:type="dxa"/>
            <w:tcBorders>
              <w:top w:val="nil"/>
              <w:left w:val="single" w:sz="4" w:space="0" w:color="auto"/>
              <w:right w:val="single" w:sz="4" w:space="0" w:color="auto"/>
            </w:tcBorders>
            <w:shd w:val="clear" w:color="auto" w:fill="auto"/>
            <w:vAlign w:val="bottom"/>
          </w:tcPr>
          <w:p w14:paraId="3CDD5A12" w14:textId="376B1BB6" w:rsidR="00A50046" w:rsidRPr="00C07F59" w:rsidRDefault="004874FD" w:rsidP="00A50046">
            <w:pPr>
              <w:keepLines w:val="0"/>
              <w:widowControl/>
              <w:jc w:val="right"/>
              <w:rPr>
                <w:rFonts w:ascii="Cambria" w:hAnsi="Cambria"/>
                <w:sz w:val="20"/>
                <w:lang w:val="es-ES"/>
              </w:rPr>
            </w:pPr>
            <w:r>
              <w:rPr>
                <w:rFonts w:ascii="Cambria" w:hAnsi="Cambria"/>
                <w:sz w:val="20"/>
                <w:lang w:val="es-ES"/>
              </w:rPr>
              <w:t>33</w:t>
            </w:r>
          </w:p>
        </w:tc>
        <w:tc>
          <w:tcPr>
            <w:tcW w:w="1303" w:type="dxa"/>
            <w:tcBorders>
              <w:top w:val="nil"/>
              <w:left w:val="single" w:sz="4" w:space="0" w:color="auto"/>
              <w:right w:val="single" w:sz="4" w:space="0" w:color="auto"/>
            </w:tcBorders>
            <w:vAlign w:val="bottom"/>
          </w:tcPr>
          <w:p w14:paraId="687268BD" w14:textId="2BF609C6" w:rsidR="00A50046" w:rsidRPr="00C07F59" w:rsidRDefault="00A50046" w:rsidP="00A50046">
            <w:pPr>
              <w:keepLines w:val="0"/>
              <w:widowControl/>
              <w:jc w:val="right"/>
              <w:rPr>
                <w:rFonts w:ascii="Cambria" w:hAnsi="Cambria"/>
                <w:sz w:val="20"/>
                <w:lang w:val="es-ES"/>
              </w:rPr>
            </w:pPr>
            <w:r w:rsidRPr="00C07F59">
              <w:rPr>
                <w:rFonts w:ascii="Cambria" w:hAnsi="Cambria"/>
                <w:sz w:val="20"/>
                <w:lang w:val="es-ES"/>
              </w:rPr>
              <w:t>37</w:t>
            </w:r>
          </w:p>
        </w:tc>
      </w:tr>
      <w:tr w:rsidR="00A50046" w:rsidRPr="0081499D" w14:paraId="5DE76DD7" w14:textId="77777777" w:rsidTr="00A50046">
        <w:trPr>
          <w:jc w:val="center"/>
        </w:trPr>
        <w:tc>
          <w:tcPr>
            <w:tcW w:w="5156" w:type="dxa"/>
            <w:vAlign w:val="center"/>
          </w:tcPr>
          <w:p w14:paraId="0975D3BE" w14:textId="77777777" w:rsidR="00A50046" w:rsidRPr="00CC5836" w:rsidRDefault="00A50046" w:rsidP="00A50046">
            <w:pPr>
              <w:keepLines w:val="0"/>
              <w:widowControl/>
              <w:jc w:val="left"/>
              <w:rPr>
                <w:rFonts w:ascii="Cambria" w:hAnsi="Cambria"/>
                <w:b/>
                <w:bCs/>
                <w:sz w:val="20"/>
                <w:lang w:val="es-ES"/>
              </w:rPr>
            </w:pPr>
            <w:r w:rsidRPr="00CC5836">
              <w:rPr>
                <w:rFonts w:ascii="Cambria" w:hAnsi="Cambria"/>
                <w:b/>
                <w:bCs/>
                <w:sz w:val="20"/>
              </w:rPr>
              <w:t>Total Activos por impuesto diferido</w:t>
            </w:r>
          </w:p>
        </w:tc>
        <w:tc>
          <w:tcPr>
            <w:tcW w:w="1303" w:type="dxa"/>
            <w:shd w:val="clear" w:color="auto" w:fill="auto"/>
            <w:vAlign w:val="center"/>
          </w:tcPr>
          <w:p w14:paraId="0848CFC2" w14:textId="43438FE8" w:rsidR="00A50046" w:rsidRPr="00DC6522" w:rsidRDefault="00DC6522" w:rsidP="00A50046">
            <w:pPr>
              <w:keepLines w:val="0"/>
              <w:widowControl/>
              <w:jc w:val="right"/>
              <w:rPr>
                <w:rFonts w:ascii="Cambria" w:hAnsi="Cambria"/>
                <w:b/>
                <w:bCs/>
                <w:sz w:val="20"/>
                <w:lang w:val="es-ES"/>
              </w:rPr>
            </w:pPr>
            <w:r w:rsidRPr="00DC6522">
              <w:rPr>
                <w:rFonts w:ascii="Cambria" w:hAnsi="Cambria"/>
                <w:b/>
                <w:bCs/>
                <w:sz w:val="20"/>
                <w:lang w:val="es-ES"/>
              </w:rPr>
              <w:t>3.087</w:t>
            </w:r>
          </w:p>
        </w:tc>
        <w:tc>
          <w:tcPr>
            <w:tcW w:w="1303" w:type="dxa"/>
            <w:vAlign w:val="center"/>
          </w:tcPr>
          <w:p w14:paraId="27EAB0A5" w14:textId="18E1C91F" w:rsidR="00A50046" w:rsidRPr="00DC6522" w:rsidRDefault="00A50046" w:rsidP="00A50046">
            <w:pPr>
              <w:keepLines w:val="0"/>
              <w:widowControl/>
              <w:jc w:val="right"/>
              <w:rPr>
                <w:rFonts w:ascii="Cambria" w:hAnsi="Cambria"/>
                <w:b/>
                <w:bCs/>
                <w:sz w:val="20"/>
                <w:lang w:val="es-ES"/>
              </w:rPr>
            </w:pPr>
            <w:r w:rsidRPr="00DC6522">
              <w:rPr>
                <w:rFonts w:ascii="Cambria" w:hAnsi="Cambria"/>
                <w:b/>
                <w:bCs/>
                <w:sz w:val="20"/>
                <w:lang w:val="es-ES"/>
              </w:rPr>
              <w:t>3.640</w:t>
            </w:r>
          </w:p>
        </w:tc>
      </w:tr>
    </w:tbl>
    <w:p w14:paraId="126DB30A" w14:textId="77777777" w:rsidR="00FF04C0" w:rsidRPr="00C407D3" w:rsidRDefault="00FF04C0" w:rsidP="001B2B25">
      <w:pPr>
        <w:pStyle w:val="Listaconnmeros"/>
        <w:ind w:left="426" w:firstLine="0"/>
        <w:rPr>
          <w:rFonts w:ascii="Cambria" w:hAnsi="Cambria"/>
          <w:sz w:val="24"/>
          <w:szCs w:val="24"/>
          <w:highlight w:val="yellow"/>
        </w:rPr>
      </w:pPr>
    </w:p>
    <w:p w14:paraId="157A499F" w14:textId="77777777" w:rsidR="00721E26" w:rsidRPr="00C407D3" w:rsidRDefault="00721E26" w:rsidP="004701A0">
      <w:pPr>
        <w:pStyle w:val="Listaconnmeros"/>
        <w:ind w:left="426" w:firstLine="0"/>
        <w:rPr>
          <w:rFonts w:ascii="Cambria" w:hAnsi="Cambria"/>
          <w:sz w:val="24"/>
          <w:szCs w:val="24"/>
          <w:highlight w:val="yellow"/>
        </w:rPr>
      </w:pPr>
    </w:p>
    <w:p w14:paraId="66417C6E" w14:textId="77777777" w:rsidR="006847C7" w:rsidRDefault="006847C7">
      <w:pPr>
        <w:keepLines w:val="0"/>
        <w:widowControl/>
        <w:jc w:val="left"/>
        <w:rPr>
          <w:rFonts w:ascii="Cambria" w:hAnsi="Cambria"/>
          <w:sz w:val="24"/>
          <w:szCs w:val="24"/>
        </w:rPr>
      </w:pPr>
      <w:r>
        <w:rPr>
          <w:rFonts w:ascii="Cambria" w:hAnsi="Cambria"/>
          <w:sz w:val="24"/>
          <w:szCs w:val="24"/>
        </w:rPr>
        <w:br w:type="page"/>
      </w:r>
    </w:p>
    <w:p w14:paraId="7A6CAD55" w14:textId="77777777" w:rsidR="006847C7" w:rsidRDefault="006847C7" w:rsidP="00947513">
      <w:pPr>
        <w:keepLines w:val="0"/>
        <w:widowControl/>
        <w:jc w:val="left"/>
        <w:rPr>
          <w:rFonts w:ascii="Cambria" w:hAnsi="Cambria"/>
          <w:sz w:val="24"/>
          <w:szCs w:val="24"/>
        </w:rPr>
      </w:pPr>
    </w:p>
    <w:p w14:paraId="0F671B14" w14:textId="678A60FE" w:rsidR="001B2B25" w:rsidRPr="00F5069C" w:rsidRDefault="001B2B25" w:rsidP="00947513">
      <w:pPr>
        <w:keepLines w:val="0"/>
        <w:widowControl/>
        <w:jc w:val="left"/>
        <w:rPr>
          <w:rFonts w:ascii="Cambria" w:hAnsi="Cambria"/>
          <w:sz w:val="24"/>
          <w:szCs w:val="24"/>
        </w:rPr>
      </w:pPr>
      <w:bookmarkStart w:id="17" w:name="_Hlk64807415"/>
      <w:r w:rsidRPr="00F5069C">
        <w:rPr>
          <w:rFonts w:ascii="Cambria" w:hAnsi="Cambria"/>
          <w:sz w:val="24"/>
          <w:szCs w:val="24"/>
        </w:rPr>
        <w:t xml:space="preserve">El movimiento de los “Activos por impuesto diferido”, durante los </w:t>
      </w:r>
      <w:r w:rsidR="004A6294" w:rsidRPr="00F5069C">
        <w:rPr>
          <w:rFonts w:ascii="Cambria" w:hAnsi="Cambria"/>
          <w:sz w:val="24"/>
          <w:szCs w:val="24"/>
        </w:rPr>
        <w:t>ejercicios 20</w:t>
      </w:r>
      <w:r w:rsidR="006847C7">
        <w:rPr>
          <w:rFonts w:ascii="Cambria" w:hAnsi="Cambria"/>
          <w:sz w:val="24"/>
          <w:szCs w:val="24"/>
        </w:rPr>
        <w:t>20</w:t>
      </w:r>
      <w:r w:rsidR="00B82EA9" w:rsidRPr="00F5069C">
        <w:rPr>
          <w:rFonts w:ascii="Cambria" w:hAnsi="Cambria"/>
          <w:sz w:val="24"/>
          <w:szCs w:val="24"/>
        </w:rPr>
        <w:t xml:space="preserve"> y 201</w:t>
      </w:r>
      <w:r w:rsidR="006847C7">
        <w:rPr>
          <w:rFonts w:ascii="Cambria" w:hAnsi="Cambria"/>
          <w:sz w:val="24"/>
          <w:szCs w:val="24"/>
        </w:rPr>
        <w:t>9</w:t>
      </w:r>
      <w:r w:rsidRPr="00F5069C">
        <w:rPr>
          <w:rFonts w:ascii="Cambria" w:hAnsi="Cambria"/>
          <w:sz w:val="24"/>
          <w:szCs w:val="24"/>
        </w:rPr>
        <w:t>, es el siguiente (en miles de euros):</w:t>
      </w:r>
    </w:p>
    <w:p w14:paraId="0186783B" w14:textId="38091F89" w:rsidR="001B2B25" w:rsidRPr="00F5069C" w:rsidRDefault="001B2B25" w:rsidP="001B2B25">
      <w:pPr>
        <w:pStyle w:val="Lista"/>
      </w:pPr>
    </w:p>
    <w:p w14:paraId="1EBF181F" w14:textId="79CDB2A8" w:rsidR="001B2B25" w:rsidRPr="00F5069C" w:rsidRDefault="004A6294" w:rsidP="001B2B25">
      <w:pPr>
        <w:ind w:left="426"/>
        <w:rPr>
          <w:rFonts w:ascii="Cambria" w:hAnsi="Cambria"/>
          <w:b/>
          <w:sz w:val="24"/>
          <w:szCs w:val="24"/>
          <w:u w:val="single"/>
        </w:rPr>
      </w:pPr>
      <w:r w:rsidRPr="00F5069C">
        <w:rPr>
          <w:rFonts w:ascii="Cambria" w:hAnsi="Cambria"/>
          <w:b/>
          <w:sz w:val="24"/>
          <w:szCs w:val="24"/>
          <w:u w:val="single"/>
        </w:rPr>
        <w:t>Ejercicio 20</w:t>
      </w:r>
      <w:r w:rsidR="006847C7">
        <w:rPr>
          <w:rFonts w:ascii="Cambria" w:hAnsi="Cambria"/>
          <w:b/>
          <w:sz w:val="24"/>
          <w:szCs w:val="24"/>
          <w:u w:val="single"/>
        </w:rPr>
        <w:t>20</w:t>
      </w:r>
      <w:r w:rsidR="001B2B25" w:rsidRPr="00F5069C">
        <w:rPr>
          <w:rFonts w:ascii="Cambria" w:hAnsi="Cambria"/>
          <w:b/>
          <w:sz w:val="24"/>
          <w:szCs w:val="24"/>
          <w:u w:val="single"/>
        </w:rPr>
        <w:t>:</w:t>
      </w:r>
    </w:p>
    <w:p w14:paraId="240D28F1" w14:textId="77777777" w:rsidR="001B2B25" w:rsidRPr="00F5069C" w:rsidRDefault="001B2B25" w:rsidP="001B2B25">
      <w:pPr>
        <w:ind w:left="426"/>
        <w:rPr>
          <w:rFonts w:ascii="Cambria" w:hAnsi="Cambria"/>
          <w:b/>
          <w:sz w:val="24"/>
          <w:szCs w:val="24"/>
          <w:u w:val="single"/>
        </w:rPr>
      </w:pPr>
    </w:p>
    <w:tbl>
      <w:tblPr>
        <w:tblW w:w="60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519"/>
        <w:gridCol w:w="1602"/>
        <w:gridCol w:w="1487"/>
      </w:tblGrid>
      <w:tr w:rsidR="004A6294" w:rsidRPr="00F37E16" w14:paraId="05ACCDE7" w14:textId="77777777" w:rsidTr="00947513">
        <w:tc>
          <w:tcPr>
            <w:tcW w:w="1487" w:type="dxa"/>
            <w:vAlign w:val="bottom"/>
          </w:tcPr>
          <w:p w14:paraId="27E87610" w14:textId="6CAFEB72" w:rsidR="004A6294" w:rsidRPr="00947513" w:rsidRDefault="004A6294" w:rsidP="004A6294">
            <w:pPr>
              <w:keepLines w:val="0"/>
              <w:widowControl/>
              <w:jc w:val="center"/>
              <w:rPr>
                <w:rFonts w:ascii="Cambria" w:hAnsi="Cambria"/>
                <w:b/>
                <w:szCs w:val="22"/>
                <w:lang w:val="es-ES"/>
              </w:rPr>
            </w:pPr>
            <w:r w:rsidRPr="00947513">
              <w:rPr>
                <w:rFonts w:ascii="Cambria" w:hAnsi="Cambria"/>
                <w:b/>
                <w:szCs w:val="22"/>
              </w:rPr>
              <w:t>Saldo al 31.12.1</w:t>
            </w:r>
            <w:r w:rsidR="006847C7">
              <w:rPr>
                <w:rFonts w:ascii="Cambria" w:hAnsi="Cambria"/>
                <w:b/>
                <w:szCs w:val="22"/>
              </w:rPr>
              <w:t>9</w:t>
            </w:r>
          </w:p>
        </w:tc>
        <w:tc>
          <w:tcPr>
            <w:tcW w:w="1519" w:type="dxa"/>
            <w:shd w:val="clear" w:color="auto" w:fill="FFFFFF" w:themeFill="background1"/>
            <w:vAlign w:val="bottom"/>
          </w:tcPr>
          <w:p w14:paraId="1C06111B" w14:textId="41D380F4" w:rsidR="004A6294" w:rsidRPr="00C9147D" w:rsidRDefault="00C9147D" w:rsidP="004A6294">
            <w:pPr>
              <w:keepLines w:val="0"/>
              <w:widowControl/>
              <w:jc w:val="center"/>
              <w:rPr>
                <w:rFonts w:ascii="Cambria" w:hAnsi="Cambria"/>
                <w:b/>
                <w:szCs w:val="22"/>
                <w:lang w:val="es-ES"/>
              </w:rPr>
            </w:pPr>
            <w:r w:rsidRPr="00C9147D">
              <w:rPr>
                <w:rFonts w:ascii="Cambria" w:hAnsi="Cambria"/>
                <w:b/>
                <w:szCs w:val="22"/>
                <w:lang w:val="es-ES"/>
              </w:rPr>
              <w:t>Aumentos</w:t>
            </w:r>
          </w:p>
        </w:tc>
        <w:tc>
          <w:tcPr>
            <w:tcW w:w="1602" w:type="dxa"/>
            <w:shd w:val="clear" w:color="auto" w:fill="FFFFFF" w:themeFill="background1"/>
            <w:vAlign w:val="bottom"/>
          </w:tcPr>
          <w:p w14:paraId="2FCAE701" w14:textId="77777777" w:rsidR="004A6294" w:rsidRPr="00C9147D" w:rsidRDefault="004A6294" w:rsidP="004A6294">
            <w:pPr>
              <w:keepLines w:val="0"/>
              <w:widowControl/>
              <w:jc w:val="center"/>
              <w:rPr>
                <w:rFonts w:ascii="Cambria" w:hAnsi="Cambria"/>
                <w:b/>
                <w:szCs w:val="22"/>
                <w:lang w:val="es-ES"/>
              </w:rPr>
            </w:pPr>
            <w:r w:rsidRPr="00C9147D">
              <w:rPr>
                <w:rFonts w:ascii="Cambria" w:hAnsi="Cambria"/>
                <w:b/>
                <w:szCs w:val="22"/>
              </w:rPr>
              <w:t>Aplicaciones</w:t>
            </w:r>
          </w:p>
        </w:tc>
        <w:tc>
          <w:tcPr>
            <w:tcW w:w="1487" w:type="dxa"/>
            <w:vAlign w:val="bottom"/>
          </w:tcPr>
          <w:p w14:paraId="160CD750" w14:textId="72DE2F05" w:rsidR="004A6294" w:rsidRPr="00C9147D" w:rsidRDefault="004A6294" w:rsidP="004A6294">
            <w:pPr>
              <w:keepLines w:val="0"/>
              <w:widowControl/>
              <w:jc w:val="center"/>
              <w:rPr>
                <w:rFonts w:ascii="Cambria" w:hAnsi="Cambria"/>
                <w:b/>
                <w:szCs w:val="22"/>
                <w:lang w:val="es-ES"/>
              </w:rPr>
            </w:pPr>
            <w:r w:rsidRPr="00C9147D">
              <w:rPr>
                <w:rFonts w:ascii="Cambria" w:hAnsi="Cambria"/>
                <w:b/>
                <w:szCs w:val="22"/>
              </w:rPr>
              <w:t>Saldo al 31.12.</w:t>
            </w:r>
            <w:r w:rsidR="006847C7" w:rsidRPr="00C9147D">
              <w:rPr>
                <w:rFonts w:ascii="Cambria" w:hAnsi="Cambria"/>
                <w:b/>
                <w:szCs w:val="22"/>
              </w:rPr>
              <w:t>20</w:t>
            </w:r>
          </w:p>
        </w:tc>
      </w:tr>
      <w:tr w:rsidR="004A6294" w:rsidRPr="00F37E16" w14:paraId="0557EC02" w14:textId="77777777" w:rsidTr="00947513">
        <w:tc>
          <w:tcPr>
            <w:tcW w:w="1487" w:type="dxa"/>
            <w:vAlign w:val="center"/>
          </w:tcPr>
          <w:p w14:paraId="5163CABB" w14:textId="45C59C75" w:rsidR="004A6294" w:rsidRPr="00947513" w:rsidRDefault="006847C7" w:rsidP="004A6294">
            <w:pPr>
              <w:keepLines w:val="0"/>
              <w:widowControl/>
              <w:jc w:val="right"/>
              <w:rPr>
                <w:rFonts w:ascii="Cambria" w:hAnsi="Cambria"/>
                <w:szCs w:val="22"/>
                <w:lang w:val="es-ES"/>
              </w:rPr>
            </w:pPr>
            <w:r>
              <w:rPr>
                <w:rFonts w:ascii="Cambria" w:hAnsi="Cambria"/>
                <w:szCs w:val="22"/>
                <w:lang w:val="es-ES"/>
              </w:rPr>
              <w:t>3.640</w:t>
            </w:r>
          </w:p>
        </w:tc>
        <w:tc>
          <w:tcPr>
            <w:tcW w:w="1519" w:type="dxa"/>
            <w:shd w:val="clear" w:color="auto" w:fill="FFFFFF" w:themeFill="background1"/>
            <w:vAlign w:val="center"/>
          </w:tcPr>
          <w:p w14:paraId="7C6545C7" w14:textId="406396F8" w:rsidR="004A6294" w:rsidRPr="00C9147D" w:rsidRDefault="00C65B0C" w:rsidP="004A6294">
            <w:pPr>
              <w:keepLines w:val="0"/>
              <w:widowControl/>
              <w:jc w:val="center"/>
              <w:rPr>
                <w:rFonts w:ascii="Cambria" w:hAnsi="Cambria"/>
                <w:szCs w:val="22"/>
                <w:lang w:val="es-ES"/>
              </w:rPr>
            </w:pPr>
            <w:r>
              <w:rPr>
                <w:rFonts w:ascii="Cambria" w:hAnsi="Cambria"/>
                <w:szCs w:val="22"/>
                <w:lang w:val="es-ES"/>
              </w:rPr>
              <w:t>4</w:t>
            </w:r>
            <w:r w:rsidR="006F0D76">
              <w:rPr>
                <w:rFonts w:ascii="Cambria" w:hAnsi="Cambria"/>
                <w:szCs w:val="22"/>
                <w:lang w:val="es-ES"/>
              </w:rPr>
              <w:t>7</w:t>
            </w:r>
          </w:p>
        </w:tc>
        <w:tc>
          <w:tcPr>
            <w:tcW w:w="1602" w:type="dxa"/>
            <w:shd w:val="clear" w:color="auto" w:fill="FFFFFF" w:themeFill="background1"/>
            <w:vAlign w:val="center"/>
          </w:tcPr>
          <w:p w14:paraId="5432E3B8" w14:textId="669A010C" w:rsidR="004A6294" w:rsidRPr="00C9147D" w:rsidRDefault="00D44356" w:rsidP="001F189C">
            <w:pPr>
              <w:keepLines w:val="0"/>
              <w:widowControl/>
              <w:jc w:val="right"/>
              <w:rPr>
                <w:rFonts w:ascii="Cambria" w:hAnsi="Cambria"/>
                <w:szCs w:val="22"/>
                <w:lang w:val="es-ES"/>
              </w:rPr>
            </w:pPr>
            <w:r w:rsidRPr="00C9147D">
              <w:rPr>
                <w:rFonts w:ascii="Cambria" w:hAnsi="Cambria"/>
                <w:szCs w:val="22"/>
                <w:lang w:val="es-ES"/>
              </w:rPr>
              <w:t>(</w:t>
            </w:r>
            <w:r w:rsidR="006F0D76">
              <w:rPr>
                <w:rFonts w:ascii="Cambria" w:hAnsi="Cambria"/>
                <w:szCs w:val="22"/>
                <w:lang w:val="es-ES"/>
              </w:rPr>
              <w:t>600</w:t>
            </w:r>
            <w:r w:rsidR="00F5069C" w:rsidRPr="00C9147D">
              <w:rPr>
                <w:rFonts w:ascii="Cambria" w:hAnsi="Cambria"/>
                <w:szCs w:val="22"/>
                <w:lang w:val="es-ES"/>
              </w:rPr>
              <w:t>)</w:t>
            </w:r>
          </w:p>
        </w:tc>
        <w:tc>
          <w:tcPr>
            <w:tcW w:w="1487" w:type="dxa"/>
            <w:shd w:val="clear" w:color="auto" w:fill="auto"/>
            <w:vAlign w:val="center"/>
          </w:tcPr>
          <w:p w14:paraId="3F56F092" w14:textId="27874B85" w:rsidR="004A6294" w:rsidRPr="00C9147D" w:rsidRDefault="002448F7" w:rsidP="004A6294">
            <w:pPr>
              <w:keepLines w:val="0"/>
              <w:widowControl/>
              <w:jc w:val="right"/>
              <w:rPr>
                <w:rFonts w:ascii="Cambria" w:hAnsi="Cambria"/>
                <w:szCs w:val="22"/>
                <w:lang w:val="es-ES"/>
              </w:rPr>
            </w:pPr>
            <w:r w:rsidRPr="00C9147D">
              <w:rPr>
                <w:rFonts w:ascii="Cambria" w:hAnsi="Cambria"/>
                <w:szCs w:val="22"/>
                <w:lang w:val="es-ES"/>
              </w:rPr>
              <w:t>3.087</w:t>
            </w:r>
          </w:p>
        </w:tc>
      </w:tr>
    </w:tbl>
    <w:p w14:paraId="1905A979" w14:textId="77777777" w:rsidR="001B2B25" w:rsidRPr="00F37E16" w:rsidRDefault="001B2B25" w:rsidP="001B2B25">
      <w:pPr>
        <w:pStyle w:val="Listaconnmeros"/>
        <w:ind w:left="0" w:firstLine="0"/>
        <w:rPr>
          <w:rFonts w:ascii="Cambria" w:hAnsi="Cambria"/>
          <w:sz w:val="24"/>
          <w:szCs w:val="24"/>
        </w:rPr>
      </w:pPr>
      <w:r w:rsidRPr="00F37E16">
        <w:rPr>
          <w:rFonts w:ascii="Cambria" w:hAnsi="Cambria"/>
          <w:sz w:val="24"/>
          <w:szCs w:val="24"/>
        </w:rPr>
        <w:t xml:space="preserve">         </w:t>
      </w:r>
    </w:p>
    <w:p w14:paraId="6FEBE88A" w14:textId="77777777" w:rsidR="006847C7" w:rsidRPr="00F5069C" w:rsidRDefault="006847C7" w:rsidP="006847C7">
      <w:pPr>
        <w:ind w:left="426"/>
        <w:rPr>
          <w:rFonts w:ascii="Cambria" w:hAnsi="Cambria"/>
          <w:b/>
          <w:sz w:val="24"/>
          <w:szCs w:val="24"/>
          <w:u w:val="single"/>
        </w:rPr>
      </w:pPr>
      <w:r w:rsidRPr="00F5069C">
        <w:rPr>
          <w:rFonts w:ascii="Cambria" w:hAnsi="Cambria"/>
          <w:b/>
          <w:sz w:val="24"/>
          <w:szCs w:val="24"/>
          <w:u w:val="single"/>
        </w:rPr>
        <w:t>Ejercicio 2019:</w:t>
      </w:r>
    </w:p>
    <w:p w14:paraId="4844EE18" w14:textId="77777777" w:rsidR="006847C7" w:rsidRPr="00F5069C" w:rsidRDefault="006847C7" w:rsidP="006847C7">
      <w:pPr>
        <w:ind w:left="426"/>
        <w:rPr>
          <w:rFonts w:ascii="Cambria" w:hAnsi="Cambria"/>
          <w:b/>
          <w:sz w:val="24"/>
          <w:szCs w:val="24"/>
          <w:u w:val="single"/>
        </w:rPr>
      </w:pPr>
    </w:p>
    <w:tbl>
      <w:tblPr>
        <w:tblW w:w="60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719"/>
        <w:gridCol w:w="1578"/>
        <w:gridCol w:w="1399"/>
      </w:tblGrid>
      <w:tr w:rsidR="006847C7" w:rsidRPr="00F37E16" w14:paraId="193F4249" w14:textId="77777777" w:rsidTr="000E7CBF">
        <w:tc>
          <w:tcPr>
            <w:tcW w:w="1487" w:type="dxa"/>
            <w:vAlign w:val="bottom"/>
          </w:tcPr>
          <w:p w14:paraId="176EE138" w14:textId="77777777" w:rsidR="006847C7" w:rsidRPr="00947513" w:rsidRDefault="006847C7" w:rsidP="000E7CBF">
            <w:pPr>
              <w:keepLines w:val="0"/>
              <w:widowControl/>
              <w:jc w:val="center"/>
              <w:rPr>
                <w:rFonts w:ascii="Cambria" w:hAnsi="Cambria"/>
                <w:b/>
                <w:szCs w:val="22"/>
                <w:lang w:val="es-ES"/>
              </w:rPr>
            </w:pPr>
            <w:r w:rsidRPr="00947513">
              <w:rPr>
                <w:rFonts w:ascii="Cambria" w:hAnsi="Cambria"/>
                <w:b/>
                <w:szCs w:val="22"/>
              </w:rPr>
              <w:t>Saldo al 31.12.18</w:t>
            </w:r>
          </w:p>
        </w:tc>
        <w:tc>
          <w:tcPr>
            <w:tcW w:w="1519" w:type="dxa"/>
            <w:shd w:val="clear" w:color="auto" w:fill="FFFFFF" w:themeFill="background1"/>
            <w:vAlign w:val="bottom"/>
          </w:tcPr>
          <w:p w14:paraId="13C2D44C" w14:textId="77777777" w:rsidR="006847C7" w:rsidRPr="00947513" w:rsidRDefault="006847C7" w:rsidP="000E7CBF">
            <w:pPr>
              <w:keepLines w:val="0"/>
              <w:widowControl/>
              <w:jc w:val="center"/>
              <w:rPr>
                <w:rFonts w:ascii="Cambria" w:hAnsi="Cambria"/>
                <w:b/>
                <w:szCs w:val="22"/>
                <w:lang w:val="es-ES"/>
              </w:rPr>
            </w:pPr>
            <w:r>
              <w:rPr>
                <w:rFonts w:ascii="Cambria" w:hAnsi="Cambria"/>
                <w:b/>
                <w:szCs w:val="22"/>
                <w:lang w:val="es-ES"/>
              </w:rPr>
              <w:t>Disminuciones</w:t>
            </w:r>
          </w:p>
        </w:tc>
        <w:tc>
          <w:tcPr>
            <w:tcW w:w="1602" w:type="dxa"/>
            <w:shd w:val="clear" w:color="auto" w:fill="FFFFFF" w:themeFill="background1"/>
            <w:vAlign w:val="bottom"/>
          </w:tcPr>
          <w:p w14:paraId="34572EDE" w14:textId="77777777" w:rsidR="006847C7" w:rsidRPr="00947513" w:rsidRDefault="006847C7" w:rsidP="000E7CBF">
            <w:pPr>
              <w:keepLines w:val="0"/>
              <w:widowControl/>
              <w:jc w:val="center"/>
              <w:rPr>
                <w:rFonts w:ascii="Cambria" w:hAnsi="Cambria"/>
                <w:b/>
                <w:szCs w:val="22"/>
                <w:lang w:val="es-ES"/>
              </w:rPr>
            </w:pPr>
            <w:r w:rsidRPr="00947513">
              <w:rPr>
                <w:rFonts w:ascii="Cambria" w:hAnsi="Cambria"/>
                <w:b/>
                <w:szCs w:val="22"/>
              </w:rPr>
              <w:t>Aplicaciones</w:t>
            </w:r>
          </w:p>
        </w:tc>
        <w:tc>
          <w:tcPr>
            <w:tcW w:w="1487" w:type="dxa"/>
            <w:vAlign w:val="bottom"/>
          </w:tcPr>
          <w:p w14:paraId="0FADCA86" w14:textId="77777777" w:rsidR="006847C7" w:rsidRPr="00947513" w:rsidRDefault="006847C7" w:rsidP="000E7CBF">
            <w:pPr>
              <w:keepLines w:val="0"/>
              <w:widowControl/>
              <w:jc w:val="center"/>
              <w:rPr>
                <w:rFonts w:ascii="Cambria" w:hAnsi="Cambria"/>
                <w:b/>
                <w:szCs w:val="22"/>
                <w:lang w:val="es-ES"/>
              </w:rPr>
            </w:pPr>
            <w:r w:rsidRPr="00947513">
              <w:rPr>
                <w:rFonts w:ascii="Cambria" w:hAnsi="Cambria"/>
                <w:b/>
                <w:szCs w:val="22"/>
              </w:rPr>
              <w:t>Saldo al 31.12.19</w:t>
            </w:r>
          </w:p>
        </w:tc>
      </w:tr>
      <w:tr w:rsidR="006847C7" w:rsidRPr="00F37E16" w14:paraId="7F9B83FB" w14:textId="77777777" w:rsidTr="000E7CBF">
        <w:tc>
          <w:tcPr>
            <w:tcW w:w="1487" w:type="dxa"/>
            <w:vAlign w:val="center"/>
          </w:tcPr>
          <w:p w14:paraId="2ADEA890" w14:textId="77777777" w:rsidR="006847C7" w:rsidRPr="00947513" w:rsidRDefault="006847C7" w:rsidP="000E7CBF">
            <w:pPr>
              <w:keepLines w:val="0"/>
              <w:widowControl/>
              <w:jc w:val="right"/>
              <w:rPr>
                <w:rFonts w:ascii="Cambria" w:hAnsi="Cambria"/>
                <w:szCs w:val="22"/>
                <w:lang w:val="es-ES"/>
              </w:rPr>
            </w:pPr>
            <w:r w:rsidRPr="00947513">
              <w:rPr>
                <w:rFonts w:ascii="Cambria" w:hAnsi="Cambria"/>
                <w:szCs w:val="22"/>
                <w:lang w:val="es-ES"/>
              </w:rPr>
              <w:t>3.838</w:t>
            </w:r>
          </w:p>
        </w:tc>
        <w:tc>
          <w:tcPr>
            <w:tcW w:w="1519" w:type="dxa"/>
            <w:shd w:val="clear" w:color="auto" w:fill="FFFFFF" w:themeFill="background1"/>
            <w:vAlign w:val="center"/>
          </w:tcPr>
          <w:p w14:paraId="3AF55F13" w14:textId="77777777" w:rsidR="006847C7" w:rsidRPr="00947513" w:rsidRDefault="006847C7" w:rsidP="000E7CBF">
            <w:pPr>
              <w:keepLines w:val="0"/>
              <w:widowControl/>
              <w:jc w:val="center"/>
              <w:rPr>
                <w:rFonts w:ascii="Cambria" w:hAnsi="Cambria"/>
                <w:szCs w:val="22"/>
                <w:lang w:val="es-ES"/>
              </w:rPr>
            </w:pPr>
            <w:r>
              <w:rPr>
                <w:rFonts w:ascii="Cambria" w:hAnsi="Cambria"/>
                <w:szCs w:val="22"/>
                <w:lang w:val="es-ES"/>
              </w:rPr>
              <w:t>(2)</w:t>
            </w:r>
          </w:p>
        </w:tc>
        <w:tc>
          <w:tcPr>
            <w:tcW w:w="1602" w:type="dxa"/>
            <w:shd w:val="clear" w:color="auto" w:fill="FFFFFF" w:themeFill="background1"/>
            <w:vAlign w:val="center"/>
          </w:tcPr>
          <w:p w14:paraId="724D2FAB" w14:textId="77777777" w:rsidR="006847C7" w:rsidRPr="00947513" w:rsidRDefault="006847C7" w:rsidP="000E7CBF">
            <w:pPr>
              <w:keepLines w:val="0"/>
              <w:widowControl/>
              <w:jc w:val="right"/>
              <w:rPr>
                <w:rFonts w:ascii="Cambria" w:hAnsi="Cambria"/>
                <w:szCs w:val="22"/>
                <w:lang w:val="es-ES"/>
              </w:rPr>
            </w:pPr>
            <w:r>
              <w:rPr>
                <w:rFonts w:ascii="Cambria" w:hAnsi="Cambria"/>
                <w:szCs w:val="22"/>
                <w:lang w:val="es-ES"/>
              </w:rPr>
              <w:t>(196</w:t>
            </w:r>
            <w:r w:rsidRPr="00947513">
              <w:rPr>
                <w:rFonts w:ascii="Cambria" w:hAnsi="Cambria"/>
                <w:szCs w:val="22"/>
                <w:lang w:val="es-ES"/>
              </w:rPr>
              <w:t>)</w:t>
            </w:r>
          </w:p>
        </w:tc>
        <w:tc>
          <w:tcPr>
            <w:tcW w:w="1487" w:type="dxa"/>
            <w:shd w:val="clear" w:color="auto" w:fill="auto"/>
            <w:vAlign w:val="center"/>
          </w:tcPr>
          <w:p w14:paraId="162AB62C" w14:textId="77777777" w:rsidR="006847C7" w:rsidRPr="00947513" w:rsidRDefault="006847C7" w:rsidP="000E7CBF">
            <w:pPr>
              <w:keepLines w:val="0"/>
              <w:widowControl/>
              <w:jc w:val="right"/>
              <w:rPr>
                <w:rFonts w:ascii="Cambria" w:hAnsi="Cambria"/>
                <w:szCs w:val="22"/>
                <w:lang w:val="es-ES"/>
              </w:rPr>
            </w:pPr>
            <w:r>
              <w:rPr>
                <w:rFonts w:ascii="Cambria" w:hAnsi="Cambria"/>
                <w:szCs w:val="22"/>
                <w:lang w:val="es-ES"/>
              </w:rPr>
              <w:t>3.640</w:t>
            </w:r>
          </w:p>
        </w:tc>
      </w:tr>
      <w:bookmarkEnd w:id="17"/>
    </w:tbl>
    <w:p w14:paraId="19B2BB7C" w14:textId="77777777" w:rsidR="001B2B25" w:rsidRPr="00F5069C" w:rsidRDefault="001B2B25" w:rsidP="00721E26">
      <w:pPr>
        <w:pStyle w:val="Listaconnmeros"/>
        <w:ind w:left="0" w:firstLine="0"/>
        <w:rPr>
          <w:rFonts w:ascii="Cambria" w:hAnsi="Cambria"/>
          <w:b/>
          <w:sz w:val="24"/>
          <w:szCs w:val="24"/>
          <w:u w:val="single"/>
        </w:rPr>
      </w:pPr>
    </w:p>
    <w:p w14:paraId="78CF44B5" w14:textId="77777777" w:rsidR="001B2B25" w:rsidRPr="00F5069C" w:rsidRDefault="001B2B25" w:rsidP="001B2B25">
      <w:pPr>
        <w:ind w:left="426"/>
        <w:rPr>
          <w:rFonts w:ascii="Cambria" w:hAnsi="Cambria"/>
          <w:b/>
          <w:sz w:val="24"/>
          <w:szCs w:val="24"/>
          <w:u w:val="single"/>
        </w:rPr>
      </w:pPr>
    </w:p>
    <w:p w14:paraId="428BCA97" w14:textId="6A138BBF" w:rsidR="001B2B25" w:rsidRPr="00264DE6" w:rsidRDefault="001B2B25" w:rsidP="00D44356">
      <w:pPr>
        <w:rPr>
          <w:rFonts w:ascii="Cambria" w:hAnsi="Cambria"/>
          <w:sz w:val="24"/>
          <w:szCs w:val="24"/>
        </w:rPr>
      </w:pPr>
      <w:r w:rsidRPr="00264DE6">
        <w:rPr>
          <w:rFonts w:ascii="Cambria" w:hAnsi="Cambria"/>
          <w:sz w:val="24"/>
          <w:szCs w:val="24"/>
        </w:rPr>
        <w:t xml:space="preserve">Los activos por impuesto diferido han sido registrados en el balance por considerar </w:t>
      </w:r>
      <w:r w:rsidR="006B4CBE">
        <w:rPr>
          <w:rFonts w:ascii="Cambria" w:hAnsi="Cambria"/>
          <w:sz w:val="24"/>
          <w:szCs w:val="24"/>
        </w:rPr>
        <w:t>el Administrador Ú</w:t>
      </w:r>
      <w:r w:rsidR="00B66F05">
        <w:rPr>
          <w:rFonts w:ascii="Cambria" w:hAnsi="Cambria"/>
          <w:sz w:val="24"/>
          <w:szCs w:val="24"/>
        </w:rPr>
        <w:t xml:space="preserve">nico </w:t>
      </w:r>
      <w:r w:rsidRPr="00264DE6">
        <w:rPr>
          <w:rFonts w:ascii="Cambria" w:hAnsi="Cambria"/>
          <w:sz w:val="24"/>
          <w:szCs w:val="24"/>
        </w:rPr>
        <w:t>que, conforme a la mejor estimación sobre los resultados futuros de la Sociedad, incluyendo determinadas actuaciones de planificación fiscal, es probable que dichos activos sean recuperados.</w:t>
      </w:r>
    </w:p>
    <w:p w14:paraId="6588E4A5" w14:textId="77777777" w:rsidR="004701A0" w:rsidRPr="00C407D3" w:rsidRDefault="004701A0" w:rsidP="006A7AA4">
      <w:pPr>
        <w:keepLines w:val="0"/>
        <w:widowControl/>
        <w:jc w:val="left"/>
        <w:rPr>
          <w:highlight w:val="yellow"/>
        </w:rPr>
      </w:pPr>
    </w:p>
    <w:p w14:paraId="71F363FF" w14:textId="2A69AEFA" w:rsidR="001B2B25" w:rsidRPr="005B377D" w:rsidRDefault="001B2B25" w:rsidP="008A18E0">
      <w:pPr>
        <w:pStyle w:val="Ttulo2"/>
        <w:keepNext/>
        <w:ind w:left="567"/>
        <w:rPr>
          <w:rFonts w:ascii="Cambria" w:hAnsi="Cambria"/>
          <w:sz w:val="24"/>
          <w:szCs w:val="24"/>
        </w:rPr>
      </w:pPr>
      <w:r w:rsidRPr="005B377D">
        <w:rPr>
          <w:rFonts w:ascii="Cambria" w:hAnsi="Cambria"/>
          <w:sz w:val="24"/>
          <w:szCs w:val="24"/>
        </w:rPr>
        <w:t>12.3 Bases imponibles negativas y créditos fiscales</w:t>
      </w:r>
    </w:p>
    <w:p w14:paraId="21501E42" w14:textId="77777777" w:rsidR="001B2B25" w:rsidRPr="005B377D" w:rsidRDefault="001B2B25" w:rsidP="001B2B25">
      <w:pPr>
        <w:pStyle w:val="Listaconnmeros"/>
        <w:ind w:left="426" w:firstLine="0"/>
        <w:rPr>
          <w:rFonts w:ascii="Cambria" w:hAnsi="Cambria"/>
          <w:sz w:val="24"/>
          <w:szCs w:val="24"/>
        </w:rPr>
      </w:pPr>
    </w:p>
    <w:p w14:paraId="6094CA99" w14:textId="77777777" w:rsidR="00A74A4B" w:rsidRDefault="00A74A4B" w:rsidP="00A74A4B">
      <w:pPr>
        <w:rPr>
          <w:rFonts w:ascii="Cambria" w:hAnsi="Cambria"/>
          <w:sz w:val="24"/>
          <w:szCs w:val="24"/>
        </w:rPr>
      </w:pPr>
      <w:r>
        <w:rPr>
          <w:rFonts w:ascii="Cambria" w:hAnsi="Cambria"/>
          <w:sz w:val="24"/>
          <w:szCs w:val="24"/>
        </w:rPr>
        <w:t>Conforme a lo dispuesto en el artículo 26 de</w:t>
      </w:r>
      <w:r w:rsidR="00721E26" w:rsidRPr="005B377D">
        <w:rPr>
          <w:rFonts w:ascii="Cambria" w:hAnsi="Cambria"/>
          <w:sz w:val="24"/>
          <w:szCs w:val="24"/>
        </w:rPr>
        <w:t xml:space="preserve"> la Ley 27/2014, del Impuesto sobre Sociedades, a partir del 1 de enero del 2015, la compensación de las bases imponibles negativas que hayan sido objeto de autoliquidación o declaración </w:t>
      </w:r>
      <w:r w:rsidRPr="00A74A4B">
        <w:rPr>
          <w:rFonts w:ascii="Cambria" w:hAnsi="Cambria"/>
          <w:sz w:val="24"/>
          <w:szCs w:val="24"/>
        </w:rPr>
        <w:t xml:space="preserve">con las bases imponibles positivas de los períodos impositivos siguientes podrá realizarse sin límite temporal. </w:t>
      </w:r>
    </w:p>
    <w:p w14:paraId="2AF398F6" w14:textId="77777777" w:rsidR="00A74A4B" w:rsidRDefault="00A74A4B" w:rsidP="00A74A4B">
      <w:pPr>
        <w:rPr>
          <w:rFonts w:ascii="Cambria" w:hAnsi="Cambria"/>
          <w:sz w:val="24"/>
          <w:szCs w:val="24"/>
        </w:rPr>
      </w:pPr>
    </w:p>
    <w:p w14:paraId="2974F310" w14:textId="205D72BE" w:rsidR="00A74A4B" w:rsidRPr="00A74A4B" w:rsidRDefault="00A74A4B" w:rsidP="00A74A4B">
      <w:pPr>
        <w:rPr>
          <w:rFonts w:ascii="Cambria" w:hAnsi="Cambria"/>
          <w:sz w:val="24"/>
          <w:szCs w:val="24"/>
        </w:rPr>
      </w:pPr>
      <w:r w:rsidRPr="00A74A4B">
        <w:rPr>
          <w:rFonts w:ascii="Cambria" w:hAnsi="Cambria"/>
          <w:sz w:val="24"/>
          <w:szCs w:val="24"/>
        </w:rPr>
        <w:t>No obstante, dicha compensación queda limitada al 25% de la base imponible positiva previa para aquellos contribuyentes por el Impuesto sobre Sociedades cuyo importe neto de la cifra de negocios durante los doce meses anteriores a la fecha en que se inicie el período impositivo haya sido, al menos, de 60 millones de euros. Dicho límite resulta de aplicación a COFIVACASA en la medida en que forma parte del Grupo SEPI 9/86, en régimen de consolidación</w:t>
      </w:r>
      <w:r>
        <w:rPr>
          <w:rFonts w:ascii="Cambria" w:hAnsi="Cambria"/>
          <w:sz w:val="24"/>
          <w:szCs w:val="24"/>
        </w:rPr>
        <w:t xml:space="preserve"> fiscal por el citado Impuesto.</w:t>
      </w:r>
    </w:p>
    <w:p w14:paraId="5E3FDA26" w14:textId="77777777" w:rsidR="00A74A4B" w:rsidRPr="00A74A4B" w:rsidRDefault="00A74A4B" w:rsidP="00A74A4B">
      <w:pPr>
        <w:rPr>
          <w:rFonts w:ascii="Cambria" w:hAnsi="Cambria"/>
          <w:sz w:val="24"/>
          <w:szCs w:val="24"/>
          <w:lang w:val="es-ES"/>
        </w:rPr>
      </w:pPr>
    </w:p>
    <w:p w14:paraId="472D406D" w14:textId="77777777" w:rsidR="00A74A4B" w:rsidRDefault="00A74A4B" w:rsidP="00A74A4B">
      <w:pPr>
        <w:rPr>
          <w:rFonts w:ascii="Cambria" w:hAnsi="Cambria"/>
          <w:color w:val="2F5597"/>
        </w:rPr>
      </w:pPr>
    </w:p>
    <w:p w14:paraId="395B6E60" w14:textId="0A9A6802" w:rsidR="005B377D" w:rsidRPr="005B377D" w:rsidRDefault="005B377D" w:rsidP="00A74A4B">
      <w:pPr>
        <w:pStyle w:val="not"/>
        <w:spacing w:before="0"/>
        <w:ind w:left="426" w:firstLine="0"/>
        <w:rPr>
          <w:rFonts w:ascii="Cambria" w:hAnsi="Cambria"/>
          <w:sz w:val="24"/>
          <w:szCs w:val="24"/>
        </w:rPr>
      </w:pPr>
    </w:p>
    <w:p w14:paraId="2C2CCAC8" w14:textId="77777777" w:rsidR="00A4200A" w:rsidRDefault="00A4200A">
      <w:pPr>
        <w:keepLines w:val="0"/>
        <w:widowControl/>
        <w:jc w:val="left"/>
        <w:rPr>
          <w:rFonts w:ascii="Cambria" w:hAnsi="Cambria"/>
          <w:sz w:val="24"/>
          <w:szCs w:val="24"/>
        </w:rPr>
      </w:pPr>
      <w:r>
        <w:rPr>
          <w:rFonts w:ascii="Cambria" w:hAnsi="Cambria"/>
          <w:sz w:val="24"/>
          <w:szCs w:val="24"/>
        </w:rPr>
        <w:br w:type="page"/>
      </w:r>
    </w:p>
    <w:p w14:paraId="44C64A2C" w14:textId="77777777" w:rsidR="002B493A" w:rsidRDefault="002B493A" w:rsidP="005B377D">
      <w:pPr>
        <w:keepLines w:val="0"/>
        <w:widowControl/>
        <w:ind w:left="426"/>
        <w:jc w:val="left"/>
        <w:rPr>
          <w:rFonts w:ascii="Cambria" w:hAnsi="Cambria"/>
          <w:sz w:val="24"/>
          <w:szCs w:val="24"/>
        </w:rPr>
      </w:pPr>
    </w:p>
    <w:p w14:paraId="3D085884" w14:textId="27E985FF" w:rsidR="00FF04C0" w:rsidRPr="005B377D" w:rsidRDefault="001B2B25" w:rsidP="005B377D">
      <w:pPr>
        <w:keepLines w:val="0"/>
        <w:widowControl/>
        <w:ind w:left="426"/>
        <w:jc w:val="left"/>
      </w:pPr>
      <w:bookmarkStart w:id="18" w:name="_Hlk65750938"/>
      <w:r w:rsidRPr="005B377D">
        <w:rPr>
          <w:rFonts w:ascii="Cambria" w:hAnsi="Cambria"/>
          <w:sz w:val="24"/>
          <w:szCs w:val="24"/>
        </w:rPr>
        <w:t xml:space="preserve">Las bases imponibles negativas de COFIVACASA proceden de las </w:t>
      </w:r>
      <w:r w:rsidR="00721E26" w:rsidRPr="005B377D">
        <w:rPr>
          <w:rFonts w:ascii="Cambria" w:hAnsi="Cambria"/>
          <w:sz w:val="24"/>
          <w:szCs w:val="24"/>
        </w:rPr>
        <w:t xml:space="preserve">sociedades </w:t>
      </w:r>
      <w:r w:rsidRPr="005B377D">
        <w:rPr>
          <w:rFonts w:ascii="Cambria" w:hAnsi="Cambria"/>
          <w:sz w:val="24"/>
          <w:szCs w:val="24"/>
        </w:rPr>
        <w:t>disueltas Inirail S.A.U., Tecnología Gestión de la Innovación, S.A.U., AHM, IMENOSA, ACENOR, ADARO, SOFESA, BWE, PRESUR y AHV-ENSIDESA CAPITAL. Los importes referidos son los siguientes (en miles de euros):</w:t>
      </w:r>
    </w:p>
    <w:p w14:paraId="04388FC1" w14:textId="77777777" w:rsidR="001B2B25" w:rsidRPr="00D44BB5" w:rsidRDefault="001B2B25" w:rsidP="001B2B25">
      <w:pPr>
        <w:pStyle w:val="Lista"/>
        <w:rPr>
          <w:highlight w:val="yellow"/>
        </w:rPr>
      </w:pPr>
    </w:p>
    <w:tbl>
      <w:tblPr>
        <w:tblW w:w="8444" w:type="dxa"/>
        <w:tblInd w:w="416" w:type="dxa"/>
        <w:tblCellMar>
          <w:left w:w="70" w:type="dxa"/>
          <w:right w:w="70" w:type="dxa"/>
        </w:tblCellMar>
        <w:tblLook w:val="04A0" w:firstRow="1" w:lastRow="0" w:firstColumn="1" w:lastColumn="0" w:noHBand="0" w:noVBand="1"/>
      </w:tblPr>
      <w:tblGrid>
        <w:gridCol w:w="784"/>
        <w:gridCol w:w="1800"/>
        <w:gridCol w:w="2200"/>
        <w:gridCol w:w="1740"/>
        <w:gridCol w:w="1920"/>
      </w:tblGrid>
      <w:tr w:rsidR="0033517C" w:rsidRPr="0033517C" w14:paraId="2DA4E99B" w14:textId="77777777" w:rsidTr="0033517C">
        <w:trPr>
          <w:trHeight w:val="1290"/>
        </w:trPr>
        <w:tc>
          <w:tcPr>
            <w:tcW w:w="78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2CC5340" w14:textId="77777777" w:rsidR="0033517C" w:rsidRPr="007C35A2" w:rsidRDefault="0033517C" w:rsidP="0033517C">
            <w:pPr>
              <w:keepLines w:val="0"/>
              <w:widowControl/>
              <w:jc w:val="center"/>
              <w:rPr>
                <w:rFonts w:ascii="Cambria" w:hAnsi="Cambria"/>
                <w:b/>
                <w:bCs/>
                <w:color w:val="000000"/>
                <w:sz w:val="20"/>
                <w:lang w:val="es-ES"/>
              </w:rPr>
            </w:pPr>
            <w:r w:rsidRPr="007C35A2">
              <w:rPr>
                <w:rFonts w:ascii="Cambria" w:hAnsi="Cambria"/>
                <w:b/>
                <w:bCs/>
                <w:color w:val="000000"/>
                <w:sz w:val="20"/>
                <w:lang w:val="es-ES"/>
              </w:rPr>
              <w:t>Año</w:t>
            </w:r>
          </w:p>
        </w:tc>
        <w:tc>
          <w:tcPr>
            <w:tcW w:w="1800" w:type="dxa"/>
            <w:tcBorders>
              <w:top w:val="single" w:sz="8" w:space="0" w:color="auto"/>
              <w:left w:val="nil"/>
              <w:bottom w:val="single" w:sz="8" w:space="0" w:color="auto"/>
              <w:right w:val="single" w:sz="8" w:space="0" w:color="auto"/>
            </w:tcBorders>
            <w:shd w:val="clear" w:color="000000" w:fill="FFFFFF"/>
            <w:noWrap/>
            <w:vAlign w:val="center"/>
            <w:hideMark/>
          </w:tcPr>
          <w:p w14:paraId="43A278D8" w14:textId="0AE50B69" w:rsidR="0033517C" w:rsidRPr="007C35A2" w:rsidRDefault="0033517C" w:rsidP="0033517C">
            <w:pPr>
              <w:keepLines w:val="0"/>
              <w:widowControl/>
              <w:jc w:val="center"/>
              <w:rPr>
                <w:rFonts w:ascii="Cambria" w:hAnsi="Cambria"/>
                <w:b/>
                <w:bCs/>
                <w:color w:val="000000"/>
                <w:sz w:val="20"/>
                <w:lang w:val="es-ES"/>
              </w:rPr>
            </w:pPr>
            <w:r w:rsidRPr="007C35A2">
              <w:rPr>
                <w:rFonts w:ascii="Cambria" w:hAnsi="Cambria"/>
                <w:b/>
                <w:bCs/>
                <w:color w:val="000000"/>
                <w:sz w:val="20"/>
                <w:lang w:val="es-ES"/>
              </w:rPr>
              <w:t>Importe</w:t>
            </w:r>
            <w:r w:rsidR="006B4CBE" w:rsidRPr="007C35A2">
              <w:rPr>
                <w:rFonts w:ascii="Cambria" w:hAnsi="Cambria"/>
                <w:b/>
                <w:bCs/>
                <w:color w:val="000000"/>
                <w:sz w:val="20"/>
                <w:lang w:val="es-ES"/>
              </w:rPr>
              <w:t xml:space="preserve"> (*)</w:t>
            </w:r>
          </w:p>
        </w:tc>
        <w:tc>
          <w:tcPr>
            <w:tcW w:w="2200" w:type="dxa"/>
            <w:tcBorders>
              <w:top w:val="single" w:sz="8" w:space="0" w:color="auto"/>
              <w:left w:val="nil"/>
              <w:bottom w:val="single" w:sz="8" w:space="0" w:color="auto"/>
              <w:right w:val="single" w:sz="8" w:space="0" w:color="auto"/>
            </w:tcBorders>
            <w:shd w:val="clear" w:color="000000" w:fill="FFFFFF"/>
            <w:vAlign w:val="center"/>
            <w:hideMark/>
          </w:tcPr>
          <w:p w14:paraId="4B02D1F5" w14:textId="7603A030" w:rsidR="0033517C" w:rsidRPr="007C35A2" w:rsidRDefault="0033517C" w:rsidP="0033517C">
            <w:pPr>
              <w:keepLines w:val="0"/>
              <w:widowControl/>
              <w:jc w:val="center"/>
              <w:rPr>
                <w:rFonts w:ascii="Cambria" w:hAnsi="Cambria"/>
                <w:b/>
                <w:bCs/>
                <w:color w:val="000000"/>
                <w:sz w:val="20"/>
                <w:lang w:val="es-ES"/>
              </w:rPr>
            </w:pPr>
            <w:r w:rsidRPr="007C35A2">
              <w:rPr>
                <w:rFonts w:ascii="Cambria" w:hAnsi="Cambria"/>
                <w:b/>
                <w:bCs/>
                <w:color w:val="000000"/>
                <w:sz w:val="20"/>
                <w:lang w:val="es-ES"/>
              </w:rPr>
              <w:t>Compensadas en 20</w:t>
            </w:r>
            <w:r w:rsidR="007C35A2" w:rsidRPr="007C35A2">
              <w:rPr>
                <w:rFonts w:ascii="Cambria" w:hAnsi="Cambria"/>
                <w:b/>
                <w:bCs/>
                <w:color w:val="000000"/>
                <w:sz w:val="20"/>
                <w:lang w:val="es-ES"/>
              </w:rPr>
              <w:t>20</w:t>
            </w:r>
          </w:p>
        </w:tc>
        <w:tc>
          <w:tcPr>
            <w:tcW w:w="1740" w:type="dxa"/>
            <w:tcBorders>
              <w:top w:val="single" w:sz="8" w:space="0" w:color="auto"/>
              <w:left w:val="nil"/>
              <w:bottom w:val="single" w:sz="8" w:space="0" w:color="auto"/>
              <w:right w:val="single" w:sz="8" w:space="0" w:color="auto"/>
            </w:tcBorders>
            <w:shd w:val="clear" w:color="000000" w:fill="FFFFFF"/>
            <w:vAlign w:val="center"/>
            <w:hideMark/>
          </w:tcPr>
          <w:p w14:paraId="463D7587" w14:textId="77777777" w:rsidR="0033517C" w:rsidRPr="007C35A2" w:rsidRDefault="0033517C" w:rsidP="0033517C">
            <w:pPr>
              <w:keepLines w:val="0"/>
              <w:widowControl/>
              <w:jc w:val="center"/>
              <w:rPr>
                <w:rFonts w:ascii="Cambria" w:hAnsi="Cambria"/>
                <w:b/>
                <w:bCs/>
                <w:color w:val="000000"/>
                <w:sz w:val="20"/>
                <w:lang w:val="es-ES"/>
              </w:rPr>
            </w:pPr>
            <w:r w:rsidRPr="007C35A2">
              <w:rPr>
                <w:rFonts w:ascii="Cambria" w:hAnsi="Cambria"/>
                <w:b/>
                <w:bCs/>
                <w:color w:val="000000"/>
                <w:sz w:val="20"/>
                <w:lang w:val="es-ES"/>
              </w:rPr>
              <w:t>Pendientes de compensación a nivel individual</w:t>
            </w:r>
          </w:p>
        </w:tc>
        <w:tc>
          <w:tcPr>
            <w:tcW w:w="1920" w:type="dxa"/>
            <w:tcBorders>
              <w:top w:val="single" w:sz="8" w:space="0" w:color="auto"/>
              <w:left w:val="nil"/>
              <w:bottom w:val="single" w:sz="8" w:space="0" w:color="auto"/>
              <w:right w:val="single" w:sz="8" w:space="0" w:color="auto"/>
            </w:tcBorders>
            <w:shd w:val="clear" w:color="000000" w:fill="FFFFFF"/>
            <w:vAlign w:val="center"/>
            <w:hideMark/>
          </w:tcPr>
          <w:p w14:paraId="3ED2877F" w14:textId="77777777" w:rsidR="0033517C" w:rsidRPr="007C35A2" w:rsidRDefault="0033517C" w:rsidP="0033517C">
            <w:pPr>
              <w:keepLines w:val="0"/>
              <w:widowControl/>
              <w:jc w:val="center"/>
              <w:rPr>
                <w:rFonts w:ascii="Cambria" w:hAnsi="Cambria"/>
                <w:b/>
                <w:bCs/>
                <w:color w:val="000000"/>
                <w:sz w:val="20"/>
                <w:lang w:val="es-ES"/>
              </w:rPr>
            </w:pPr>
            <w:r w:rsidRPr="007C35A2">
              <w:rPr>
                <w:rFonts w:ascii="Cambria" w:hAnsi="Cambria"/>
                <w:b/>
                <w:bCs/>
                <w:color w:val="000000"/>
                <w:sz w:val="20"/>
                <w:lang w:val="es-ES"/>
              </w:rPr>
              <w:t>Aportadas al Grupo SEPI (Sociedad Estatal de Participaciones Industriales)</w:t>
            </w:r>
          </w:p>
        </w:tc>
      </w:tr>
      <w:tr w:rsidR="007C35A2" w:rsidRPr="0033517C" w14:paraId="54B585B5" w14:textId="77777777" w:rsidTr="00986B2F">
        <w:trPr>
          <w:trHeight w:val="315"/>
        </w:trPr>
        <w:tc>
          <w:tcPr>
            <w:tcW w:w="784" w:type="dxa"/>
            <w:tcBorders>
              <w:top w:val="nil"/>
              <w:left w:val="single" w:sz="8" w:space="0" w:color="auto"/>
              <w:bottom w:val="nil"/>
              <w:right w:val="single" w:sz="8" w:space="0" w:color="auto"/>
            </w:tcBorders>
            <w:shd w:val="clear" w:color="auto" w:fill="auto"/>
            <w:noWrap/>
            <w:vAlign w:val="center"/>
            <w:hideMark/>
          </w:tcPr>
          <w:p w14:paraId="2AA2AA50"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1997</w:t>
            </w:r>
          </w:p>
        </w:tc>
        <w:tc>
          <w:tcPr>
            <w:tcW w:w="1800" w:type="dxa"/>
            <w:tcBorders>
              <w:top w:val="nil"/>
              <w:left w:val="nil"/>
              <w:bottom w:val="nil"/>
              <w:right w:val="single" w:sz="8" w:space="0" w:color="auto"/>
            </w:tcBorders>
            <w:shd w:val="clear" w:color="000000" w:fill="FFFFFF"/>
            <w:noWrap/>
            <w:vAlign w:val="center"/>
            <w:hideMark/>
          </w:tcPr>
          <w:p w14:paraId="3D6C9215" w14:textId="042540B6"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1.307.537</w:t>
            </w:r>
          </w:p>
        </w:tc>
        <w:tc>
          <w:tcPr>
            <w:tcW w:w="2200" w:type="dxa"/>
            <w:tcBorders>
              <w:top w:val="nil"/>
              <w:left w:val="nil"/>
              <w:bottom w:val="nil"/>
              <w:right w:val="single" w:sz="8" w:space="0" w:color="auto"/>
            </w:tcBorders>
            <w:shd w:val="clear" w:color="000000" w:fill="FFFFFF"/>
            <w:noWrap/>
            <w:vAlign w:val="center"/>
            <w:hideMark/>
          </w:tcPr>
          <w:p w14:paraId="092D135D" w14:textId="24302F8E"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214C8132"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 </w:t>
            </w:r>
          </w:p>
        </w:tc>
        <w:tc>
          <w:tcPr>
            <w:tcW w:w="1920" w:type="dxa"/>
            <w:tcBorders>
              <w:top w:val="nil"/>
              <w:left w:val="nil"/>
              <w:bottom w:val="nil"/>
              <w:right w:val="single" w:sz="8" w:space="0" w:color="auto"/>
            </w:tcBorders>
            <w:shd w:val="clear" w:color="000000" w:fill="FFFFFF"/>
            <w:noWrap/>
            <w:vAlign w:val="center"/>
            <w:hideMark/>
          </w:tcPr>
          <w:p w14:paraId="0F052DAA"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1.307.537</w:t>
            </w:r>
          </w:p>
        </w:tc>
      </w:tr>
      <w:tr w:rsidR="007C35A2" w:rsidRPr="0033517C" w14:paraId="1E38A307"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52D75E60"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1998</w:t>
            </w:r>
          </w:p>
        </w:tc>
        <w:tc>
          <w:tcPr>
            <w:tcW w:w="1800" w:type="dxa"/>
            <w:tcBorders>
              <w:top w:val="nil"/>
              <w:left w:val="nil"/>
              <w:bottom w:val="nil"/>
              <w:right w:val="single" w:sz="8" w:space="0" w:color="auto"/>
            </w:tcBorders>
            <w:shd w:val="clear" w:color="000000" w:fill="FFFFFF"/>
            <w:noWrap/>
            <w:vAlign w:val="center"/>
            <w:hideMark/>
          </w:tcPr>
          <w:p w14:paraId="2B4C58C0"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769.766</w:t>
            </w:r>
          </w:p>
        </w:tc>
        <w:tc>
          <w:tcPr>
            <w:tcW w:w="2200" w:type="dxa"/>
            <w:tcBorders>
              <w:top w:val="nil"/>
              <w:left w:val="nil"/>
              <w:bottom w:val="nil"/>
              <w:right w:val="single" w:sz="8" w:space="0" w:color="auto"/>
            </w:tcBorders>
            <w:shd w:val="clear" w:color="000000" w:fill="FFFFFF"/>
            <w:noWrap/>
            <w:vAlign w:val="center"/>
            <w:hideMark/>
          </w:tcPr>
          <w:p w14:paraId="2AF5895B"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28A3261A"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15F97636"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769.766</w:t>
            </w:r>
          </w:p>
        </w:tc>
      </w:tr>
      <w:tr w:rsidR="007C35A2" w:rsidRPr="0033517C" w14:paraId="30A63F28"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7DD2F9DD"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1999</w:t>
            </w:r>
          </w:p>
        </w:tc>
        <w:tc>
          <w:tcPr>
            <w:tcW w:w="1800" w:type="dxa"/>
            <w:tcBorders>
              <w:top w:val="nil"/>
              <w:left w:val="nil"/>
              <w:bottom w:val="nil"/>
              <w:right w:val="single" w:sz="8" w:space="0" w:color="auto"/>
            </w:tcBorders>
            <w:shd w:val="clear" w:color="000000" w:fill="FFFFFF"/>
            <w:noWrap/>
            <w:vAlign w:val="center"/>
            <w:hideMark/>
          </w:tcPr>
          <w:p w14:paraId="21C88793"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440.371</w:t>
            </w:r>
          </w:p>
        </w:tc>
        <w:tc>
          <w:tcPr>
            <w:tcW w:w="2200" w:type="dxa"/>
            <w:tcBorders>
              <w:top w:val="nil"/>
              <w:left w:val="nil"/>
              <w:bottom w:val="nil"/>
              <w:right w:val="single" w:sz="8" w:space="0" w:color="auto"/>
            </w:tcBorders>
            <w:shd w:val="clear" w:color="000000" w:fill="FFFFFF"/>
            <w:noWrap/>
            <w:vAlign w:val="center"/>
            <w:hideMark/>
          </w:tcPr>
          <w:p w14:paraId="2505E8A6"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6EBADE67"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11F2F4CE"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440.371</w:t>
            </w:r>
          </w:p>
        </w:tc>
      </w:tr>
      <w:tr w:rsidR="007C35A2" w:rsidRPr="0033517C" w14:paraId="2E9C387D"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74D19D79"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2000</w:t>
            </w:r>
          </w:p>
        </w:tc>
        <w:tc>
          <w:tcPr>
            <w:tcW w:w="1800" w:type="dxa"/>
            <w:tcBorders>
              <w:top w:val="nil"/>
              <w:left w:val="nil"/>
              <w:bottom w:val="nil"/>
              <w:right w:val="single" w:sz="8" w:space="0" w:color="auto"/>
            </w:tcBorders>
            <w:shd w:val="clear" w:color="000000" w:fill="FFFFFF"/>
            <w:noWrap/>
            <w:vAlign w:val="center"/>
            <w:hideMark/>
          </w:tcPr>
          <w:p w14:paraId="289310C9"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474.954</w:t>
            </w:r>
          </w:p>
        </w:tc>
        <w:tc>
          <w:tcPr>
            <w:tcW w:w="2200" w:type="dxa"/>
            <w:tcBorders>
              <w:top w:val="nil"/>
              <w:left w:val="nil"/>
              <w:bottom w:val="nil"/>
              <w:right w:val="single" w:sz="8" w:space="0" w:color="auto"/>
            </w:tcBorders>
            <w:shd w:val="clear" w:color="000000" w:fill="FFFFFF"/>
            <w:noWrap/>
            <w:vAlign w:val="center"/>
            <w:hideMark/>
          </w:tcPr>
          <w:p w14:paraId="2CF7C32A"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3806FB6C"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7EE83DEA"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474.954</w:t>
            </w:r>
          </w:p>
        </w:tc>
      </w:tr>
      <w:tr w:rsidR="007C35A2" w:rsidRPr="0033517C" w14:paraId="5F9153F7"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3A2FDE44"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2001</w:t>
            </w:r>
          </w:p>
        </w:tc>
        <w:tc>
          <w:tcPr>
            <w:tcW w:w="1800" w:type="dxa"/>
            <w:tcBorders>
              <w:top w:val="nil"/>
              <w:left w:val="nil"/>
              <w:bottom w:val="nil"/>
              <w:right w:val="single" w:sz="8" w:space="0" w:color="auto"/>
            </w:tcBorders>
            <w:shd w:val="clear" w:color="000000" w:fill="FFFFFF"/>
            <w:noWrap/>
            <w:vAlign w:val="center"/>
            <w:hideMark/>
          </w:tcPr>
          <w:p w14:paraId="596E9BC9"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519.165</w:t>
            </w:r>
          </w:p>
        </w:tc>
        <w:tc>
          <w:tcPr>
            <w:tcW w:w="2200" w:type="dxa"/>
            <w:tcBorders>
              <w:top w:val="nil"/>
              <w:left w:val="nil"/>
              <w:bottom w:val="nil"/>
              <w:right w:val="single" w:sz="8" w:space="0" w:color="auto"/>
            </w:tcBorders>
            <w:shd w:val="clear" w:color="000000" w:fill="FFFFFF"/>
            <w:noWrap/>
            <w:vAlign w:val="center"/>
            <w:hideMark/>
          </w:tcPr>
          <w:p w14:paraId="035B59FF"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6298354C"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04417E27"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519.165</w:t>
            </w:r>
          </w:p>
        </w:tc>
      </w:tr>
      <w:tr w:rsidR="007C35A2" w:rsidRPr="0033517C" w14:paraId="61965625"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654F149A"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2002</w:t>
            </w:r>
          </w:p>
        </w:tc>
        <w:tc>
          <w:tcPr>
            <w:tcW w:w="1800" w:type="dxa"/>
            <w:tcBorders>
              <w:top w:val="nil"/>
              <w:left w:val="nil"/>
              <w:bottom w:val="nil"/>
              <w:right w:val="single" w:sz="8" w:space="0" w:color="auto"/>
            </w:tcBorders>
            <w:shd w:val="clear" w:color="000000" w:fill="FFFFFF"/>
            <w:noWrap/>
            <w:vAlign w:val="center"/>
            <w:hideMark/>
          </w:tcPr>
          <w:p w14:paraId="25D64B09"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305.454</w:t>
            </w:r>
          </w:p>
        </w:tc>
        <w:tc>
          <w:tcPr>
            <w:tcW w:w="2200" w:type="dxa"/>
            <w:tcBorders>
              <w:top w:val="nil"/>
              <w:left w:val="nil"/>
              <w:bottom w:val="nil"/>
              <w:right w:val="single" w:sz="8" w:space="0" w:color="auto"/>
            </w:tcBorders>
            <w:shd w:val="clear" w:color="000000" w:fill="FFFFFF"/>
            <w:noWrap/>
            <w:vAlign w:val="center"/>
            <w:hideMark/>
          </w:tcPr>
          <w:p w14:paraId="2909721C"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6A6B6DD7"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1.055</w:t>
            </w:r>
          </w:p>
        </w:tc>
        <w:tc>
          <w:tcPr>
            <w:tcW w:w="1920" w:type="dxa"/>
            <w:tcBorders>
              <w:top w:val="nil"/>
              <w:left w:val="nil"/>
              <w:bottom w:val="nil"/>
              <w:right w:val="single" w:sz="8" w:space="0" w:color="auto"/>
            </w:tcBorders>
            <w:shd w:val="clear" w:color="000000" w:fill="FFFFFF"/>
            <w:noWrap/>
            <w:vAlign w:val="center"/>
            <w:hideMark/>
          </w:tcPr>
          <w:p w14:paraId="3661D0DC"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304.399</w:t>
            </w:r>
          </w:p>
        </w:tc>
      </w:tr>
      <w:tr w:rsidR="007C35A2" w:rsidRPr="0033517C" w14:paraId="79F8F61B"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5F73BB8E"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2003</w:t>
            </w:r>
          </w:p>
        </w:tc>
        <w:tc>
          <w:tcPr>
            <w:tcW w:w="1800" w:type="dxa"/>
            <w:tcBorders>
              <w:top w:val="nil"/>
              <w:left w:val="nil"/>
              <w:bottom w:val="nil"/>
              <w:right w:val="single" w:sz="8" w:space="0" w:color="auto"/>
            </w:tcBorders>
            <w:shd w:val="clear" w:color="000000" w:fill="FFFFFF"/>
            <w:noWrap/>
            <w:vAlign w:val="center"/>
            <w:hideMark/>
          </w:tcPr>
          <w:p w14:paraId="75EF28EC"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272.779</w:t>
            </w:r>
          </w:p>
        </w:tc>
        <w:tc>
          <w:tcPr>
            <w:tcW w:w="2200" w:type="dxa"/>
            <w:tcBorders>
              <w:top w:val="nil"/>
              <w:left w:val="nil"/>
              <w:bottom w:val="nil"/>
              <w:right w:val="single" w:sz="8" w:space="0" w:color="auto"/>
            </w:tcBorders>
            <w:shd w:val="clear" w:color="000000" w:fill="FFFFFF"/>
            <w:noWrap/>
            <w:vAlign w:val="center"/>
            <w:hideMark/>
          </w:tcPr>
          <w:p w14:paraId="7301ECFA"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2BED2DC7"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254</w:t>
            </w:r>
          </w:p>
        </w:tc>
        <w:tc>
          <w:tcPr>
            <w:tcW w:w="1920" w:type="dxa"/>
            <w:tcBorders>
              <w:top w:val="nil"/>
              <w:left w:val="nil"/>
              <w:bottom w:val="nil"/>
              <w:right w:val="single" w:sz="8" w:space="0" w:color="auto"/>
            </w:tcBorders>
            <w:shd w:val="clear" w:color="000000" w:fill="FFFFFF"/>
            <w:noWrap/>
            <w:vAlign w:val="center"/>
            <w:hideMark/>
          </w:tcPr>
          <w:p w14:paraId="450207FB"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272.525</w:t>
            </w:r>
          </w:p>
        </w:tc>
      </w:tr>
      <w:tr w:rsidR="007C35A2" w:rsidRPr="0033517C" w14:paraId="50A499A4"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5F06666A"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2004</w:t>
            </w:r>
          </w:p>
        </w:tc>
        <w:tc>
          <w:tcPr>
            <w:tcW w:w="1800" w:type="dxa"/>
            <w:tcBorders>
              <w:top w:val="nil"/>
              <w:left w:val="nil"/>
              <w:bottom w:val="nil"/>
              <w:right w:val="single" w:sz="8" w:space="0" w:color="auto"/>
            </w:tcBorders>
            <w:shd w:val="clear" w:color="000000" w:fill="FFFFFF"/>
            <w:noWrap/>
            <w:vAlign w:val="center"/>
            <w:hideMark/>
          </w:tcPr>
          <w:p w14:paraId="1393CD0C"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230.271</w:t>
            </w:r>
          </w:p>
        </w:tc>
        <w:tc>
          <w:tcPr>
            <w:tcW w:w="2200" w:type="dxa"/>
            <w:tcBorders>
              <w:top w:val="nil"/>
              <w:left w:val="nil"/>
              <w:bottom w:val="nil"/>
              <w:right w:val="single" w:sz="8" w:space="0" w:color="auto"/>
            </w:tcBorders>
            <w:shd w:val="clear" w:color="000000" w:fill="FFFFFF"/>
            <w:noWrap/>
            <w:vAlign w:val="center"/>
            <w:hideMark/>
          </w:tcPr>
          <w:p w14:paraId="282E055A"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089005D2"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183BFEA4"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230.271</w:t>
            </w:r>
          </w:p>
        </w:tc>
      </w:tr>
      <w:tr w:rsidR="007C35A2" w:rsidRPr="0033517C" w14:paraId="746448B5"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55A70E08"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2005</w:t>
            </w:r>
          </w:p>
        </w:tc>
        <w:tc>
          <w:tcPr>
            <w:tcW w:w="1800" w:type="dxa"/>
            <w:tcBorders>
              <w:top w:val="nil"/>
              <w:left w:val="nil"/>
              <w:bottom w:val="nil"/>
              <w:right w:val="single" w:sz="8" w:space="0" w:color="auto"/>
            </w:tcBorders>
            <w:shd w:val="clear" w:color="000000" w:fill="FFFFFF"/>
            <w:noWrap/>
            <w:vAlign w:val="center"/>
            <w:hideMark/>
          </w:tcPr>
          <w:p w14:paraId="04D22080"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281.008</w:t>
            </w:r>
          </w:p>
        </w:tc>
        <w:tc>
          <w:tcPr>
            <w:tcW w:w="2200" w:type="dxa"/>
            <w:tcBorders>
              <w:top w:val="nil"/>
              <w:left w:val="nil"/>
              <w:bottom w:val="nil"/>
              <w:right w:val="single" w:sz="8" w:space="0" w:color="auto"/>
            </w:tcBorders>
            <w:shd w:val="clear" w:color="000000" w:fill="FFFFFF"/>
            <w:noWrap/>
            <w:vAlign w:val="center"/>
            <w:hideMark/>
          </w:tcPr>
          <w:p w14:paraId="0C358EF1"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7DB96F1E"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18</w:t>
            </w:r>
          </w:p>
        </w:tc>
        <w:tc>
          <w:tcPr>
            <w:tcW w:w="1920" w:type="dxa"/>
            <w:tcBorders>
              <w:top w:val="nil"/>
              <w:left w:val="nil"/>
              <w:bottom w:val="nil"/>
              <w:right w:val="single" w:sz="8" w:space="0" w:color="auto"/>
            </w:tcBorders>
            <w:shd w:val="clear" w:color="000000" w:fill="FFFFFF"/>
            <w:noWrap/>
            <w:vAlign w:val="center"/>
            <w:hideMark/>
          </w:tcPr>
          <w:p w14:paraId="4DE8BB3F"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280.990</w:t>
            </w:r>
          </w:p>
        </w:tc>
      </w:tr>
      <w:tr w:rsidR="007C35A2" w:rsidRPr="0033517C" w14:paraId="639D990A"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46464C60"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2006</w:t>
            </w:r>
          </w:p>
        </w:tc>
        <w:tc>
          <w:tcPr>
            <w:tcW w:w="1800" w:type="dxa"/>
            <w:tcBorders>
              <w:top w:val="nil"/>
              <w:left w:val="nil"/>
              <w:bottom w:val="nil"/>
              <w:right w:val="single" w:sz="8" w:space="0" w:color="auto"/>
            </w:tcBorders>
            <w:shd w:val="clear" w:color="000000" w:fill="FFFFFF"/>
            <w:noWrap/>
            <w:vAlign w:val="center"/>
            <w:hideMark/>
          </w:tcPr>
          <w:p w14:paraId="11ECEC33"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155.524</w:t>
            </w:r>
          </w:p>
        </w:tc>
        <w:tc>
          <w:tcPr>
            <w:tcW w:w="2200" w:type="dxa"/>
            <w:tcBorders>
              <w:top w:val="nil"/>
              <w:left w:val="nil"/>
              <w:bottom w:val="nil"/>
              <w:right w:val="single" w:sz="8" w:space="0" w:color="auto"/>
            </w:tcBorders>
            <w:shd w:val="clear" w:color="000000" w:fill="FFFFFF"/>
            <w:noWrap/>
            <w:vAlign w:val="center"/>
            <w:hideMark/>
          </w:tcPr>
          <w:p w14:paraId="492E1487"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07D65B22"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4572E3E5"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155.524</w:t>
            </w:r>
          </w:p>
        </w:tc>
      </w:tr>
      <w:tr w:rsidR="007C35A2" w:rsidRPr="0033517C" w14:paraId="564C487E" w14:textId="77777777" w:rsidTr="00986B2F">
        <w:trPr>
          <w:trHeight w:val="315"/>
        </w:trPr>
        <w:tc>
          <w:tcPr>
            <w:tcW w:w="784" w:type="dxa"/>
            <w:tcBorders>
              <w:top w:val="nil"/>
              <w:left w:val="single" w:sz="8" w:space="0" w:color="auto"/>
              <w:bottom w:val="nil"/>
              <w:right w:val="single" w:sz="8" w:space="0" w:color="auto"/>
            </w:tcBorders>
            <w:shd w:val="clear" w:color="auto" w:fill="auto"/>
            <w:noWrap/>
            <w:vAlign w:val="center"/>
            <w:hideMark/>
          </w:tcPr>
          <w:p w14:paraId="3004EE19"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2007</w:t>
            </w:r>
          </w:p>
        </w:tc>
        <w:tc>
          <w:tcPr>
            <w:tcW w:w="1800" w:type="dxa"/>
            <w:tcBorders>
              <w:top w:val="nil"/>
              <w:left w:val="nil"/>
              <w:bottom w:val="nil"/>
              <w:right w:val="single" w:sz="8" w:space="0" w:color="auto"/>
            </w:tcBorders>
            <w:shd w:val="clear" w:color="000000" w:fill="FFFFFF"/>
            <w:noWrap/>
            <w:vAlign w:val="center"/>
            <w:hideMark/>
          </w:tcPr>
          <w:p w14:paraId="482F0A46"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140.462</w:t>
            </w:r>
          </w:p>
        </w:tc>
        <w:tc>
          <w:tcPr>
            <w:tcW w:w="2200" w:type="dxa"/>
            <w:tcBorders>
              <w:top w:val="nil"/>
              <w:left w:val="nil"/>
              <w:bottom w:val="nil"/>
              <w:right w:val="single" w:sz="8" w:space="0" w:color="auto"/>
            </w:tcBorders>
            <w:shd w:val="clear" w:color="000000" w:fill="FFFFFF"/>
            <w:noWrap/>
            <w:vAlign w:val="center"/>
            <w:hideMark/>
          </w:tcPr>
          <w:p w14:paraId="4FAA0D6C"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49D1DAF3"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12C979A4"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140.462</w:t>
            </w:r>
          </w:p>
        </w:tc>
      </w:tr>
      <w:tr w:rsidR="007C35A2" w:rsidRPr="0033517C" w14:paraId="1157B30A" w14:textId="77777777" w:rsidTr="00986B2F">
        <w:trPr>
          <w:trHeight w:val="315"/>
        </w:trPr>
        <w:tc>
          <w:tcPr>
            <w:tcW w:w="784" w:type="dxa"/>
            <w:tcBorders>
              <w:top w:val="nil"/>
              <w:left w:val="single" w:sz="8" w:space="0" w:color="auto"/>
              <w:bottom w:val="nil"/>
              <w:right w:val="single" w:sz="8" w:space="0" w:color="auto"/>
            </w:tcBorders>
            <w:shd w:val="clear" w:color="auto" w:fill="auto"/>
            <w:noWrap/>
            <w:vAlign w:val="center"/>
            <w:hideMark/>
          </w:tcPr>
          <w:p w14:paraId="4785E14A"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2008</w:t>
            </w:r>
          </w:p>
        </w:tc>
        <w:tc>
          <w:tcPr>
            <w:tcW w:w="1800" w:type="dxa"/>
            <w:tcBorders>
              <w:top w:val="nil"/>
              <w:left w:val="nil"/>
              <w:bottom w:val="nil"/>
              <w:right w:val="single" w:sz="8" w:space="0" w:color="auto"/>
            </w:tcBorders>
            <w:shd w:val="clear" w:color="000000" w:fill="FFFFFF"/>
            <w:noWrap/>
            <w:vAlign w:val="center"/>
            <w:hideMark/>
          </w:tcPr>
          <w:p w14:paraId="7620B3B7"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237.629</w:t>
            </w:r>
          </w:p>
        </w:tc>
        <w:tc>
          <w:tcPr>
            <w:tcW w:w="2200" w:type="dxa"/>
            <w:tcBorders>
              <w:top w:val="nil"/>
              <w:left w:val="nil"/>
              <w:bottom w:val="nil"/>
              <w:right w:val="single" w:sz="8" w:space="0" w:color="auto"/>
            </w:tcBorders>
            <w:shd w:val="clear" w:color="000000" w:fill="FFFFFF"/>
            <w:noWrap/>
            <w:vAlign w:val="center"/>
            <w:hideMark/>
          </w:tcPr>
          <w:p w14:paraId="5F9B5988"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65C69F87"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0FE2F82E"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237.629</w:t>
            </w:r>
          </w:p>
        </w:tc>
      </w:tr>
      <w:tr w:rsidR="007C35A2" w:rsidRPr="0033517C" w14:paraId="1C217CE6" w14:textId="77777777" w:rsidTr="00986B2F">
        <w:trPr>
          <w:trHeight w:val="315"/>
        </w:trPr>
        <w:tc>
          <w:tcPr>
            <w:tcW w:w="784" w:type="dxa"/>
            <w:tcBorders>
              <w:top w:val="nil"/>
              <w:left w:val="single" w:sz="8" w:space="0" w:color="auto"/>
              <w:bottom w:val="nil"/>
              <w:right w:val="single" w:sz="8" w:space="0" w:color="auto"/>
            </w:tcBorders>
            <w:shd w:val="clear" w:color="auto" w:fill="auto"/>
            <w:noWrap/>
            <w:vAlign w:val="center"/>
            <w:hideMark/>
          </w:tcPr>
          <w:p w14:paraId="6C7C2E31"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2009</w:t>
            </w:r>
          </w:p>
        </w:tc>
        <w:tc>
          <w:tcPr>
            <w:tcW w:w="1800" w:type="dxa"/>
            <w:tcBorders>
              <w:top w:val="nil"/>
              <w:left w:val="nil"/>
              <w:bottom w:val="nil"/>
              <w:right w:val="single" w:sz="8" w:space="0" w:color="auto"/>
            </w:tcBorders>
            <w:shd w:val="clear" w:color="000000" w:fill="FFFFFF"/>
            <w:noWrap/>
            <w:vAlign w:val="center"/>
            <w:hideMark/>
          </w:tcPr>
          <w:p w14:paraId="73050A67"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153.109</w:t>
            </w:r>
          </w:p>
        </w:tc>
        <w:tc>
          <w:tcPr>
            <w:tcW w:w="2200" w:type="dxa"/>
            <w:tcBorders>
              <w:top w:val="nil"/>
              <w:left w:val="nil"/>
              <w:bottom w:val="nil"/>
              <w:right w:val="single" w:sz="8" w:space="0" w:color="auto"/>
            </w:tcBorders>
            <w:shd w:val="clear" w:color="000000" w:fill="FFFFFF"/>
            <w:noWrap/>
            <w:vAlign w:val="center"/>
            <w:hideMark/>
          </w:tcPr>
          <w:p w14:paraId="236D1452"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2AB14DDB"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6F0489A5"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153.109</w:t>
            </w:r>
          </w:p>
        </w:tc>
      </w:tr>
      <w:tr w:rsidR="007C35A2" w:rsidRPr="0033517C" w14:paraId="08974123"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4BC14411"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2010</w:t>
            </w:r>
          </w:p>
        </w:tc>
        <w:tc>
          <w:tcPr>
            <w:tcW w:w="1800" w:type="dxa"/>
            <w:tcBorders>
              <w:top w:val="nil"/>
              <w:left w:val="nil"/>
              <w:bottom w:val="nil"/>
              <w:right w:val="single" w:sz="8" w:space="0" w:color="auto"/>
            </w:tcBorders>
            <w:shd w:val="clear" w:color="000000" w:fill="FFFFFF"/>
            <w:noWrap/>
            <w:vAlign w:val="center"/>
            <w:hideMark/>
          </w:tcPr>
          <w:p w14:paraId="505D2913"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135.388</w:t>
            </w:r>
          </w:p>
        </w:tc>
        <w:tc>
          <w:tcPr>
            <w:tcW w:w="2200" w:type="dxa"/>
            <w:tcBorders>
              <w:top w:val="nil"/>
              <w:left w:val="nil"/>
              <w:bottom w:val="nil"/>
              <w:right w:val="single" w:sz="8" w:space="0" w:color="auto"/>
            </w:tcBorders>
            <w:shd w:val="clear" w:color="000000" w:fill="FFFFFF"/>
            <w:noWrap/>
            <w:vAlign w:val="center"/>
            <w:hideMark/>
          </w:tcPr>
          <w:p w14:paraId="20FDA322"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3D68120A"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5C88D66F"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135.388</w:t>
            </w:r>
          </w:p>
        </w:tc>
      </w:tr>
      <w:tr w:rsidR="007C35A2" w:rsidRPr="0033517C" w14:paraId="49ED70ED"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2DAA82E7"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2011</w:t>
            </w:r>
          </w:p>
        </w:tc>
        <w:tc>
          <w:tcPr>
            <w:tcW w:w="1800" w:type="dxa"/>
            <w:tcBorders>
              <w:top w:val="nil"/>
              <w:left w:val="nil"/>
              <w:bottom w:val="nil"/>
              <w:right w:val="single" w:sz="8" w:space="0" w:color="auto"/>
            </w:tcBorders>
            <w:shd w:val="clear" w:color="000000" w:fill="FFFFFF"/>
            <w:noWrap/>
            <w:vAlign w:val="center"/>
            <w:hideMark/>
          </w:tcPr>
          <w:p w14:paraId="016CB1B0"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63.954</w:t>
            </w:r>
          </w:p>
        </w:tc>
        <w:tc>
          <w:tcPr>
            <w:tcW w:w="2200" w:type="dxa"/>
            <w:tcBorders>
              <w:top w:val="nil"/>
              <w:left w:val="nil"/>
              <w:bottom w:val="nil"/>
              <w:right w:val="single" w:sz="8" w:space="0" w:color="auto"/>
            </w:tcBorders>
            <w:shd w:val="clear" w:color="000000" w:fill="FFFFFF"/>
            <w:noWrap/>
            <w:vAlign w:val="center"/>
            <w:hideMark/>
          </w:tcPr>
          <w:p w14:paraId="41E95147"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2EDFEE4E"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5FC5FFA6"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63.954</w:t>
            </w:r>
          </w:p>
        </w:tc>
      </w:tr>
      <w:tr w:rsidR="007C35A2" w:rsidRPr="0033517C" w14:paraId="0D4E59A4"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351203F9"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2012</w:t>
            </w:r>
          </w:p>
        </w:tc>
        <w:tc>
          <w:tcPr>
            <w:tcW w:w="1800" w:type="dxa"/>
            <w:tcBorders>
              <w:top w:val="nil"/>
              <w:left w:val="nil"/>
              <w:bottom w:val="nil"/>
              <w:right w:val="single" w:sz="8" w:space="0" w:color="auto"/>
            </w:tcBorders>
            <w:shd w:val="clear" w:color="000000" w:fill="FFFFFF"/>
            <w:noWrap/>
            <w:vAlign w:val="center"/>
            <w:hideMark/>
          </w:tcPr>
          <w:p w14:paraId="0F2F3310"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26.636</w:t>
            </w:r>
          </w:p>
        </w:tc>
        <w:tc>
          <w:tcPr>
            <w:tcW w:w="2200" w:type="dxa"/>
            <w:tcBorders>
              <w:top w:val="nil"/>
              <w:left w:val="nil"/>
              <w:bottom w:val="nil"/>
              <w:right w:val="single" w:sz="8" w:space="0" w:color="auto"/>
            </w:tcBorders>
            <w:shd w:val="clear" w:color="000000" w:fill="FFFFFF"/>
            <w:noWrap/>
            <w:vAlign w:val="center"/>
            <w:hideMark/>
          </w:tcPr>
          <w:p w14:paraId="20C6AADB"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00955653"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7C1D5B8E"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26.636</w:t>
            </w:r>
          </w:p>
        </w:tc>
      </w:tr>
      <w:tr w:rsidR="007C35A2" w:rsidRPr="0033517C" w14:paraId="48EEAA57"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11D19BC2"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2013</w:t>
            </w:r>
          </w:p>
        </w:tc>
        <w:tc>
          <w:tcPr>
            <w:tcW w:w="1800" w:type="dxa"/>
            <w:tcBorders>
              <w:top w:val="nil"/>
              <w:left w:val="nil"/>
              <w:bottom w:val="nil"/>
              <w:right w:val="single" w:sz="8" w:space="0" w:color="auto"/>
            </w:tcBorders>
            <w:shd w:val="clear" w:color="000000" w:fill="FFFFFF"/>
            <w:noWrap/>
            <w:vAlign w:val="center"/>
            <w:hideMark/>
          </w:tcPr>
          <w:p w14:paraId="31511747"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10.405</w:t>
            </w:r>
          </w:p>
        </w:tc>
        <w:tc>
          <w:tcPr>
            <w:tcW w:w="2200" w:type="dxa"/>
            <w:tcBorders>
              <w:top w:val="nil"/>
              <w:left w:val="nil"/>
              <w:bottom w:val="nil"/>
              <w:right w:val="single" w:sz="8" w:space="0" w:color="auto"/>
            </w:tcBorders>
            <w:shd w:val="clear" w:color="000000" w:fill="FFFFFF"/>
            <w:noWrap/>
            <w:vAlign w:val="center"/>
            <w:hideMark/>
          </w:tcPr>
          <w:p w14:paraId="0EF6C24F"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2B88F710"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407AFAA7"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10.405</w:t>
            </w:r>
          </w:p>
        </w:tc>
      </w:tr>
      <w:tr w:rsidR="007C35A2" w:rsidRPr="0033517C" w14:paraId="29E0461B"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0709A500"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2014</w:t>
            </w:r>
          </w:p>
        </w:tc>
        <w:tc>
          <w:tcPr>
            <w:tcW w:w="1800" w:type="dxa"/>
            <w:tcBorders>
              <w:top w:val="nil"/>
              <w:left w:val="nil"/>
              <w:bottom w:val="nil"/>
              <w:right w:val="single" w:sz="8" w:space="0" w:color="auto"/>
            </w:tcBorders>
            <w:shd w:val="clear" w:color="000000" w:fill="FFFFFF"/>
            <w:noWrap/>
            <w:vAlign w:val="center"/>
            <w:hideMark/>
          </w:tcPr>
          <w:p w14:paraId="180B98DD"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4.217</w:t>
            </w:r>
          </w:p>
        </w:tc>
        <w:tc>
          <w:tcPr>
            <w:tcW w:w="2200" w:type="dxa"/>
            <w:tcBorders>
              <w:top w:val="nil"/>
              <w:left w:val="nil"/>
              <w:bottom w:val="nil"/>
              <w:right w:val="single" w:sz="8" w:space="0" w:color="auto"/>
            </w:tcBorders>
            <w:shd w:val="clear" w:color="000000" w:fill="FFFFFF"/>
            <w:noWrap/>
            <w:vAlign w:val="center"/>
            <w:hideMark/>
          </w:tcPr>
          <w:p w14:paraId="0FF4220A"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23CAA59D"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3040328E"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4.217</w:t>
            </w:r>
          </w:p>
        </w:tc>
      </w:tr>
      <w:tr w:rsidR="007C35A2" w:rsidRPr="0033517C" w14:paraId="68E2AAEC"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1BEE4F74"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2015</w:t>
            </w:r>
          </w:p>
        </w:tc>
        <w:tc>
          <w:tcPr>
            <w:tcW w:w="1800" w:type="dxa"/>
            <w:tcBorders>
              <w:top w:val="nil"/>
              <w:left w:val="nil"/>
              <w:bottom w:val="nil"/>
              <w:right w:val="single" w:sz="8" w:space="0" w:color="auto"/>
            </w:tcBorders>
            <w:shd w:val="clear" w:color="000000" w:fill="FFFFFF"/>
            <w:noWrap/>
            <w:vAlign w:val="center"/>
            <w:hideMark/>
          </w:tcPr>
          <w:p w14:paraId="206AE039"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55.013</w:t>
            </w:r>
          </w:p>
        </w:tc>
        <w:tc>
          <w:tcPr>
            <w:tcW w:w="2200" w:type="dxa"/>
            <w:tcBorders>
              <w:top w:val="nil"/>
              <w:left w:val="nil"/>
              <w:bottom w:val="nil"/>
              <w:right w:val="single" w:sz="8" w:space="0" w:color="auto"/>
            </w:tcBorders>
            <w:shd w:val="clear" w:color="000000" w:fill="FFFFFF"/>
            <w:noWrap/>
            <w:vAlign w:val="center"/>
            <w:hideMark/>
          </w:tcPr>
          <w:p w14:paraId="3F289E55"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144F027E"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361F468F"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55.013</w:t>
            </w:r>
          </w:p>
        </w:tc>
      </w:tr>
      <w:tr w:rsidR="007C35A2" w:rsidRPr="0033517C" w14:paraId="50E1D251"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5AC40ACE"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2016</w:t>
            </w:r>
          </w:p>
        </w:tc>
        <w:tc>
          <w:tcPr>
            <w:tcW w:w="1800" w:type="dxa"/>
            <w:tcBorders>
              <w:top w:val="nil"/>
              <w:left w:val="nil"/>
              <w:bottom w:val="nil"/>
              <w:right w:val="single" w:sz="8" w:space="0" w:color="auto"/>
            </w:tcBorders>
            <w:shd w:val="clear" w:color="000000" w:fill="FFFFFF"/>
            <w:noWrap/>
            <w:vAlign w:val="center"/>
            <w:hideMark/>
          </w:tcPr>
          <w:p w14:paraId="2DDF7055"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6.439</w:t>
            </w:r>
          </w:p>
        </w:tc>
        <w:tc>
          <w:tcPr>
            <w:tcW w:w="2200" w:type="dxa"/>
            <w:tcBorders>
              <w:top w:val="nil"/>
              <w:left w:val="nil"/>
              <w:bottom w:val="nil"/>
              <w:right w:val="single" w:sz="8" w:space="0" w:color="auto"/>
            </w:tcBorders>
            <w:shd w:val="clear" w:color="000000" w:fill="FFFFFF"/>
            <w:noWrap/>
            <w:vAlign w:val="center"/>
            <w:hideMark/>
          </w:tcPr>
          <w:p w14:paraId="6FE52B24"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45B5021C"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4C1EB3BA"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6.439</w:t>
            </w:r>
          </w:p>
        </w:tc>
      </w:tr>
      <w:tr w:rsidR="007C35A2" w:rsidRPr="0033517C" w14:paraId="479183D9" w14:textId="77777777" w:rsidTr="00986B2F">
        <w:trPr>
          <w:trHeight w:val="300"/>
        </w:trPr>
        <w:tc>
          <w:tcPr>
            <w:tcW w:w="784" w:type="dxa"/>
            <w:tcBorders>
              <w:top w:val="nil"/>
              <w:left w:val="single" w:sz="8" w:space="0" w:color="auto"/>
              <w:bottom w:val="nil"/>
              <w:right w:val="single" w:sz="8" w:space="0" w:color="auto"/>
            </w:tcBorders>
            <w:shd w:val="clear" w:color="auto" w:fill="auto"/>
            <w:noWrap/>
            <w:vAlign w:val="center"/>
            <w:hideMark/>
          </w:tcPr>
          <w:p w14:paraId="024E4EE9"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2017</w:t>
            </w:r>
          </w:p>
        </w:tc>
        <w:tc>
          <w:tcPr>
            <w:tcW w:w="1800" w:type="dxa"/>
            <w:tcBorders>
              <w:top w:val="nil"/>
              <w:left w:val="nil"/>
              <w:bottom w:val="nil"/>
              <w:right w:val="single" w:sz="8" w:space="0" w:color="auto"/>
            </w:tcBorders>
            <w:shd w:val="clear" w:color="000000" w:fill="FFFFFF"/>
            <w:noWrap/>
            <w:vAlign w:val="center"/>
            <w:hideMark/>
          </w:tcPr>
          <w:p w14:paraId="11360030"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19.782</w:t>
            </w:r>
          </w:p>
        </w:tc>
        <w:tc>
          <w:tcPr>
            <w:tcW w:w="2200" w:type="dxa"/>
            <w:tcBorders>
              <w:top w:val="nil"/>
              <w:left w:val="nil"/>
              <w:bottom w:val="nil"/>
              <w:right w:val="single" w:sz="8" w:space="0" w:color="auto"/>
            </w:tcBorders>
            <w:shd w:val="clear" w:color="000000" w:fill="FFFFFF"/>
            <w:noWrap/>
            <w:vAlign w:val="center"/>
            <w:hideMark/>
          </w:tcPr>
          <w:p w14:paraId="5FB1E61D"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nil"/>
              <w:right w:val="single" w:sz="8" w:space="0" w:color="auto"/>
            </w:tcBorders>
            <w:shd w:val="clear" w:color="auto" w:fill="auto"/>
            <w:noWrap/>
            <w:vAlign w:val="center"/>
            <w:hideMark/>
          </w:tcPr>
          <w:p w14:paraId="46D5CB9D"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12F12127"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19.782</w:t>
            </w:r>
          </w:p>
        </w:tc>
      </w:tr>
      <w:tr w:rsidR="007C35A2" w:rsidRPr="0033517C" w14:paraId="1C9B4659" w14:textId="77777777" w:rsidTr="00986B2F">
        <w:trPr>
          <w:trHeight w:val="315"/>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347BFBE4"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2018</w:t>
            </w:r>
          </w:p>
        </w:tc>
        <w:tc>
          <w:tcPr>
            <w:tcW w:w="1800" w:type="dxa"/>
            <w:tcBorders>
              <w:top w:val="nil"/>
              <w:left w:val="nil"/>
              <w:bottom w:val="single" w:sz="8" w:space="0" w:color="auto"/>
              <w:right w:val="single" w:sz="8" w:space="0" w:color="auto"/>
            </w:tcBorders>
            <w:shd w:val="clear" w:color="000000" w:fill="FFFFFF"/>
            <w:noWrap/>
            <w:vAlign w:val="center"/>
            <w:hideMark/>
          </w:tcPr>
          <w:p w14:paraId="137B2E6D"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51.204</w:t>
            </w:r>
          </w:p>
        </w:tc>
        <w:tc>
          <w:tcPr>
            <w:tcW w:w="2200" w:type="dxa"/>
            <w:tcBorders>
              <w:top w:val="nil"/>
              <w:left w:val="nil"/>
              <w:bottom w:val="single" w:sz="8" w:space="0" w:color="auto"/>
              <w:right w:val="single" w:sz="8" w:space="0" w:color="auto"/>
            </w:tcBorders>
            <w:shd w:val="clear" w:color="000000" w:fill="FFFFFF"/>
            <w:noWrap/>
            <w:vAlign w:val="center"/>
            <w:hideMark/>
          </w:tcPr>
          <w:p w14:paraId="77B0C1D8"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740" w:type="dxa"/>
            <w:tcBorders>
              <w:top w:val="nil"/>
              <w:left w:val="nil"/>
              <w:bottom w:val="single" w:sz="8" w:space="0" w:color="auto"/>
              <w:right w:val="single" w:sz="8" w:space="0" w:color="auto"/>
            </w:tcBorders>
            <w:shd w:val="clear" w:color="auto" w:fill="auto"/>
            <w:noWrap/>
            <w:vAlign w:val="center"/>
            <w:hideMark/>
          </w:tcPr>
          <w:p w14:paraId="530968CA" w14:textId="77777777" w:rsidR="007C35A2" w:rsidRPr="007C35A2" w:rsidRDefault="007C35A2" w:rsidP="007C35A2">
            <w:pPr>
              <w:keepLines w:val="0"/>
              <w:widowControl/>
              <w:jc w:val="center"/>
              <w:rPr>
                <w:rFonts w:ascii="Cambria" w:hAnsi="Cambria"/>
                <w:color w:val="000000"/>
                <w:sz w:val="20"/>
                <w:lang w:val="es-ES"/>
              </w:rPr>
            </w:pPr>
            <w:r w:rsidRPr="007C35A2">
              <w:rPr>
                <w:rFonts w:ascii="Cambria" w:hAnsi="Cambria"/>
                <w:color w:val="000000"/>
                <w:sz w:val="20"/>
                <w:lang w:val="es-ES"/>
              </w:rPr>
              <w:t>-</w:t>
            </w:r>
          </w:p>
        </w:tc>
        <w:tc>
          <w:tcPr>
            <w:tcW w:w="1920" w:type="dxa"/>
            <w:tcBorders>
              <w:top w:val="nil"/>
              <w:left w:val="nil"/>
              <w:bottom w:val="nil"/>
              <w:right w:val="single" w:sz="8" w:space="0" w:color="auto"/>
            </w:tcBorders>
            <w:shd w:val="clear" w:color="000000" w:fill="FFFFFF"/>
            <w:noWrap/>
            <w:vAlign w:val="center"/>
            <w:hideMark/>
          </w:tcPr>
          <w:p w14:paraId="2B05E7D3" w14:textId="77777777" w:rsidR="007C35A2" w:rsidRPr="007C35A2" w:rsidRDefault="007C35A2" w:rsidP="007C35A2">
            <w:pPr>
              <w:keepLines w:val="0"/>
              <w:widowControl/>
              <w:jc w:val="right"/>
              <w:rPr>
                <w:rFonts w:ascii="Cambria" w:hAnsi="Cambria"/>
                <w:color w:val="000000"/>
                <w:sz w:val="20"/>
                <w:lang w:val="es-ES"/>
              </w:rPr>
            </w:pPr>
            <w:r w:rsidRPr="007C35A2">
              <w:rPr>
                <w:rFonts w:ascii="Cambria" w:hAnsi="Cambria"/>
                <w:color w:val="000000"/>
                <w:sz w:val="20"/>
                <w:lang w:val="es-ES"/>
              </w:rPr>
              <w:t>51.204</w:t>
            </w:r>
          </w:p>
        </w:tc>
      </w:tr>
      <w:tr w:rsidR="007C35A2" w:rsidRPr="0033517C" w14:paraId="49C4238B" w14:textId="77777777" w:rsidTr="00986B2F">
        <w:trPr>
          <w:trHeight w:val="315"/>
        </w:trPr>
        <w:tc>
          <w:tcPr>
            <w:tcW w:w="784" w:type="dxa"/>
            <w:tcBorders>
              <w:top w:val="nil"/>
              <w:left w:val="single" w:sz="8" w:space="0" w:color="auto"/>
              <w:bottom w:val="single" w:sz="8" w:space="0" w:color="auto"/>
              <w:right w:val="single" w:sz="8" w:space="0" w:color="auto"/>
            </w:tcBorders>
            <w:shd w:val="clear" w:color="000000" w:fill="FFFFFF"/>
            <w:noWrap/>
            <w:vAlign w:val="center"/>
            <w:hideMark/>
          </w:tcPr>
          <w:p w14:paraId="0BE67CC2" w14:textId="77777777" w:rsidR="007C35A2" w:rsidRPr="007C35A2" w:rsidRDefault="007C35A2" w:rsidP="007C35A2">
            <w:pPr>
              <w:keepLines w:val="0"/>
              <w:widowControl/>
              <w:jc w:val="center"/>
              <w:rPr>
                <w:rFonts w:ascii="Cambria" w:hAnsi="Cambria"/>
                <w:b/>
                <w:bCs/>
                <w:color w:val="000000"/>
                <w:sz w:val="20"/>
                <w:lang w:val="es-ES"/>
              </w:rPr>
            </w:pPr>
            <w:r w:rsidRPr="007C35A2">
              <w:rPr>
                <w:rFonts w:ascii="Cambria" w:hAnsi="Cambria"/>
                <w:b/>
                <w:bCs/>
                <w:color w:val="000000"/>
                <w:sz w:val="20"/>
                <w:lang w:val="es-ES"/>
              </w:rPr>
              <w:t>Total</w:t>
            </w:r>
          </w:p>
        </w:tc>
        <w:tc>
          <w:tcPr>
            <w:tcW w:w="1800" w:type="dxa"/>
            <w:tcBorders>
              <w:top w:val="nil"/>
              <w:left w:val="nil"/>
              <w:bottom w:val="single" w:sz="8" w:space="0" w:color="auto"/>
              <w:right w:val="single" w:sz="8" w:space="0" w:color="auto"/>
            </w:tcBorders>
            <w:shd w:val="clear" w:color="000000" w:fill="FFFFFF"/>
            <w:noWrap/>
            <w:vAlign w:val="center"/>
            <w:hideMark/>
          </w:tcPr>
          <w:p w14:paraId="244CC956" w14:textId="11C38FDF" w:rsidR="007C35A2" w:rsidRPr="007C35A2" w:rsidRDefault="007C35A2" w:rsidP="007C35A2">
            <w:pPr>
              <w:keepLines w:val="0"/>
              <w:widowControl/>
              <w:jc w:val="right"/>
              <w:rPr>
                <w:rFonts w:ascii="Cambria" w:hAnsi="Cambria"/>
                <w:b/>
                <w:bCs/>
                <w:color w:val="000000"/>
                <w:sz w:val="20"/>
                <w:lang w:val="es-ES"/>
              </w:rPr>
            </w:pPr>
            <w:r w:rsidRPr="007C35A2">
              <w:rPr>
                <w:rFonts w:ascii="Cambria" w:hAnsi="Cambria"/>
                <w:b/>
                <w:bCs/>
                <w:color w:val="000000"/>
                <w:sz w:val="20"/>
                <w:lang w:val="es-ES"/>
              </w:rPr>
              <w:t>5.661.</w:t>
            </w:r>
            <w:r>
              <w:rPr>
                <w:rFonts w:ascii="Cambria" w:hAnsi="Cambria"/>
                <w:b/>
                <w:bCs/>
                <w:color w:val="000000"/>
                <w:sz w:val="20"/>
                <w:lang w:val="es-ES"/>
              </w:rPr>
              <w:t>067</w:t>
            </w:r>
          </w:p>
        </w:tc>
        <w:tc>
          <w:tcPr>
            <w:tcW w:w="2200" w:type="dxa"/>
            <w:tcBorders>
              <w:top w:val="nil"/>
              <w:left w:val="nil"/>
              <w:bottom w:val="single" w:sz="8" w:space="0" w:color="auto"/>
              <w:right w:val="single" w:sz="8" w:space="0" w:color="auto"/>
            </w:tcBorders>
            <w:shd w:val="clear" w:color="000000" w:fill="FFFFFF"/>
            <w:noWrap/>
            <w:vAlign w:val="center"/>
            <w:hideMark/>
          </w:tcPr>
          <w:p w14:paraId="30D4BE30" w14:textId="16732067" w:rsidR="007C35A2" w:rsidRPr="007C35A2" w:rsidRDefault="007C35A2" w:rsidP="007C35A2">
            <w:pPr>
              <w:keepLines w:val="0"/>
              <w:widowControl/>
              <w:jc w:val="center"/>
              <w:rPr>
                <w:rFonts w:ascii="Cambria" w:hAnsi="Cambria"/>
                <w:b/>
                <w:bCs/>
                <w:color w:val="000000"/>
                <w:sz w:val="20"/>
                <w:lang w:val="es-ES"/>
              </w:rPr>
            </w:pPr>
            <w:r>
              <w:rPr>
                <w:rFonts w:ascii="Cambria" w:hAnsi="Cambria"/>
                <w:b/>
                <w:bCs/>
                <w:color w:val="000000"/>
                <w:sz w:val="20"/>
                <w:lang w:val="es-ES"/>
              </w:rPr>
              <w:t>-</w:t>
            </w:r>
          </w:p>
        </w:tc>
        <w:tc>
          <w:tcPr>
            <w:tcW w:w="1740" w:type="dxa"/>
            <w:tcBorders>
              <w:top w:val="nil"/>
              <w:left w:val="nil"/>
              <w:bottom w:val="single" w:sz="8" w:space="0" w:color="auto"/>
              <w:right w:val="single" w:sz="8" w:space="0" w:color="auto"/>
            </w:tcBorders>
            <w:shd w:val="clear" w:color="auto" w:fill="auto"/>
            <w:noWrap/>
            <w:vAlign w:val="center"/>
            <w:hideMark/>
          </w:tcPr>
          <w:p w14:paraId="6C90F806" w14:textId="77777777" w:rsidR="007C35A2" w:rsidRPr="007C35A2" w:rsidRDefault="007C35A2" w:rsidP="007C35A2">
            <w:pPr>
              <w:keepLines w:val="0"/>
              <w:widowControl/>
              <w:jc w:val="right"/>
              <w:rPr>
                <w:rFonts w:ascii="Cambria" w:hAnsi="Cambria"/>
                <w:b/>
                <w:bCs/>
                <w:color w:val="000000"/>
                <w:sz w:val="20"/>
                <w:lang w:val="es-ES"/>
              </w:rPr>
            </w:pPr>
            <w:r w:rsidRPr="007C35A2">
              <w:rPr>
                <w:rFonts w:ascii="Cambria" w:hAnsi="Cambria"/>
                <w:b/>
                <w:bCs/>
                <w:color w:val="000000"/>
                <w:sz w:val="20"/>
                <w:lang w:val="es-ES"/>
              </w:rPr>
              <w:t>1.327</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1087EE0D" w14:textId="772EF65D" w:rsidR="007C35A2" w:rsidRPr="007C35A2" w:rsidRDefault="007C35A2" w:rsidP="007C35A2">
            <w:pPr>
              <w:keepLines w:val="0"/>
              <w:widowControl/>
              <w:jc w:val="right"/>
              <w:rPr>
                <w:rFonts w:ascii="Cambria" w:hAnsi="Cambria"/>
                <w:b/>
                <w:bCs/>
                <w:color w:val="000000"/>
                <w:sz w:val="20"/>
                <w:lang w:val="es-ES"/>
              </w:rPr>
            </w:pPr>
            <w:r w:rsidRPr="007C35A2">
              <w:rPr>
                <w:rFonts w:ascii="Cambria" w:hAnsi="Cambria"/>
                <w:b/>
                <w:bCs/>
                <w:color w:val="000000"/>
                <w:sz w:val="20"/>
                <w:lang w:val="es-ES"/>
              </w:rPr>
              <w:t>5.659.740</w:t>
            </w:r>
          </w:p>
        </w:tc>
      </w:tr>
    </w:tbl>
    <w:p w14:paraId="4438381C" w14:textId="77777777" w:rsidR="00AD34E9" w:rsidRDefault="00AD34E9" w:rsidP="00AD34E9">
      <w:pPr>
        <w:ind w:left="426"/>
        <w:rPr>
          <w:rFonts w:ascii="Cambria" w:hAnsi="Cambria"/>
          <w:sz w:val="18"/>
          <w:szCs w:val="18"/>
        </w:rPr>
      </w:pPr>
      <w:r w:rsidRPr="00AD34E9">
        <w:rPr>
          <w:rFonts w:ascii="Cambria" w:hAnsi="Cambria"/>
          <w:sz w:val="18"/>
          <w:szCs w:val="18"/>
        </w:rPr>
        <w:t xml:space="preserve">(*) Rectificación de las bases imponibles negativas por la corrección de la no deducibilidad de los recargos </w:t>
      </w:r>
    </w:p>
    <w:p w14:paraId="2A2E8F8E" w14:textId="3BCD72B3" w:rsidR="00AD34E9" w:rsidRPr="00AD34E9" w:rsidRDefault="00AD34E9" w:rsidP="00AD34E9">
      <w:pPr>
        <w:ind w:left="426"/>
        <w:rPr>
          <w:rFonts w:ascii="Cambria" w:hAnsi="Cambria"/>
          <w:sz w:val="18"/>
          <w:szCs w:val="18"/>
        </w:rPr>
      </w:pPr>
      <w:r w:rsidRPr="00AD34E9">
        <w:rPr>
          <w:rFonts w:ascii="Cambria" w:hAnsi="Cambria"/>
          <w:sz w:val="18"/>
          <w:szCs w:val="18"/>
        </w:rPr>
        <w:t>de prestaciones entre los años 2011-2018.</w:t>
      </w:r>
    </w:p>
    <w:p w14:paraId="048A5CB6" w14:textId="77777777" w:rsidR="00721E26" w:rsidRPr="00D44BB5" w:rsidRDefault="00721E26" w:rsidP="001B2B25">
      <w:pPr>
        <w:pStyle w:val="Listaconnmeros"/>
        <w:ind w:left="426" w:firstLine="0"/>
        <w:rPr>
          <w:rFonts w:ascii="Cambria" w:hAnsi="Cambria"/>
          <w:sz w:val="24"/>
          <w:szCs w:val="24"/>
          <w:highlight w:val="yellow"/>
          <w:lang w:val="es-ES"/>
        </w:rPr>
      </w:pPr>
    </w:p>
    <w:bookmarkEnd w:id="18"/>
    <w:p w14:paraId="44D68B3E" w14:textId="77777777" w:rsidR="004701A0" w:rsidRPr="00D231F2" w:rsidRDefault="004701A0">
      <w:pPr>
        <w:keepLines w:val="0"/>
        <w:widowControl/>
        <w:jc w:val="left"/>
        <w:rPr>
          <w:rFonts w:ascii="Cambria" w:hAnsi="Cambria"/>
          <w:sz w:val="24"/>
          <w:szCs w:val="24"/>
        </w:rPr>
      </w:pPr>
      <w:r w:rsidRPr="00D231F2">
        <w:rPr>
          <w:rFonts w:ascii="Cambria" w:hAnsi="Cambria"/>
          <w:sz w:val="24"/>
          <w:szCs w:val="24"/>
        </w:rPr>
        <w:br w:type="page"/>
      </w:r>
    </w:p>
    <w:p w14:paraId="75A8914D" w14:textId="77777777" w:rsidR="001B2B25" w:rsidRPr="00D44BB5" w:rsidRDefault="001B2B25" w:rsidP="001B2B25">
      <w:pPr>
        <w:pStyle w:val="Listaconnmeros"/>
        <w:ind w:left="426" w:firstLine="0"/>
        <w:rPr>
          <w:rFonts w:ascii="Cambria" w:hAnsi="Cambria"/>
          <w:sz w:val="24"/>
          <w:szCs w:val="24"/>
          <w:highlight w:val="yellow"/>
        </w:rPr>
      </w:pPr>
    </w:p>
    <w:p w14:paraId="5EDB379F" w14:textId="77777777" w:rsidR="001B2B25" w:rsidRPr="00840610" w:rsidRDefault="001B2B25" w:rsidP="001B2B25">
      <w:pPr>
        <w:pStyle w:val="Ttulo2"/>
        <w:keepNext/>
        <w:ind w:left="426"/>
        <w:rPr>
          <w:rFonts w:ascii="Cambria" w:hAnsi="Cambria"/>
          <w:sz w:val="24"/>
          <w:szCs w:val="24"/>
        </w:rPr>
      </w:pPr>
      <w:r w:rsidRPr="00840610">
        <w:rPr>
          <w:rFonts w:ascii="Cambria" w:hAnsi="Cambria"/>
          <w:sz w:val="24"/>
          <w:szCs w:val="24"/>
        </w:rPr>
        <w:t>12.4 Ejercicios pendientes de comprobación y actuaciones inspectoras</w:t>
      </w:r>
    </w:p>
    <w:p w14:paraId="1AF1CA52" w14:textId="77777777" w:rsidR="001B2B25" w:rsidRPr="00840610" w:rsidRDefault="001B2B25" w:rsidP="001B2B25">
      <w:pPr>
        <w:ind w:left="426"/>
        <w:rPr>
          <w:rFonts w:ascii="Cambria" w:hAnsi="Cambria"/>
          <w:sz w:val="24"/>
          <w:szCs w:val="24"/>
        </w:rPr>
      </w:pPr>
    </w:p>
    <w:p w14:paraId="48EB736C" w14:textId="22657780" w:rsidR="00C43D60" w:rsidRPr="00F8465B" w:rsidRDefault="001B2B25" w:rsidP="001B2B25">
      <w:pPr>
        <w:ind w:left="426"/>
        <w:rPr>
          <w:rFonts w:ascii="Cambria" w:hAnsi="Cambria"/>
          <w:sz w:val="24"/>
          <w:szCs w:val="24"/>
        </w:rPr>
      </w:pPr>
      <w:r w:rsidRPr="00840610">
        <w:rPr>
          <w:rFonts w:ascii="Cambria" w:hAnsi="Cambria"/>
          <w:sz w:val="24"/>
          <w:szCs w:val="24"/>
        </w:rPr>
        <w:t>Según establece la legislación vigente, los impuestos no pueden considerarse definitivamente liquidados hasta que las declaraciones presentadas hayan sido inspeccionadas por las autoridades fiscales o haya transcurrido el plazo de prescripci</w:t>
      </w:r>
      <w:r w:rsidR="00B82EA9" w:rsidRPr="00840610">
        <w:rPr>
          <w:rFonts w:ascii="Cambria" w:hAnsi="Cambria"/>
          <w:sz w:val="24"/>
          <w:szCs w:val="24"/>
        </w:rPr>
        <w:t>ón. Al cierre del ejercicio 20</w:t>
      </w:r>
      <w:r w:rsidR="002B493A">
        <w:rPr>
          <w:rFonts w:ascii="Cambria" w:hAnsi="Cambria"/>
          <w:sz w:val="24"/>
          <w:szCs w:val="24"/>
        </w:rPr>
        <w:t>20</w:t>
      </w:r>
      <w:r w:rsidRPr="00840610">
        <w:rPr>
          <w:rFonts w:ascii="Cambria" w:hAnsi="Cambria"/>
          <w:sz w:val="24"/>
          <w:szCs w:val="24"/>
        </w:rPr>
        <w:t>, la Sociedad tiene abiertos a inspección los cuatro últimos ejercicios para todos los impuestos que le son aplicables, cinco en el caso del Impuesto sobre Sociedades. La Sociedad no espera que se devenguen pasivos adicionales de consideración para la Sociedad como consecuencia de la inspección de los ejercicios pendientes.</w:t>
      </w:r>
      <w:bookmarkEnd w:id="16"/>
    </w:p>
    <w:p w14:paraId="0BB7C297" w14:textId="77777777" w:rsidR="004701A0" w:rsidRPr="00F8465B" w:rsidRDefault="004701A0" w:rsidP="001B2B25">
      <w:pPr>
        <w:ind w:left="426"/>
        <w:rPr>
          <w:rFonts w:ascii="Cambria" w:hAnsi="Cambria"/>
          <w:sz w:val="24"/>
          <w:szCs w:val="24"/>
        </w:rPr>
      </w:pPr>
    </w:p>
    <w:p w14:paraId="23B0D1DB" w14:textId="77777777" w:rsidR="003774D3" w:rsidRPr="00F8465B" w:rsidRDefault="003774D3" w:rsidP="004701A0">
      <w:pPr>
        <w:pStyle w:val="Ttulo4"/>
        <w:widowControl/>
        <w:numPr>
          <w:ilvl w:val="0"/>
          <w:numId w:val="3"/>
        </w:numPr>
        <w:tabs>
          <w:tab w:val="clear" w:pos="360"/>
          <w:tab w:val="left" w:pos="-448"/>
          <w:tab w:val="num" w:pos="567"/>
        </w:tabs>
        <w:spacing w:before="0" w:after="0"/>
        <w:ind w:left="567" w:right="-1" w:hanging="567"/>
        <w:rPr>
          <w:rFonts w:ascii="Cambria" w:hAnsi="Cambria"/>
          <w:kern w:val="28"/>
          <w:sz w:val="24"/>
          <w:szCs w:val="24"/>
          <w:u w:val="single"/>
          <w:lang w:val="es-ES" w:eastAsia="en-US"/>
        </w:rPr>
      </w:pPr>
      <w:r w:rsidRPr="00F8465B">
        <w:rPr>
          <w:rFonts w:ascii="Cambria" w:hAnsi="Cambria"/>
          <w:kern w:val="28"/>
          <w:sz w:val="24"/>
          <w:szCs w:val="24"/>
          <w:u w:val="single"/>
          <w:lang w:val="es-ES" w:eastAsia="en-US"/>
        </w:rPr>
        <w:t>Ingresos y gastos</w:t>
      </w:r>
    </w:p>
    <w:p w14:paraId="516F7E79" w14:textId="77777777" w:rsidR="003774D3" w:rsidRPr="00F8465B" w:rsidRDefault="003774D3" w:rsidP="0024783F">
      <w:pPr>
        <w:pStyle w:val="Sangra3detindependiente"/>
        <w:rPr>
          <w:rFonts w:ascii="Cambria" w:hAnsi="Cambria"/>
          <w:sz w:val="24"/>
          <w:szCs w:val="24"/>
        </w:rPr>
      </w:pPr>
    </w:p>
    <w:p w14:paraId="3D53BF79" w14:textId="77777777" w:rsidR="002E0DB9" w:rsidRPr="00F8465B" w:rsidRDefault="00214BF0" w:rsidP="00C32165">
      <w:pPr>
        <w:pStyle w:val="Ttulo2"/>
        <w:keepNext/>
        <w:ind w:left="567"/>
        <w:rPr>
          <w:rFonts w:ascii="Cambria" w:hAnsi="Cambria"/>
          <w:sz w:val="24"/>
          <w:szCs w:val="24"/>
        </w:rPr>
      </w:pPr>
      <w:r w:rsidRPr="00F8465B">
        <w:rPr>
          <w:rFonts w:ascii="Cambria" w:hAnsi="Cambria"/>
          <w:sz w:val="24"/>
          <w:szCs w:val="24"/>
        </w:rPr>
        <w:t>1</w:t>
      </w:r>
      <w:r w:rsidR="002C5320" w:rsidRPr="00F8465B">
        <w:rPr>
          <w:rFonts w:ascii="Cambria" w:hAnsi="Cambria"/>
          <w:sz w:val="24"/>
          <w:szCs w:val="24"/>
        </w:rPr>
        <w:t>3</w:t>
      </w:r>
      <w:r w:rsidR="00361E2B" w:rsidRPr="00F8465B">
        <w:rPr>
          <w:rFonts w:ascii="Cambria" w:hAnsi="Cambria"/>
          <w:sz w:val="24"/>
          <w:szCs w:val="24"/>
        </w:rPr>
        <w:t xml:space="preserve">.1 </w:t>
      </w:r>
      <w:r w:rsidR="002E0DB9" w:rsidRPr="00F8465B">
        <w:rPr>
          <w:rFonts w:ascii="Cambria" w:hAnsi="Cambria"/>
          <w:sz w:val="24"/>
          <w:szCs w:val="24"/>
        </w:rPr>
        <w:t>Importe neto de la cifra de negocios</w:t>
      </w:r>
    </w:p>
    <w:p w14:paraId="50E564CA" w14:textId="77777777" w:rsidR="00361E2B" w:rsidRPr="00F8465B" w:rsidRDefault="00361E2B" w:rsidP="00C32165">
      <w:pPr>
        <w:pStyle w:val="Ttulo1a"/>
        <w:ind w:left="567"/>
        <w:rPr>
          <w:rFonts w:ascii="Cambria" w:hAnsi="Cambria"/>
          <w:sz w:val="24"/>
          <w:szCs w:val="24"/>
        </w:rPr>
      </w:pPr>
    </w:p>
    <w:p w14:paraId="0B587F70" w14:textId="4EDE02FA" w:rsidR="002E0DB9" w:rsidRPr="00F8465B" w:rsidRDefault="002E0DB9" w:rsidP="00C32165">
      <w:pPr>
        <w:pStyle w:val="Ttulo1a"/>
        <w:ind w:left="567"/>
        <w:rPr>
          <w:rFonts w:ascii="Cambria" w:hAnsi="Cambria"/>
          <w:sz w:val="24"/>
          <w:szCs w:val="24"/>
        </w:rPr>
      </w:pPr>
      <w:r w:rsidRPr="00F8465B">
        <w:rPr>
          <w:rFonts w:ascii="Cambria" w:hAnsi="Cambria"/>
          <w:sz w:val="24"/>
          <w:szCs w:val="24"/>
        </w:rPr>
        <w:t>La distribución del importe neto de la cifra de negocios correspondiente a</w:t>
      </w:r>
      <w:r w:rsidR="00361E2B" w:rsidRPr="00F8465B">
        <w:rPr>
          <w:rFonts w:ascii="Cambria" w:hAnsi="Cambria"/>
          <w:sz w:val="24"/>
          <w:szCs w:val="24"/>
        </w:rPr>
        <w:t xml:space="preserve"> </w:t>
      </w:r>
      <w:r w:rsidRPr="00F8465B">
        <w:rPr>
          <w:rFonts w:ascii="Cambria" w:hAnsi="Cambria"/>
          <w:sz w:val="24"/>
          <w:szCs w:val="24"/>
        </w:rPr>
        <w:t>l</w:t>
      </w:r>
      <w:r w:rsidR="00361E2B" w:rsidRPr="00F8465B">
        <w:rPr>
          <w:rFonts w:ascii="Cambria" w:hAnsi="Cambria"/>
          <w:sz w:val="24"/>
          <w:szCs w:val="24"/>
        </w:rPr>
        <w:t>os</w:t>
      </w:r>
      <w:r w:rsidRPr="00F8465B">
        <w:rPr>
          <w:rFonts w:ascii="Cambria" w:hAnsi="Cambria"/>
          <w:sz w:val="24"/>
          <w:szCs w:val="24"/>
        </w:rPr>
        <w:t xml:space="preserve"> ejercicio</w:t>
      </w:r>
      <w:r w:rsidR="00361E2B" w:rsidRPr="00F8465B">
        <w:rPr>
          <w:rFonts w:ascii="Cambria" w:hAnsi="Cambria"/>
          <w:sz w:val="24"/>
          <w:szCs w:val="24"/>
        </w:rPr>
        <w:t>s</w:t>
      </w:r>
      <w:r w:rsidRPr="00F8465B">
        <w:rPr>
          <w:rFonts w:ascii="Cambria" w:hAnsi="Cambria"/>
          <w:sz w:val="24"/>
          <w:szCs w:val="24"/>
        </w:rPr>
        <w:t xml:space="preserve"> </w:t>
      </w:r>
      <w:r w:rsidR="00BF3BA1" w:rsidRPr="00F8465B">
        <w:rPr>
          <w:rFonts w:ascii="Cambria" w:hAnsi="Cambria"/>
          <w:sz w:val="24"/>
          <w:szCs w:val="24"/>
        </w:rPr>
        <w:t>20</w:t>
      </w:r>
      <w:r w:rsidR="002B493A">
        <w:rPr>
          <w:rFonts w:ascii="Cambria" w:hAnsi="Cambria"/>
          <w:sz w:val="24"/>
          <w:szCs w:val="24"/>
        </w:rPr>
        <w:t>20</w:t>
      </w:r>
      <w:r w:rsidR="0015442E" w:rsidRPr="00F8465B">
        <w:rPr>
          <w:rFonts w:ascii="Cambria" w:hAnsi="Cambria"/>
          <w:sz w:val="24"/>
          <w:szCs w:val="24"/>
        </w:rPr>
        <w:t xml:space="preserve"> y </w:t>
      </w:r>
      <w:r w:rsidR="00361E2B" w:rsidRPr="00F8465B">
        <w:rPr>
          <w:rFonts w:ascii="Cambria" w:hAnsi="Cambria"/>
          <w:sz w:val="24"/>
          <w:szCs w:val="24"/>
        </w:rPr>
        <w:t>20</w:t>
      </w:r>
      <w:r w:rsidR="004A551E" w:rsidRPr="00F8465B">
        <w:rPr>
          <w:rFonts w:ascii="Cambria" w:hAnsi="Cambria"/>
          <w:sz w:val="24"/>
          <w:szCs w:val="24"/>
        </w:rPr>
        <w:t>1</w:t>
      </w:r>
      <w:r w:rsidR="002B493A">
        <w:rPr>
          <w:rFonts w:ascii="Cambria" w:hAnsi="Cambria"/>
          <w:sz w:val="24"/>
          <w:szCs w:val="24"/>
        </w:rPr>
        <w:t>9</w:t>
      </w:r>
      <w:r w:rsidR="00A61CD2" w:rsidRPr="00F8465B">
        <w:rPr>
          <w:rFonts w:ascii="Cambria" w:hAnsi="Cambria"/>
          <w:sz w:val="24"/>
          <w:szCs w:val="24"/>
        </w:rPr>
        <w:t>,</w:t>
      </w:r>
      <w:r w:rsidR="00361E2B" w:rsidRPr="00F8465B">
        <w:rPr>
          <w:rFonts w:ascii="Cambria" w:hAnsi="Cambria"/>
          <w:sz w:val="24"/>
          <w:szCs w:val="24"/>
        </w:rPr>
        <w:t xml:space="preserve"> </w:t>
      </w:r>
      <w:r w:rsidRPr="00F8465B">
        <w:rPr>
          <w:rFonts w:ascii="Cambria" w:hAnsi="Cambria"/>
          <w:sz w:val="24"/>
          <w:szCs w:val="24"/>
        </w:rPr>
        <w:t>es la siguiente</w:t>
      </w:r>
      <w:r w:rsidR="00361E2B" w:rsidRPr="00F8465B">
        <w:rPr>
          <w:rFonts w:ascii="Cambria" w:hAnsi="Cambria"/>
          <w:sz w:val="24"/>
          <w:szCs w:val="24"/>
        </w:rPr>
        <w:t xml:space="preserve"> (en </w:t>
      </w:r>
      <w:r w:rsidR="00A51E55" w:rsidRPr="00F8465B">
        <w:rPr>
          <w:rFonts w:ascii="Cambria" w:hAnsi="Cambria"/>
          <w:sz w:val="24"/>
          <w:szCs w:val="24"/>
        </w:rPr>
        <w:t xml:space="preserve">miles de </w:t>
      </w:r>
      <w:r w:rsidR="00361E2B" w:rsidRPr="00F8465B">
        <w:rPr>
          <w:rFonts w:ascii="Cambria" w:hAnsi="Cambria"/>
          <w:sz w:val="24"/>
          <w:szCs w:val="24"/>
        </w:rPr>
        <w:t>euros)</w:t>
      </w:r>
      <w:r w:rsidRPr="00F8465B">
        <w:rPr>
          <w:rFonts w:ascii="Cambria" w:hAnsi="Cambria"/>
          <w:sz w:val="24"/>
          <w:szCs w:val="24"/>
        </w:rPr>
        <w:t>:</w:t>
      </w:r>
    </w:p>
    <w:p w14:paraId="5D1DAE4C" w14:textId="0173F36A" w:rsidR="00FD29A9" w:rsidRPr="00F8465B" w:rsidRDefault="00FD29A9" w:rsidP="00C32165">
      <w:pPr>
        <w:pStyle w:val="Ttulo1a"/>
        <w:ind w:left="567"/>
        <w:rPr>
          <w:rFonts w:ascii="Cambria" w:hAnsi="Cambria"/>
          <w:sz w:val="24"/>
          <w:szCs w:val="24"/>
        </w:rPr>
      </w:pPr>
    </w:p>
    <w:p w14:paraId="56B485CE" w14:textId="77777777" w:rsidR="00B34974" w:rsidRPr="00F8465B" w:rsidRDefault="00B34974" w:rsidP="00C32165">
      <w:pPr>
        <w:pStyle w:val="Ttulo1a"/>
        <w:ind w:left="567"/>
        <w:rPr>
          <w:rFonts w:ascii="Cambria" w:hAnsi="Cambria"/>
          <w:sz w:val="24"/>
          <w:szCs w:val="24"/>
        </w:rPr>
      </w:pPr>
    </w:p>
    <w:tbl>
      <w:tblPr>
        <w:tblW w:w="8071" w:type="dxa"/>
        <w:jc w:val="center"/>
        <w:tblCellMar>
          <w:left w:w="70" w:type="dxa"/>
          <w:right w:w="70" w:type="dxa"/>
        </w:tblCellMar>
        <w:tblLook w:val="04A0" w:firstRow="1" w:lastRow="0" w:firstColumn="1" w:lastColumn="0" w:noHBand="0" w:noVBand="1"/>
      </w:tblPr>
      <w:tblGrid>
        <w:gridCol w:w="6217"/>
        <w:gridCol w:w="927"/>
        <w:gridCol w:w="927"/>
      </w:tblGrid>
      <w:tr w:rsidR="002B493A" w:rsidRPr="00F8465B" w14:paraId="4BE7F1FD" w14:textId="77777777" w:rsidTr="002B493A">
        <w:trPr>
          <w:cantSplit/>
          <w:trHeight w:val="255"/>
          <w:jc w:val="center"/>
        </w:trPr>
        <w:tc>
          <w:tcPr>
            <w:tcW w:w="6217" w:type="dxa"/>
            <w:tcBorders>
              <w:top w:val="nil"/>
              <w:left w:val="nil"/>
              <w:bottom w:val="single" w:sz="4" w:space="0" w:color="auto"/>
              <w:right w:val="single" w:sz="4" w:space="0" w:color="auto"/>
            </w:tcBorders>
            <w:shd w:val="clear" w:color="000000" w:fill="FFFFFF"/>
            <w:noWrap/>
            <w:vAlign w:val="bottom"/>
          </w:tcPr>
          <w:p w14:paraId="667E14C3" w14:textId="77777777" w:rsidR="002B493A" w:rsidRPr="00F8465B" w:rsidRDefault="002B493A" w:rsidP="002B493A">
            <w:pPr>
              <w:keepLines w:val="0"/>
              <w:widowControl/>
              <w:jc w:val="center"/>
              <w:rPr>
                <w:rFonts w:ascii="Cambria" w:hAnsi="Cambria"/>
                <w:sz w:val="20"/>
                <w:szCs w:val="22"/>
                <w:lang w:val="es-ES"/>
              </w:rPr>
            </w:pPr>
            <w:r w:rsidRPr="00F8465B">
              <w:rPr>
                <w:rFonts w:ascii="Cambria" w:hAnsi="Cambria"/>
                <w:sz w:val="20"/>
                <w:szCs w:val="22"/>
                <w:lang w:val="es-ES"/>
              </w:rPr>
              <w:t> </w:t>
            </w: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0DEF7062" w14:textId="5F5EFE2C" w:rsidR="002B493A" w:rsidRPr="00F8465B" w:rsidRDefault="002B493A" w:rsidP="002B493A">
            <w:pPr>
              <w:keepLines w:val="0"/>
              <w:widowControl/>
              <w:jc w:val="center"/>
              <w:rPr>
                <w:rFonts w:ascii="Cambria" w:hAnsi="Cambria"/>
                <w:b/>
                <w:bCs/>
                <w:snapToGrid w:val="0"/>
                <w:sz w:val="20"/>
                <w:szCs w:val="22"/>
                <w:lang w:val="es-ES"/>
              </w:rPr>
            </w:pPr>
            <w:r>
              <w:rPr>
                <w:rFonts w:ascii="Cambria" w:hAnsi="Cambria"/>
                <w:b/>
                <w:bCs/>
                <w:snapToGrid w:val="0"/>
                <w:sz w:val="20"/>
                <w:szCs w:val="22"/>
                <w:lang w:val="es-ES"/>
              </w:rPr>
              <w:t>2020</w:t>
            </w: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3EDEEA9E" w14:textId="1285150B" w:rsidR="002B493A" w:rsidRDefault="002B493A" w:rsidP="002B493A">
            <w:pPr>
              <w:keepLines w:val="0"/>
              <w:widowControl/>
              <w:jc w:val="center"/>
              <w:rPr>
                <w:rFonts w:ascii="Cambria" w:hAnsi="Cambria"/>
                <w:b/>
                <w:bCs/>
                <w:snapToGrid w:val="0"/>
                <w:sz w:val="20"/>
                <w:szCs w:val="22"/>
                <w:lang w:val="es-ES"/>
              </w:rPr>
            </w:pPr>
            <w:r>
              <w:rPr>
                <w:rFonts w:ascii="Cambria" w:hAnsi="Cambria"/>
                <w:b/>
                <w:bCs/>
                <w:snapToGrid w:val="0"/>
                <w:sz w:val="20"/>
                <w:szCs w:val="22"/>
                <w:lang w:val="es-ES"/>
              </w:rPr>
              <w:t>2019</w:t>
            </w:r>
          </w:p>
        </w:tc>
      </w:tr>
      <w:tr w:rsidR="002B493A" w:rsidRPr="00F8465B" w14:paraId="17D35438" w14:textId="77777777" w:rsidTr="002B493A">
        <w:trPr>
          <w:cantSplit/>
          <w:trHeight w:val="255"/>
          <w:jc w:val="center"/>
        </w:trPr>
        <w:tc>
          <w:tcPr>
            <w:tcW w:w="6217" w:type="dxa"/>
            <w:tcBorders>
              <w:top w:val="single" w:sz="4" w:space="0" w:color="auto"/>
              <w:left w:val="single" w:sz="4" w:space="0" w:color="auto"/>
              <w:bottom w:val="nil"/>
              <w:right w:val="single" w:sz="4" w:space="0" w:color="auto"/>
            </w:tcBorders>
            <w:shd w:val="clear" w:color="000000" w:fill="FFFFFF"/>
          </w:tcPr>
          <w:p w14:paraId="1C3B528D" w14:textId="77777777" w:rsidR="002B493A" w:rsidRPr="00F8465B" w:rsidRDefault="002B493A" w:rsidP="002B493A">
            <w:pPr>
              <w:keepLines w:val="0"/>
              <w:widowControl/>
              <w:jc w:val="left"/>
              <w:rPr>
                <w:rFonts w:ascii="Cambria" w:hAnsi="Cambria"/>
                <w:sz w:val="20"/>
                <w:szCs w:val="22"/>
                <w:lang w:val="es-ES"/>
              </w:rPr>
            </w:pPr>
            <w:r w:rsidRPr="00F8465B">
              <w:rPr>
                <w:rFonts w:ascii="Cambria" w:hAnsi="Cambria"/>
                <w:snapToGrid w:val="0"/>
                <w:sz w:val="20"/>
                <w:szCs w:val="22"/>
                <w:lang w:val="es-ES"/>
              </w:rPr>
              <w:t> </w:t>
            </w:r>
          </w:p>
        </w:tc>
        <w:tc>
          <w:tcPr>
            <w:tcW w:w="927" w:type="dxa"/>
            <w:tcBorders>
              <w:top w:val="single" w:sz="4" w:space="0" w:color="auto"/>
              <w:left w:val="single" w:sz="4" w:space="0" w:color="auto"/>
              <w:bottom w:val="nil"/>
              <w:right w:val="single" w:sz="4" w:space="0" w:color="auto"/>
            </w:tcBorders>
            <w:shd w:val="clear" w:color="000000" w:fill="FFFFFF"/>
          </w:tcPr>
          <w:p w14:paraId="2ADAA452" w14:textId="77777777" w:rsidR="002B493A" w:rsidRPr="00F8465B" w:rsidRDefault="002B493A" w:rsidP="002B493A">
            <w:pPr>
              <w:keepLines w:val="0"/>
              <w:widowControl/>
              <w:jc w:val="left"/>
              <w:rPr>
                <w:rFonts w:ascii="Cambria" w:hAnsi="Cambria"/>
                <w:snapToGrid w:val="0"/>
                <w:sz w:val="20"/>
                <w:szCs w:val="22"/>
                <w:lang w:val="es-ES"/>
              </w:rPr>
            </w:pPr>
          </w:p>
        </w:tc>
        <w:tc>
          <w:tcPr>
            <w:tcW w:w="927" w:type="dxa"/>
            <w:tcBorders>
              <w:top w:val="single" w:sz="4" w:space="0" w:color="auto"/>
              <w:left w:val="single" w:sz="4" w:space="0" w:color="auto"/>
              <w:bottom w:val="nil"/>
              <w:right w:val="single" w:sz="4" w:space="0" w:color="auto"/>
            </w:tcBorders>
            <w:shd w:val="clear" w:color="000000" w:fill="FFFFFF"/>
          </w:tcPr>
          <w:p w14:paraId="6A12B07C" w14:textId="77777777" w:rsidR="002B493A" w:rsidRPr="00F8465B" w:rsidRDefault="002B493A" w:rsidP="002B493A">
            <w:pPr>
              <w:keepLines w:val="0"/>
              <w:widowControl/>
              <w:jc w:val="left"/>
              <w:rPr>
                <w:rFonts w:ascii="Cambria" w:hAnsi="Cambria"/>
                <w:snapToGrid w:val="0"/>
                <w:sz w:val="20"/>
                <w:szCs w:val="22"/>
                <w:lang w:val="es-ES"/>
              </w:rPr>
            </w:pPr>
          </w:p>
        </w:tc>
      </w:tr>
      <w:tr w:rsidR="002B493A" w:rsidRPr="00F8465B" w14:paraId="22314363" w14:textId="77777777" w:rsidTr="002B493A">
        <w:trPr>
          <w:cantSplit/>
          <w:trHeight w:val="255"/>
          <w:jc w:val="center"/>
        </w:trPr>
        <w:tc>
          <w:tcPr>
            <w:tcW w:w="6217" w:type="dxa"/>
            <w:tcBorders>
              <w:top w:val="nil"/>
              <w:left w:val="single" w:sz="4" w:space="0" w:color="auto"/>
              <w:right w:val="single" w:sz="4" w:space="0" w:color="auto"/>
            </w:tcBorders>
            <w:shd w:val="clear" w:color="000000" w:fill="FFFFFF"/>
            <w:vAlign w:val="center"/>
          </w:tcPr>
          <w:p w14:paraId="2152AC4E" w14:textId="77777777" w:rsidR="002B493A" w:rsidRPr="00F8465B" w:rsidRDefault="002B493A" w:rsidP="002B493A">
            <w:pPr>
              <w:keepLines w:val="0"/>
              <w:widowControl/>
              <w:jc w:val="left"/>
              <w:rPr>
                <w:rFonts w:ascii="Cambria" w:hAnsi="Cambria"/>
                <w:sz w:val="20"/>
                <w:szCs w:val="22"/>
                <w:lang w:val="es-ES"/>
              </w:rPr>
            </w:pPr>
            <w:r w:rsidRPr="00F8465B">
              <w:rPr>
                <w:rFonts w:ascii="Cambria" w:hAnsi="Cambria"/>
                <w:snapToGrid w:val="0"/>
                <w:sz w:val="20"/>
                <w:szCs w:val="22"/>
                <w:lang w:val="es-ES"/>
              </w:rPr>
              <w:t>Servicios de Administración a Empresas del Grupo SEPI (Nota 10.2)</w:t>
            </w:r>
          </w:p>
        </w:tc>
        <w:tc>
          <w:tcPr>
            <w:tcW w:w="927" w:type="dxa"/>
            <w:tcBorders>
              <w:top w:val="nil"/>
              <w:left w:val="single" w:sz="4" w:space="0" w:color="auto"/>
              <w:right w:val="single" w:sz="4" w:space="0" w:color="auto"/>
            </w:tcBorders>
            <w:shd w:val="clear" w:color="000000" w:fill="FFFFFF"/>
          </w:tcPr>
          <w:p w14:paraId="7BA8FC82" w14:textId="10221C6A" w:rsidR="002B493A" w:rsidRPr="00F8465B" w:rsidRDefault="002B493A" w:rsidP="002B493A">
            <w:pPr>
              <w:keepLines w:val="0"/>
              <w:widowControl/>
              <w:jc w:val="right"/>
              <w:rPr>
                <w:rFonts w:ascii="Cambria" w:hAnsi="Cambria"/>
                <w:sz w:val="20"/>
                <w:szCs w:val="22"/>
                <w:lang w:val="es-ES"/>
              </w:rPr>
            </w:pPr>
            <w:r>
              <w:rPr>
                <w:rFonts w:ascii="Cambria" w:hAnsi="Cambria"/>
                <w:sz w:val="20"/>
                <w:szCs w:val="22"/>
                <w:lang w:val="es-ES"/>
              </w:rPr>
              <w:t>777</w:t>
            </w:r>
          </w:p>
        </w:tc>
        <w:tc>
          <w:tcPr>
            <w:tcW w:w="927" w:type="dxa"/>
            <w:tcBorders>
              <w:top w:val="nil"/>
              <w:left w:val="single" w:sz="4" w:space="0" w:color="auto"/>
              <w:right w:val="single" w:sz="4" w:space="0" w:color="auto"/>
            </w:tcBorders>
            <w:shd w:val="clear" w:color="000000" w:fill="FFFFFF"/>
          </w:tcPr>
          <w:p w14:paraId="06CEA204" w14:textId="16851393" w:rsidR="002B493A" w:rsidRPr="00F8465B" w:rsidRDefault="002B493A" w:rsidP="002B493A">
            <w:pPr>
              <w:keepLines w:val="0"/>
              <w:widowControl/>
              <w:jc w:val="right"/>
              <w:rPr>
                <w:rFonts w:ascii="Cambria" w:hAnsi="Cambria"/>
                <w:sz w:val="20"/>
                <w:szCs w:val="22"/>
                <w:lang w:val="es-ES"/>
              </w:rPr>
            </w:pPr>
            <w:r>
              <w:rPr>
                <w:rFonts w:ascii="Cambria" w:hAnsi="Cambria"/>
                <w:sz w:val="20"/>
                <w:szCs w:val="22"/>
                <w:lang w:val="es-ES"/>
              </w:rPr>
              <w:t>777</w:t>
            </w:r>
          </w:p>
        </w:tc>
      </w:tr>
      <w:tr w:rsidR="002B493A" w:rsidRPr="00F8465B" w14:paraId="26E63616" w14:textId="77777777" w:rsidTr="002B493A">
        <w:trPr>
          <w:cantSplit/>
          <w:trHeight w:val="255"/>
          <w:jc w:val="center"/>
        </w:trPr>
        <w:tc>
          <w:tcPr>
            <w:tcW w:w="6217" w:type="dxa"/>
            <w:tcBorders>
              <w:left w:val="single" w:sz="4" w:space="0" w:color="auto"/>
              <w:right w:val="single" w:sz="4" w:space="0" w:color="auto"/>
            </w:tcBorders>
            <w:shd w:val="clear" w:color="000000" w:fill="FFFFFF"/>
            <w:vAlign w:val="center"/>
          </w:tcPr>
          <w:p w14:paraId="56F2F831" w14:textId="77777777" w:rsidR="002B493A" w:rsidRPr="00F8465B" w:rsidRDefault="002B493A" w:rsidP="002B493A">
            <w:pPr>
              <w:keepLines w:val="0"/>
              <w:widowControl/>
              <w:jc w:val="left"/>
              <w:rPr>
                <w:rFonts w:ascii="Cambria" w:hAnsi="Cambria"/>
                <w:snapToGrid w:val="0"/>
                <w:sz w:val="20"/>
                <w:szCs w:val="22"/>
                <w:lang w:val="es-ES"/>
              </w:rPr>
            </w:pPr>
            <w:r w:rsidRPr="00F8465B">
              <w:rPr>
                <w:rFonts w:ascii="Cambria" w:hAnsi="Cambria"/>
                <w:snapToGrid w:val="0"/>
                <w:sz w:val="20"/>
                <w:szCs w:val="22"/>
                <w:lang w:val="es-ES"/>
              </w:rPr>
              <w:t>Servicios prestados a empresas de la Dirección General de Patrimonio</w:t>
            </w:r>
          </w:p>
        </w:tc>
        <w:tc>
          <w:tcPr>
            <w:tcW w:w="927" w:type="dxa"/>
            <w:tcBorders>
              <w:left w:val="single" w:sz="4" w:space="0" w:color="auto"/>
              <w:right w:val="single" w:sz="4" w:space="0" w:color="auto"/>
            </w:tcBorders>
            <w:shd w:val="clear" w:color="000000" w:fill="FFFFFF"/>
          </w:tcPr>
          <w:p w14:paraId="422857BA" w14:textId="0048E1E9" w:rsidR="002B493A" w:rsidRPr="00F8465B" w:rsidRDefault="002B493A" w:rsidP="002B493A">
            <w:pPr>
              <w:keepLines w:val="0"/>
              <w:widowControl/>
              <w:jc w:val="right"/>
              <w:rPr>
                <w:rFonts w:ascii="Cambria" w:hAnsi="Cambria"/>
                <w:sz w:val="20"/>
                <w:szCs w:val="22"/>
                <w:lang w:val="es-ES"/>
              </w:rPr>
            </w:pPr>
            <w:r>
              <w:rPr>
                <w:rFonts w:ascii="Cambria" w:hAnsi="Cambria"/>
                <w:sz w:val="20"/>
                <w:szCs w:val="22"/>
                <w:lang w:val="es-ES"/>
              </w:rPr>
              <w:t>78</w:t>
            </w:r>
          </w:p>
        </w:tc>
        <w:tc>
          <w:tcPr>
            <w:tcW w:w="927" w:type="dxa"/>
            <w:tcBorders>
              <w:left w:val="single" w:sz="4" w:space="0" w:color="auto"/>
              <w:right w:val="single" w:sz="4" w:space="0" w:color="auto"/>
            </w:tcBorders>
            <w:shd w:val="clear" w:color="000000" w:fill="FFFFFF"/>
          </w:tcPr>
          <w:p w14:paraId="2DCDB6FE" w14:textId="0A4CBA4F" w:rsidR="002B493A" w:rsidRDefault="002B493A" w:rsidP="002B493A">
            <w:pPr>
              <w:keepLines w:val="0"/>
              <w:widowControl/>
              <w:jc w:val="right"/>
              <w:rPr>
                <w:rFonts w:ascii="Cambria" w:hAnsi="Cambria"/>
                <w:sz w:val="20"/>
                <w:szCs w:val="22"/>
                <w:lang w:val="es-ES"/>
              </w:rPr>
            </w:pPr>
            <w:r>
              <w:rPr>
                <w:rFonts w:ascii="Cambria" w:hAnsi="Cambria"/>
                <w:sz w:val="20"/>
                <w:szCs w:val="22"/>
                <w:lang w:val="es-ES"/>
              </w:rPr>
              <w:t>78</w:t>
            </w:r>
          </w:p>
        </w:tc>
      </w:tr>
      <w:tr w:rsidR="002B493A" w:rsidRPr="00F8465B" w14:paraId="3308964D" w14:textId="77777777" w:rsidTr="002B493A">
        <w:trPr>
          <w:cantSplit/>
          <w:trHeight w:val="255"/>
          <w:jc w:val="center"/>
        </w:trPr>
        <w:tc>
          <w:tcPr>
            <w:tcW w:w="6217" w:type="dxa"/>
            <w:tcBorders>
              <w:left w:val="single" w:sz="4" w:space="0" w:color="auto"/>
              <w:right w:val="single" w:sz="4" w:space="0" w:color="auto"/>
            </w:tcBorders>
            <w:shd w:val="clear" w:color="000000" w:fill="FFFFFF"/>
            <w:vAlign w:val="center"/>
          </w:tcPr>
          <w:p w14:paraId="68B5B1EC" w14:textId="7B939142" w:rsidR="002B493A" w:rsidRPr="00F8465B" w:rsidRDefault="002B493A" w:rsidP="002B493A">
            <w:pPr>
              <w:keepLines w:val="0"/>
              <w:widowControl/>
              <w:jc w:val="left"/>
              <w:rPr>
                <w:rFonts w:ascii="Cambria" w:hAnsi="Cambria"/>
                <w:snapToGrid w:val="0"/>
                <w:sz w:val="20"/>
                <w:szCs w:val="22"/>
                <w:lang w:val="es-ES"/>
              </w:rPr>
            </w:pPr>
            <w:r w:rsidRPr="00F8465B">
              <w:rPr>
                <w:rFonts w:ascii="Cambria" w:hAnsi="Cambria"/>
                <w:snapToGrid w:val="0"/>
                <w:sz w:val="20"/>
                <w:szCs w:val="22"/>
                <w:lang w:val="es-ES"/>
              </w:rPr>
              <w:t>Arrendamiento de local</w:t>
            </w:r>
            <w:r>
              <w:rPr>
                <w:rFonts w:ascii="Cambria" w:hAnsi="Cambria"/>
                <w:snapToGrid w:val="0"/>
                <w:sz w:val="20"/>
                <w:szCs w:val="22"/>
                <w:lang w:val="es-ES"/>
              </w:rPr>
              <w:t>es</w:t>
            </w:r>
          </w:p>
        </w:tc>
        <w:tc>
          <w:tcPr>
            <w:tcW w:w="927" w:type="dxa"/>
            <w:tcBorders>
              <w:left w:val="single" w:sz="4" w:space="0" w:color="auto"/>
              <w:right w:val="single" w:sz="4" w:space="0" w:color="auto"/>
            </w:tcBorders>
            <w:shd w:val="clear" w:color="000000" w:fill="FFFFFF"/>
          </w:tcPr>
          <w:p w14:paraId="1D7792F6" w14:textId="3F539EEC" w:rsidR="002B493A" w:rsidRPr="00F8465B" w:rsidRDefault="002B493A" w:rsidP="002B493A">
            <w:pPr>
              <w:keepLines w:val="0"/>
              <w:widowControl/>
              <w:jc w:val="right"/>
              <w:rPr>
                <w:rFonts w:ascii="Cambria" w:hAnsi="Cambria"/>
                <w:sz w:val="20"/>
                <w:szCs w:val="22"/>
                <w:lang w:val="es-ES"/>
              </w:rPr>
            </w:pPr>
            <w:r>
              <w:rPr>
                <w:rFonts w:ascii="Cambria" w:hAnsi="Cambria"/>
                <w:sz w:val="20"/>
                <w:szCs w:val="22"/>
                <w:lang w:val="es-ES"/>
              </w:rPr>
              <w:t>94</w:t>
            </w:r>
          </w:p>
        </w:tc>
        <w:tc>
          <w:tcPr>
            <w:tcW w:w="927" w:type="dxa"/>
            <w:tcBorders>
              <w:left w:val="single" w:sz="4" w:space="0" w:color="auto"/>
              <w:right w:val="single" w:sz="4" w:space="0" w:color="auto"/>
            </w:tcBorders>
            <w:shd w:val="clear" w:color="000000" w:fill="FFFFFF"/>
          </w:tcPr>
          <w:p w14:paraId="2BB24C42" w14:textId="3C941C40" w:rsidR="002B493A" w:rsidRDefault="002B493A" w:rsidP="002B493A">
            <w:pPr>
              <w:keepLines w:val="0"/>
              <w:widowControl/>
              <w:jc w:val="right"/>
              <w:rPr>
                <w:rFonts w:ascii="Cambria" w:hAnsi="Cambria"/>
                <w:sz w:val="20"/>
                <w:szCs w:val="22"/>
                <w:lang w:val="es-ES"/>
              </w:rPr>
            </w:pPr>
            <w:r>
              <w:rPr>
                <w:rFonts w:ascii="Cambria" w:hAnsi="Cambria"/>
                <w:sz w:val="20"/>
                <w:szCs w:val="22"/>
                <w:lang w:val="es-ES"/>
              </w:rPr>
              <w:t>43</w:t>
            </w:r>
          </w:p>
        </w:tc>
      </w:tr>
      <w:tr w:rsidR="002B493A" w:rsidRPr="00F8465B" w14:paraId="2B8A2CC1" w14:textId="77777777" w:rsidTr="002B493A">
        <w:trPr>
          <w:cantSplit/>
          <w:trHeight w:val="255"/>
          <w:jc w:val="center"/>
        </w:trPr>
        <w:tc>
          <w:tcPr>
            <w:tcW w:w="6217" w:type="dxa"/>
            <w:tcBorders>
              <w:left w:val="single" w:sz="4" w:space="0" w:color="auto"/>
              <w:right w:val="single" w:sz="4" w:space="0" w:color="auto"/>
            </w:tcBorders>
            <w:shd w:val="clear" w:color="000000" w:fill="FFFFFF"/>
            <w:vAlign w:val="center"/>
          </w:tcPr>
          <w:p w14:paraId="707F24C5" w14:textId="6EE3B237" w:rsidR="002B493A" w:rsidRPr="00F8465B" w:rsidRDefault="002B493A" w:rsidP="002B493A">
            <w:pPr>
              <w:keepLines w:val="0"/>
              <w:widowControl/>
              <w:jc w:val="left"/>
              <w:rPr>
                <w:rFonts w:ascii="Cambria" w:hAnsi="Cambria"/>
                <w:snapToGrid w:val="0"/>
                <w:sz w:val="20"/>
                <w:szCs w:val="22"/>
                <w:lang w:val="es-ES"/>
              </w:rPr>
            </w:pPr>
            <w:r>
              <w:rPr>
                <w:rFonts w:ascii="Cambria" w:hAnsi="Cambria"/>
                <w:snapToGrid w:val="0"/>
                <w:sz w:val="20"/>
                <w:szCs w:val="22"/>
                <w:lang w:val="es-ES"/>
              </w:rPr>
              <w:t>Canon portuario</w:t>
            </w:r>
          </w:p>
        </w:tc>
        <w:tc>
          <w:tcPr>
            <w:tcW w:w="927" w:type="dxa"/>
            <w:tcBorders>
              <w:left w:val="single" w:sz="4" w:space="0" w:color="auto"/>
              <w:right w:val="single" w:sz="4" w:space="0" w:color="auto"/>
            </w:tcBorders>
            <w:shd w:val="clear" w:color="000000" w:fill="FFFFFF"/>
          </w:tcPr>
          <w:p w14:paraId="58B298F1" w14:textId="51BF144D" w:rsidR="002B493A" w:rsidRPr="00F8465B" w:rsidRDefault="002B493A" w:rsidP="002B493A">
            <w:pPr>
              <w:keepLines w:val="0"/>
              <w:widowControl/>
              <w:jc w:val="right"/>
              <w:rPr>
                <w:rFonts w:ascii="Cambria" w:hAnsi="Cambria"/>
                <w:sz w:val="20"/>
                <w:szCs w:val="22"/>
                <w:lang w:val="es-ES"/>
              </w:rPr>
            </w:pPr>
            <w:r>
              <w:rPr>
                <w:rFonts w:ascii="Cambria" w:hAnsi="Cambria"/>
                <w:sz w:val="20"/>
                <w:szCs w:val="22"/>
                <w:lang w:val="es-ES"/>
              </w:rPr>
              <w:t>477</w:t>
            </w:r>
          </w:p>
        </w:tc>
        <w:tc>
          <w:tcPr>
            <w:tcW w:w="927" w:type="dxa"/>
            <w:tcBorders>
              <w:left w:val="single" w:sz="4" w:space="0" w:color="auto"/>
              <w:right w:val="single" w:sz="4" w:space="0" w:color="auto"/>
            </w:tcBorders>
            <w:shd w:val="clear" w:color="000000" w:fill="FFFFFF"/>
          </w:tcPr>
          <w:p w14:paraId="77DB757E" w14:textId="190C9BE5" w:rsidR="002B493A" w:rsidRDefault="002B493A" w:rsidP="002B493A">
            <w:pPr>
              <w:keepLines w:val="0"/>
              <w:widowControl/>
              <w:jc w:val="right"/>
              <w:rPr>
                <w:rFonts w:ascii="Cambria" w:hAnsi="Cambria"/>
                <w:sz w:val="20"/>
                <w:szCs w:val="22"/>
                <w:lang w:val="es-ES"/>
              </w:rPr>
            </w:pPr>
            <w:r>
              <w:rPr>
                <w:rFonts w:ascii="Cambria" w:hAnsi="Cambria"/>
                <w:sz w:val="20"/>
                <w:szCs w:val="22"/>
                <w:lang w:val="es-ES"/>
              </w:rPr>
              <w:t>473</w:t>
            </w:r>
          </w:p>
        </w:tc>
      </w:tr>
      <w:tr w:rsidR="002B493A" w:rsidRPr="00F8465B" w14:paraId="7C286820" w14:textId="77777777" w:rsidTr="002B493A">
        <w:trPr>
          <w:cantSplit/>
          <w:trHeight w:val="255"/>
          <w:jc w:val="center"/>
        </w:trPr>
        <w:tc>
          <w:tcPr>
            <w:tcW w:w="6217" w:type="dxa"/>
            <w:tcBorders>
              <w:left w:val="single" w:sz="4" w:space="0" w:color="auto"/>
              <w:bottom w:val="single" w:sz="4" w:space="0" w:color="auto"/>
              <w:right w:val="single" w:sz="4" w:space="0" w:color="auto"/>
            </w:tcBorders>
            <w:shd w:val="clear" w:color="000000" w:fill="FFFFFF"/>
            <w:vAlign w:val="center"/>
          </w:tcPr>
          <w:p w14:paraId="6B7AD166" w14:textId="77777777" w:rsidR="002B493A" w:rsidRPr="00F8465B" w:rsidRDefault="002B493A" w:rsidP="002B493A">
            <w:pPr>
              <w:keepLines w:val="0"/>
              <w:widowControl/>
              <w:jc w:val="left"/>
              <w:rPr>
                <w:rFonts w:ascii="Cambria" w:hAnsi="Cambria"/>
                <w:sz w:val="20"/>
                <w:szCs w:val="22"/>
                <w:lang w:val="es-ES"/>
              </w:rPr>
            </w:pPr>
            <w:r w:rsidRPr="00F8465B">
              <w:rPr>
                <w:rFonts w:ascii="Cambria" w:hAnsi="Cambria"/>
                <w:snapToGrid w:val="0"/>
                <w:sz w:val="20"/>
                <w:szCs w:val="22"/>
                <w:lang w:val="es-ES"/>
              </w:rPr>
              <w:t xml:space="preserve">Otros servicios </w:t>
            </w:r>
          </w:p>
        </w:tc>
        <w:tc>
          <w:tcPr>
            <w:tcW w:w="927" w:type="dxa"/>
            <w:tcBorders>
              <w:left w:val="single" w:sz="4" w:space="0" w:color="auto"/>
              <w:bottom w:val="single" w:sz="4" w:space="0" w:color="auto"/>
              <w:right w:val="single" w:sz="4" w:space="0" w:color="auto"/>
            </w:tcBorders>
            <w:shd w:val="clear" w:color="000000" w:fill="FFFFFF"/>
          </w:tcPr>
          <w:p w14:paraId="61C0368E" w14:textId="72782DD2" w:rsidR="002B493A" w:rsidRPr="00F8465B" w:rsidRDefault="002B493A" w:rsidP="002B493A">
            <w:pPr>
              <w:keepLines w:val="0"/>
              <w:widowControl/>
              <w:jc w:val="right"/>
              <w:rPr>
                <w:rFonts w:ascii="Cambria" w:hAnsi="Cambria"/>
                <w:sz w:val="20"/>
                <w:szCs w:val="22"/>
                <w:lang w:val="es-ES"/>
              </w:rPr>
            </w:pPr>
            <w:r>
              <w:rPr>
                <w:rFonts w:ascii="Cambria" w:hAnsi="Cambria"/>
                <w:sz w:val="20"/>
                <w:szCs w:val="22"/>
                <w:lang w:val="es-ES"/>
              </w:rPr>
              <w:t>41</w:t>
            </w:r>
          </w:p>
        </w:tc>
        <w:tc>
          <w:tcPr>
            <w:tcW w:w="927" w:type="dxa"/>
            <w:tcBorders>
              <w:left w:val="single" w:sz="4" w:space="0" w:color="auto"/>
              <w:bottom w:val="single" w:sz="4" w:space="0" w:color="auto"/>
              <w:right w:val="single" w:sz="4" w:space="0" w:color="auto"/>
            </w:tcBorders>
            <w:shd w:val="clear" w:color="000000" w:fill="FFFFFF"/>
          </w:tcPr>
          <w:p w14:paraId="197E895E" w14:textId="13C54F19" w:rsidR="002B493A" w:rsidRDefault="002B493A" w:rsidP="002B493A">
            <w:pPr>
              <w:keepLines w:val="0"/>
              <w:widowControl/>
              <w:jc w:val="right"/>
              <w:rPr>
                <w:rFonts w:ascii="Cambria" w:hAnsi="Cambria"/>
                <w:sz w:val="20"/>
                <w:szCs w:val="22"/>
                <w:lang w:val="es-ES"/>
              </w:rPr>
            </w:pPr>
            <w:r>
              <w:rPr>
                <w:rFonts w:ascii="Cambria" w:hAnsi="Cambria"/>
                <w:sz w:val="20"/>
                <w:szCs w:val="22"/>
                <w:lang w:val="es-ES"/>
              </w:rPr>
              <w:t>66</w:t>
            </w:r>
          </w:p>
        </w:tc>
      </w:tr>
      <w:tr w:rsidR="002B493A" w:rsidRPr="00F8465B" w14:paraId="4EF7A21B" w14:textId="77777777" w:rsidTr="002B493A">
        <w:trPr>
          <w:cantSplit/>
          <w:trHeight w:val="255"/>
          <w:jc w:val="center"/>
        </w:trPr>
        <w:tc>
          <w:tcPr>
            <w:tcW w:w="6217" w:type="dxa"/>
            <w:tcBorders>
              <w:top w:val="single" w:sz="4" w:space="0" w:color="auto"/>
              <w:left w:val="single" w:sz="4" w:space="0" w:color="auto"/>
              <w:bottom w:val="single" w:sz="4" w:space="0" w:color="auto"/>
              <w:right w:val="single" w:sz="4" w:space="0" w:color="auto"/>
            </w:tcBorders>
            <w:shd w:val="clear" w:color="000000" w:fill="FFFFFF"/>
            <w:vAlign w:val="center"/>
          </w:tcPr>
          <w:p w14:paraId="352F8598" w14:textId="660B91DA" w:rsidR="002B493A" w:rsidRPr="00F8465B" w:rsidRDefault="002B493A" w:rsidP="002B493A">
            <w:pPr>
              <w:keepLines w:val="0"/>
              <w:widowControl/>
              <w:jc w:val="left"/>
              <w:rPr>
                <w:rFonts w:ascii="Cambria" w:hAnsi="Cambria"/>
                <w:b/>
                <w:bCs/>
                <w:sz w:val="20"/>
                <w:szCs w:val="22"/>
                <w:lang w:val="es-ES"/>
              </w:rPr>
            </w:pPr>
            <w:r w:rsidRPr="00F8465B">
              <w:rPr>
                <w:rFonts w:ascii="Cambria" w:hAnsi="Cambria"/>
                <w:b/>
                <w:bCs/>
                <w:snapToGrid w:val="0"/>
                <w:sz w:val="20"/>
                <w:szCs w:val="22"/>
                <w:lang w:val="es-ES"/>
              </w:rPr>
              <w:t>Total</w:t>
            </w: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7B24D655" w14:textId="5CFFF947" w:rsidR="002B493A" w:rsidRPr="00F8465B" w:rsidRDefault="002B493A" w:rsidP="002B493A">
            <w:pPr>
              <w:keepLines w:val="0"/>
              <w:widowControl/>
              <w:jc w:val="right"/>
              <w:rPr>
                <w:rFonts w:ascii="Cambria" w:hAnsi="Cambria"/>
                <w:b/>
                <w:bCs/>
                <w:sz w:val="20"/>
                <w:szCs w:val="22"/>
                <w:lang w:val="es-ES"/>
              </w:rPr>
            </w:pPr>
            <w:r>
              <w:rPr>
                <w:rFonts w:ascii="Cambria" w:hAnsi="Cambria"/>
                <w:b/>
                <w:bCs/>
                <w:sz w:val="20"/>
                <w:szCs w:val="22"/>
                <w:lang w:val="es-ES"/>
              </w:rPr>
              <w:t>1.467</w:t>
            </w: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167BE78C" w14:textId="137840AF" w:rsidR="002B493A" w:rsidRDefault="002B493A" w:rsidP="002B493A">
            <w:pPr>
              <w:keepLines w:val="0"/>
              <w:widowControl/>
              <w:jc w:val="right"/>
              <w:rPr>
                <w:rFonts w:ascii="Cambria" w:hAnsi="Cambria"/>
                <w:b/>
                <w:bCs/>
                <w:sz w:val="20"/>
                <w:szCs w:val="22"/>
                <w:lang w:val="es-ES"/>
              </w:rPr>
            </w:pPr>
            <w:r>
              <w:rPr>
                <w:rFonts w:ascii="Cambria" w:hAnsi="Cambria"/>
                <w:b/>
                <w:bCs/>
                <w:sz w:val="20"/>
                <w:szCs w:val="22"/>
                <w:lang w:val="es-ES"/>
              </w:rPr>
              <w:t>1.437</w:t>
            </w:r>
          </w:p>
        </w:tc>
      </w:tr>
    </w:tbl>
    <w:p w14:paraId="0D12C2DF" w14:textId="77777777" w:rsidR="00361E2B" w:rsidRPr="00F8465B" w:rsidRDefault="00361E2B" w:rsidP="00C32165">
      <w:pPr>
        <w:pStyle w:val="Ttulo1a"/>
        <w:ind w:left="567"/>
        <w:rPr>
          <w:rFonts w:ascii="Cambria" w:hAnsi="Cambria"/>
          <w:sz w:val="24"/>
          <w:szCs w:val="24"/>
        </w:rPr>
      </w:pPr>
    </w:p>
    <w:p w14:paraId="23CAAF6B" w14:textId="3D0B16D6" w:rsidR="002E0DB9" w:rsidRDefault="00126B1B" w:rsidP="00C32165">
      <w:pPr>
        <w:pStyle w:val="Ttulo1a"/>
        <w:ind w:left="567"/>
        <w:rPr>
          <w:rFonts w:ascii="Cambria" w:hAnsi="Cambria"/>
          <w:sz w:val="24"/>
          <w:szCs w:val="24"/>
        </w:rPr>
      </w:pPr>
      <w:r w:rsidRPr="00F8465B">
        <w:rPr>
          <w:rFonts w:ascii="Cambria" w:hAnsi="Cambria"/>
          <w:sz w:val="24"/>
          <w:szCs w:val="24"/>
        </w:rPr>
        <w:t>Dentro del epígrafe d</w:t>
      </w:r>
      <w:r w:rsidR="00361E2B" w:rsidRPr="00F8465B">
        <w:rPr>
          <w:rFonts w:ascii="Cambria" w:hAnsi="Cambria"/>
          <w:sz w:val="24"/>
          <w:szCs w:val="24"/>
        </w:rPr>
        <w:t xml:space="preserve">e </w:t>
      </w:r>
      <w:r w:rsidR="007F72A1" w:rsidRPr="00F8465B">
        <w:rPr>
          <w:rFonts w:ascii="Cambria" w:hAnsi="Cambria"/>
          <w:sz w:val="24"/>
          <w:szCs w:val="24"/>
        </w:rPr>
        <w:t>“P</w:t>
      </w:r>
      <w:r w:rsidR="00361E2B" w:rsidRPr="00F8465B">
        <w:rPr>
          <w:rFonts w:ascii="Cambria" w:hAnsi="Cambria"/>
          <w:sz w:val="24"/>
          <w:szCs w:val="24"/>
        </w:rPr>
        <w:t>restación de servicios</w:t>
      </w:r>
      <w:r w:rsidR="00557714" w:rsidRPr="00F8465B">
        <w:rPr>
          <w:rFonts w:ascii="Cambria" w:hAnsi="Cambria"/>
          <w:sz w:val="24"/>
          <w:szCs w:val="24"/>
        </w:rPr>
        <w:t>”</w:t>
      </w:r>
      <w:r w:rsidR="00361E2B" w:rsidRPr="00F8465B">
        <w:rPr>
          <w:rFonts w:ascii="Cambria" w:hAnsi="Cambria"/>
          <w:sz w:val="24"/>
          <w:szCs w:val="24"/>
        </w:rPr>
        <w:t xml:space="preserve"> de la</w:t>
      </w:r>
      <w:r w:rsidRPr="00F8465B">
        <w:rPr>
          <w:rFonts w:ascii="Cambria" w:hAnsi="Cambria"/>
          <w:sz w:val="24"/>
          <w:szCs w:val="24"/>
        </w:rPr>
        <w:t xml:space="preserve"> </w:t>
      </w:r>
      <w:r w:rsidR="00361E2B" w:rsidRPr="00F8465B">
        <w:rPr>
          <w:rFonts w:ascii="Cambria" w:hAnsi="Cambria"/>
          <w:sz w:val="24"/>
          <w:szCs w:val="24"/>
        </w:rPr>
        <w:t xml:space="preserve">cuenta de resultados </w:t>
      </w:r>
      <w:r w:rsidRPr="00F8465B">
        <w:rPr>
          <w:rFonts w:ascii="Cambria" w:hAnsi="Cambria"/>
          <w:sz w:val="24"/>
          <w:szCs w:val="24"/>
        </w:rPr>
        <w:t xml:space="preserve">de los </w:t>
      </w:r>
      <w:r w:rsidR="002E0DB9" w:rsidRPr="00F8465B">
        <w:rPr>
          <w:rFonts w:ascii="Cambria" w:hAnsi="Cambria"/>
          <w:sz w:val="24"/>
          <w:szCs w:val="24"/>
        </w:rPr>
        <w:t>ejercicio</w:t>
      </w:r>
      <w:r w:rsidRPr="00F8465B">
        <w:rPr>
          <w:rFonts w:ascii="Cambria" w:hAnsi="Cambria"/>
          <w:sz w:val="24"/>
          <w:szCs w:val="24"/>
        </w:rPr>
        <w:t>s</w:t>
      </w:r>
      <w:r w:rsidR="002E0DB9" w:rsidRPr="00F8465B">
        <w:rPr>
          <w:rFonts w:ascii="Cambria" w:hAnsi="Cambria"/>
          <w:sz w:val="24"/>
          <w:szCs w:val="24"/>
        </w:rPr>
        <w:t xml:space="preserve"> 20</w:t>
      </w:r>
      <w:r w:rsidR="002B493A">
        <w:rPr>
          <w:rFonts w:ascii="Cambria" w:hAnsi="Cambria"/>
          <w:sz w:val="24"/>
          <w:szCs w:val="24"/>
        </w:rPr>
        <w:t>20</w:t>
      </w:r>
      <w:r w:rsidR="00A51E55" w:rsidRPr="00F8465B">
        <w:rPr>
          <w:rFonts w:ascii="Cambria" w:hAnsi="Cambria"/>
          <w:sz w:val="24"/>
          <w:szCs w:val="24"/>
        </w:rPr>
        <w:t xml:space="preserve"> y 20</w:t>
      </w:r>
      <w:r w:rsidR="004A551E" w:rsidRPr="00F8465B">
        <w:rPr>
          <w:rFonts w:ascii="Cambria" w:hAnsi="Cambria"/>
          <w:sz w:val="24"/>
          <w:szCs w:val="24"/>
        </w:rPr>
        <w:t>1</w:t>
      </w:r>
      <w:r w:rsidR="002B493A">
        <w:rPr>
          <w:rFonts w:ascii="Cambria" w:hAnsi="Cambria"/>
          <w:sz w:val="24"/>
          <w:szCs w:val="24"/>
        </w:rPr>
        <w:t>9</w:t>
      </w:r>
      <w:r w:rsidR="002E0DB9" w:rsidRPr="00F8465B">
        <w:rPr>
          <w:rFonts w:ascii="Cambria" w:hAnsi="Cambria"/>
          <w:sz w:val="24"/>
          <w:szCs w:val="24"/>
        </w:rPr>
        <w:t xml:space="preserve"> adjunta </w:t>
      </w:r>
      <w:r w:rsidRPr="00F8465B">
        <w:rPr>
          <w:rFonts w:ascii="Cambria" w:hAnsi="Cambria"/>
          <w:sz w:val="24"/>
          <w:szCs w:val="24"/>
        </w:rPr>
        <w:t xml:space="preserve">se </w:t>
      </w:r>
      <w:r w:rsidR="002E0DB9" w:rsidRPr="00F8465B">
        <w:rPr>
          <w:rFonts w:ascii="Cambria" w:hAnsi="Cambria"/>
          <w:sz w:val="24"/>
          <w:szCs w:val="24"/>
        </w:rPr>
        <w:t>incluye</w:t>
      </w:r>
      <w:r w:rsidR="00361E2B" w:rsidRPr="00F8465B">
        <w:rPr>
          <w:rFonts w:ascii="Cambria" w:hAnsi="Cambria"/>
          <w:sz w:val="24"/>
          <w:szCs w:val="24"/>
        </w:rPr>
        <w:t>n</w:t>
      </w:r>
      <w:r w:rsidR="002E0DB9" w:rsidRPr="00F8465B">
        <w:rPr>
          <w:rFonts w:ascii="Cambria" w:hAnsi="Cambria"/>
          <w:sz w:val="24"/>
          <w:szCs w:val="24"/>
        </w:rPr>
        <w:t>, principalmente</w:t>
      </w:r>
      <w:r w:rsidR="00361E2B" w:rsidRPr="00F8465B">
        <w:rPr>
          <w:rFonts w:ascii="Cambria" w:hAnsi="Cambria"/>
          <w:sz w:val="24"/>
          <w:szCs w:val="24"/>
        </w:rPr>
        <w:t>,</w:t>
      </w:r>
      <w:r w:rsidR="002E0DB9" w:rsidRPr="00F8465B">
        <w:rPr>
          <w:rFonts w:ascii="Cambria" w:hAnsi="Cambria"/>
          <w:sz w:val="24"/>
          <w:szCs w:val="24"/>
        </w:rPr>
        <w:t xml:space="preserve"> los ingresos por los servicios de administración y gestión prestados a otras empresas del Grupo</w:t>
      </w:r>
      <w:r w:rsidR="006C771A" w:rsidRPr="00F8465B">
        <w:rPr>
          <w:rFonts w:ascii="Cambria" w:hAnsi="Cambria"/>
          <w:sz w:val="24"/>
          <w:szCs w:val="24"/>
        </w:rPr>
        <w:t xml:space="preserve"> SEPI</w:t>
      </w:r>
      <w:r w:rsidR="00454995">
        <w:rPr>
          <w:rFonts w:ascii="Cambria" w:hAnsi="Cambria"/>
          <w:sz w:val="24"/>
          <w:szCs w:val="24"/>
        </w:rPr>
        <w:t>.</w:t>
      </w:r>
    </w:p>
    <w:p w14:paraId="179282FE" w14:textId="4D648892" w:rsidR="00840610" w:rsidRDefault="00840610" w:rsidP="00172B65">
      <w:pPr>
        <w:ind w:left="426"/>
      </w:pPr>
      <w:r>
        <w:t xml:space="preserve"> </w:t>
      </w:r>
    </w:p>
    <w:p w14:paraId="0CA41D90" w14:textId="566145AA" w:rsidR="003C65FE" w:rsidRDefault="00A9510A" w:rsidP="003C65FE">
      <w:pPr>
        <w:pStyle w:val="Ttulo1a"/>
        <w:ind w:left="567"/>
        <w:rPr>
          <w:rFonts w:ascii="Cambria" w:hAnsi="Cambria"/>
          <w:sz w:val="24"/>
          <w:szCs w:val="24"/>
        </w:rPr>
      </w:pPr>
      <w:r>
        <w:rPr>
          <w:rFonts w:ascii="Cambria" w:hAnsi="Cambria"/>
          <w:sz w:val="24"/>
          <w:szCs w:val="24"/>
        </w:rPr>
        <w:t xml:space="preserve">Con fechas 30 de noviembre de 2018 y 11 de febrero de 2019, se </w:t>
      </w:r>
      <w:r w:rsidR="002B493A">
        <w:rPr>
          <w:rFonts w:ascii="Cambria" w:hAnsi="Cambria"/>
          <w:sz w:val="24"/>
          <w:szCs w:val="24"/>
        </w:rPr>
        <w:t>dictaron</w:t>
      </w:r>
      <w:r>
        <w:rPr>
          <w:rFonts w:ascii="Cambria" w:hAnsi="Cambria"/>
          <w:sz w:val="24"/>
          <w:szCs w:val="24"/>
        </w:rPr>
        <w:t xml:space="preserve"> dos sentencias firmes favorables a COFIVACASA del Tribunal Superior de Justicia del País Valenciano, </w:t>
      </w:r>
      <w:r w:rsidR="00B864E4">
        <w:rPr>
          <w:rFonts w:ascii="Cambria" w:hAnsi="Cambria"/>
          <w:sz w:val="24"/>
          <w:szCs w:val="24"/>
        </w:rPr>
        <w:t xml:space="preserve">por lo que </w:t>
      </w:r>
      <w:r w:rsidR="003C65FE">
        <w:rPr>
          <w:rFonts w:ascii="Cambria" w:hAnsi="Cambria"/>
          <w:sz w:val="24"/>
          <w:szCs w:val="24"/>
        </w:rPr>
        <w:t xml:space="preserve">la Sociedad </w:t>
      </w:r>
      <w:r w:rsidR="004B6939">
        <w:rPr>
          <w:rFonts w:ascii="Cambria" w:hAnsi="Cambria"/>
          <w:sz w:val="24"/>
          <w:szCs w:val="24"/>
        </w:rPr>
        <w:t>ha vuelto</w:t>
      </w:r>
      <w:r w:rsidR="002B493A">
        <w:rPr>
          <w:rFonts w:ascii="Cambria" w:hAnsi="Cambria"/>
          <w:sz w:val="24"/>
          <w:szCs w:val="24"/>
        </w:rPr>
        <w:t xml:space="preserve"> </w:t>
      </w:r>
      <w:r w:rsidR="003C65FE">
        <w:rPr>
          <w:rFonts w:ascii="Cambria" w:hAnsi="Cambria"/>
          <w:sz w:val="24"/>
          <w:szCs w:val="24"/>
        </w:rPr>
        <w:t>a facturar</w:t>
      </w:r>
      <w:r w:rsidR="00B864E4">
        <w:rPr>
          <w:rFonts w:ascii="Cambria" w:hAnsi="Cambria"/>
          <w:sz w:val="24"/>
          <w:szCs w:val="24"/>
        </w:rPr>
        <w:t xml:space="preserve"> en 2019 </w:t>
      </w:r>
      <w:r w:rsidR="002B493A">
        <w:rPr>
          <w:rFonts w:ascii="Cambria" w:hAnsi="Cambria"/>
          <w:sz w:val="24"/>
          <w:szCs w:val="24"/>
        </w:rPr>
        <w:t>y 2020</w:t>
      </w:r>
      <w:r w:rsidR="003C65FE">
        <w:rPr>
          <w:rFonts w:ascii="Cambria" w:hAnsi="Cambria"/>
          <w:sz w:val="24"/>
          <w:szCs w:val="24"/>
        </w:rPr>
        <w:t xml:space="preserve"> los importes correspondientes a la concesión del Canon portuario del Puerto de Sagunto.</w:t>
      </w:r>
      <w:r>
        <w:rPr>
          <w:rFonts w:ascii="Cambria" w:hAnsi="Cambria"/>
          <w:sz w:val="24"/>
          <w:szCs w:val="24"/>
        </w:rPr>
        <w:t xml:space="preserve"> Así, del importe registrado bajo el epígrafe “Deudores varios” del balance</w:t>
      </w:r>
      <w:r w:rsidR="00B864E4">
        <w:rPr>
          <w:rFonts w:ascii="Cambria" w:hAnsi="Cambria"/>
          <w:sz w:val="24"/>
          <w:szCs w:val="24"/>
        </w:rPr>
        <w:t xml:space="preserve"> de situación adjunto,</w:t>
      </w:r>
      <w:r w:rsidR="0041227D">
        <w:rPr>
          <w:rFonts w:ascii="Cambria" w:hAnsi="Cambria"/>
          <w:sz w:val="24"/>
          <w:szCs w:val="24"/>
        </w:rPr>
        <w:t xml:space="preserve"> </w:t>
      </w:r>
      <w:r w:rsidR="00B864E4">
        <w:rPr>
          <w:rFonts w:ascii="Cambria" w:hAnsi="Cambria"/>
          <w:sz w:val="24"/>
          <w:szCs w:val="24"/>
        </w:rPr>
        <w:t>un</w:t>
      </w:r>
      <w:r w:rsidR="0041227D">
        <w:rPr>
          <w:rFonts w:ascii="Cambria" w:hAnsi="Cambria"/>
          <w:sz w:val="24"/>
          <w:szCs w:val="24"/>
        </w:rPr>
        <w:t xml:space="preserve"> </w:t>
      </w:r>
      <w:r w:rsidR="00B864E4">
        <w:rPr>
          <w:rFonts w:ascii="Cambria" w:hAnsi="Cambria"/>
          <w:sz w:val="24"/>
          <w:szCs w:val="24"/>
        </w:rPr>
        <w:t xml:space="preserve">importe </w:t>
      </w:r>
      <w:r w:rsidR="000565E0" w:rsidRPr="000565E0">
        <w:rPr>
          <w:rFonts w:ascii="Cambria" w:hAnsi="Cambria"/>
          <w:sz w:val="24"/>
          <w:szCs w:val="24"/>
        </w:rPr>
        <w:t>de</w:t>
      </w:r>
      <w:r w:rsidR="0041227D">
        <w:rPr>
          <w:rFonts w:ascii="Cambria" w:hAnsi="Cambria"/>
          <w:sz w:val="24"/>
          <w:szCs w:val="24"/>
        </w:rPr>
        <w:t xml:space="preserve"> </w:t>
      </w:r>
      <w:r w:rsidR="004B6939">
        <w:rPr>
          <w:rFonts w:ascii="Cambria" w:hAnsi="Cambria"/>
          <w:sz w:val="24"/>
          <w:szCs w:val="24"/>
        </w:rPr>
        <w:t>3.419</w:t>
      </w:r>
      <w:r w:rsidR="00B864E4" w:rsidRPr="000565E0">
        <w:rPr>
          <w:rFonts w:ascii="Cambria" w:hAnsi="Cambria"/>
          <w:sz w:val="24"/>
          <w:szCs w:val="24"/>
        </w:rPr>
        <w:t xml:space="preserve"> mi</w:t>
      </w:r>
      <w:r w:rsidRPr="000565E0">
        <w:rPr>
          <w:rFonts w:ascii="Cambria" w:hAnsi="Cambria"/>
          <w:sz w:val="24"/>
          <w:szCs w:val="24"/>
        </w:rPr>
        <w:t>l</w:t>
      </w:r>
      <w:r w:rsidR="00B864E4" w:rsidRPr="000565E0">
        <w:rPr>
          <w:rFonts w:ascii="Cambria" w:hAnsi="Cambria"/>
          <w:sz w:val="24"/>
          <w:szCs w:val="24"/>
        </w:rPr>
        <w:t>e</w:t>
      </w:r>
      <w:r w:rsidRPr="000565E0">
        <w:rPr>
          <w:rFonts w:ascii="Cambria" w:hAnsi="Cambria"/>
          <w:sz w:val="24"/>
          <w:szCs w:val="24"/>
        </w:rPr>
        <w:t>s</w:t>
      </w:r>
      <w:r w:rsidR="0041227D">
        <w:rPr>
          <w:rFonts w:ascii="Cambria" w:hAnsi="Cambria"/>
          <w:sz w:val="24"/>
          <w:szCs w:val="24"/>
        </w:rPr>
        <w:t xml:space="preserve"> </w:t>
      </w:r>
      <w:r w:rsidRPr="000565E0">
        <w:rPr>
          <w:rFonts w:ascii="Cambria" w:hAnsi="Cambria"/>
          <w:sz w:val="24"/>
          <w:szCs w:val="24"/>
        </w:rPr>
        <w:t>de euros</w:t>
      </w:r>
      <w:r w:rsidR="00B864E4" w:rsidRPr="000565E0">
        <w:rPr>
          <w:rFonts w:ascii="Cambria" w:hAnsi="Cambria"/>
          <w:sz w:val="24"/>
          <w:szCs w:val="24"/>
        </w:rPr>
        <w:t xml:space="preserve"> corresponden</w:t>
      </w:r>
      <w:r w:rsidR="004B6939">
        <w:rPr>
          <w:rFonts w:ascii="Cambria" w:hAnsi="Cambria"/>
          <w:sz w:val="24"/>
          <w:szCs w:val="24"/>
        </w:rPr>
        <w:t xml:space="preserve"> a</w:t>
      </w:r>
      <w:r w:rsidR="00B864E4" w:rsidRPr="000565E0">
        <w:rPr>
          <w:rFonts w:ascii="Cambria" w:hAnsi="Cambria"/>
          <w:sz w:val="24"/>
          <w:szCs w:val="24"/>
        </w:rPr>
        <w:t xml:space="preserve"> dicha concesión</w:t>
      </w:r>
      <w:r w:rsidR="004B6939">
        <w:rPr>
          <w:rFonts w:ascii="Cambria" w:hAnsi="Cambria"/>
          <w:sz w:val="24"/>
          <w:szCs w:val="24"/>
        </w:rPr>
        <w:t xml:space="preserve"> (2.948 miles de euros en 2019)</w:t>
      </w:r>
      <w:r w:rsidR="003C65FE">
        <w:rPr>
          <w:rFonts w:ascii="Cambria" w:hAnsi="Cambria"/>
          <w:sz w:val="24"/>
          <w:szCs w:val="24"/>
        </w:rPr>
        <w:t>.</w:t>
      </w:r>
      <w:r>
        <w:rPr>
          <w:rFonts w:ascii="Cambria" w:hAnsi="Cambria"/>
          <w:sz w:val="24"/>
          <w:szCs w:val="24"/>
        </w:rPr>
        <w:t xml:space="preserve"> </w:t>
      </w:r>
      <w:r w:rsidR="00B864E4">
        <w:rPr>
          <w:rFonts w:ascii="Cambria" w:hAnsi="Cambria"/>
          <w:sz w:val="24"/>
          <w:szCs w:val="24"/>
        </w:rPr>
        <w:t xml:space="preserve">Igualmente, </w:t>
      </w:r>
      <w:r>
        <w:rPr>
          <w:rFonts w:ascii="Cambria" w:hAnsi="Cambria"/>
          <w:sz w:val="24"/>
          <w:szCs w:val="24"/>
        </w:rPr>
        <w:t xml:space="preserve">la Sociedad </w:t>
      </w:r>
      <w:r w:rsidR="004B6939">
        <w:rPr>
          <w:rFonts w:ascii="Cambria" w:hAnsi="Cambria"/>
          <w:sz w:val="24"/>
          <w:szCs w:val="24"/>
        </w:rPr>
        <w:t>desdotó</w:t>
      </w:r>
      <w:r>
        <w:rPr>
          <w:rFonts w:ascii="Cambria" w:hAnsi="Cambria"/>
          <w:sz w:val="24"/>
          <w:szCs w:val="24"/>
        </w:rPr>
        <w:t xml:space="preserve"> a cierre del ejercicio 2019, un importe de 510 miles de euros, registrados bajo el epígrafe de “Pérdidas, deterioro y variación de provisiones por operaciones comerciales” de la cuenta de pérdidas y ganancias adjunta.</w:t>
      </w:r>
      <w:r w:rsidR="004B6939">
        <w:rPr>
          <w:rFonts w:ascii="Cambria" w:hAnsi="Cambria"/>
          <w:sz w:val="24"/>
          <w:szCs w:val="24"/>
        </w:rPr>
        <w:t xml:space="preserve"> </w:t>
      </w:r>
    </w:p>
    <w:p w14:paraId="5A831413" w14:textId="71A60FEA" w:rsidR="004B6939" w:rsidRDefault="004B6939" w:rsidP="004B6939"/>
    <w:p w14:paraId="2435A2A5" w14:textId="38AD6B4F" w:rsidR="00742360" w:rsidRDefault="00742360">
      <w:pPr>
        <w:keepLines w:val="0"/>
        <w:widowControl/>
        <w:jc w:val="left"/>
        <w:rPr>
          <w:rFonts w:ascii="Cambria" w:hAnsi="Cambria"/>
          <w:sz w:val="24"/>
          <w:szCs w:val="24"/>
        </w:rPr>
      </w:pPr>
      <w:r>
        <w:rPr>
          <w:rFonts w:ascii="Cambria" w:hAnsi="Cambria"/>
          <w:sz w:val="24"/>
          <w:szCs w:val="24"/>
        </w:rPr>
        <w:br w:type="page"/>
      </w:r>
    </w:p>
    <w:p w14:paraId="6FFA8798" w14:textId="77777777" w:rsidR="00742360" w:rsidRDefault="00742360" w:rsidP="004B6939">
      <w:pPr>
        <w:pStyle w:val="Ttulo1a"/>
        <w:ind w:left="567"/>
        <w:rPr>
          <w:rFonts w:ascii="Cambria" w:hAnsi="Cambria"/>
          <w:sz w:val="24"/>
          <w:szCs w:val="24"/>
        </w:rPr>
      </w:pPr>
    </w:p>
    <w:p w14:paraId="0ABD7D3F" w14:textId="3CF5FABA" w:rsidR="004B6939" w:rsidRPr="004B6939" w:rsidRDefault="004B6939" w:rsidP="004B6939">
      <w:pPr>
        <w:pStyle w:val="Ttulo1a"/>
        <w:ind w:left="567"/>
        <w:rPr>
          <w:rFonts w:ascii="Cambria" w:hAnsi="Cambria"/>
          <w:sz w:val="24"/>
          <w:szCs w:val="24"/>
        </w:rPr>
      </w:pPr>
      <w:r w:rsidRPr="004B6939">
        <w:rPr>
          <w:rFonts w:ascii="Cambria" w:hAnsi="Cambria"/>
          <w:sz w:val="24"/>
          <w:szCs w:val="24"/>
        </w:rPr>
        <w:t xml:space="preserve">El importe registrado </w:t>
      </w:r>
      <w:r>
        <w:rPr>
          <w:rFonts w:ascii="Cambria" w:hAnsi="Cambria"/>
          <w:sz w:val="24"/>
          <w:szCs w:val="24"/>
        </w:rPr>
        <w:t xml:space="preserve">bajo el epígrafe de “Pérdidas, deterioro y variación de provisiones por operaciones comerciales” de la cuenta de pérdidas y ganancias adjunta, </w:t>
      </w:r>
      <w:r w:rsidRPr="004B6939">
        <w:rPr>
          <w:rFonts w:ascii="Cambria" w:hAnsi="Cambria"/>
          <w:sz w:val="24"/>
          <w:szCs w:val="24"/>
        </w:rPr>
        <w:t>en el ejercic</w:t>
      </w:r>
      <w:r>
        <w:rPr>
          <w:rFonts w:ascii="Cambria" w:hAnsi="Cambria"/>
          <w:sz w:val="24"/>
          <w:szCs w:val="24"/>
        </w:rPr>
        <w:t>i</w:t>
      </w:r>
      <w:r w:rsidRPr="004B6939">
        <w:rPr>
          <w:rFonts w:ascii="Cambria" w:hAnsi="Cambria"/>
          <w:sz w:val="24"/>
          <w:szCs w:val="24"/>
        </w:rPr>
        <w:t xml:space="preserve">o 2020 corresponde a la clasificación como definitivamente incobrable del crédito de dudoso cobro que la Sociedad </w:t>
      </w:r>
      <w:r>
        <w:rPr>
          <w:rFonts w:ascii="Cambria" w:hAnsi="Cambria"/>
          <w:sz w:val="24"/>
          <w:szCs w:val="24"/>
        </w:rPr>
        <w:t xml:space="preserve">tenía </w:t>
      </w:r>
      <w:r w:rsidR="00986B2F">
        <w:rPr>
          <w:rFonts w:ascii="Cambria" w:hAnsi="Cambria"/>
          <w:sz w:val="24"/>
          <w:szCs w:val="24"/>
        </w:rPr>
        <w:t xml:space="preserve">registrado </w:t>
      </w:r>
      <w:r>
        <w:rPr>
          <w:rFonts w:ascii="Cambria" w:hAnsi="Cambria"/>
          <w:sz w:val="24"/>
          <w:szCs w:val="24"/>
        </w:rPr>
        <w:t>con la fundación CEDDET.</w:t>
      </w:r>
    </w:p>
    <w:p w14:paraId="2DC0AEC2" w14:textId="77777777" w:rsidR="00A9510A" w:rsidRPr="004B6939" w:rsidRDefault="00A9510A" w:rsidP="00A9510A">
      <w:pPr>
        <w:rPr>
          <w:rFonts w:ascii="Cambria" w:hAnsi="Cambria"/>
          <w:sz w:val="24"/>
          <w:szCs w:val="24"/>
        </w:rPr>
      </w:pPr>
    </w:p>
    <w:p w14:paraId="4C82BC16" w14:textId="77777777" w:rsidR="000D1DB5" w:rsidRPr="00B9482F" w:rsidRDefault="006243EE" w:rsidP="00C32165">
      <w:pPr>
        <w:pStyle w:val="Ttulo2"/>
        <w:keepNext/>
        <w:ind w:left="567"/>
        <w:rPr>
          <w:rFonts w:ascii="Cambria" w:hAnsi="Cambria"/>
          <w:sz w:val="24"/>
          <w:szCs w:val="24"/>
        </w:rPr>
      </w:pPr>
      <w:bookmarkStart w:id="19" w:name="_Ref256418441"/>
      <w:r w:rsidRPr="00B9482F">
        <w:rPr>
          <w:rFonts w:ascii="Cambria" w:hAnsi="Cambria"/>
          <w:sz w:val="24"/>
          <w:szCs w:val="24"/>
        </w:rPr>
        <w:t>1</w:t>
      </w:r>
      <w:r w:rsidR="002C5320" w:rsidRPr="00B9482F">
        <w:rPr>
          <w:rFonts w:ascii="Cambria" w:hAnsi="Cambria"/>
          <w:sz w:val="24"/>
          <w:szCs w:val="24"/>
        </w:rPr>
        <w:t>3</w:t>
      </w:r>
      <w:r w:rsidR="000D1DB5" w:rsidRPr="00B9482F">
        <w:rPr>
          <w:rFonts w:ascii="Cambria" w:hAnsi="Cambria"/>
          <w:sz w:val="24"/>
          <w:szCs w:val="24"/>
        </w:rPr>
        <w:t>.</w:t>
      </w:r>
      <w:r w:rsidRPr="00B9482F">
        <w:rPr>
          <w:rFonts w:ascii="Cambria" w:hAnsi="Cambria"/>
          <w:sz w:val="24"/>
          <w:szCs w:val="24"/>
        </w:rPr>
        <w:t xml:space="preserve">2 </w:t>
      </w:r>
      <w:r w:rsidR="002E4C19" w:rsidRPr="00B9482F">
        <w:rPr>
          <w:rFonts w:ascii="Cambria" w:hAnsi="Cambria"/>
          <w:sz w:val="24"/>
          <w:szCs w:val="24"/>
        </w:rPr>
        <w:t xml:space="preserve">Otros ingresos de explotación </w:t>
      </w:r>
    </w:p>
    <w:p w14:paraId="4E7686A9" w14:textId="77777777" w:rsidR="002E4C19" w:rsidRPr="00B9482F" w:rsidRDefault="002E4C19" w:rsidP="00C32165">
      <w:pPr>
        <w:pStyle w:val="Ttulo1a"/>
        <w:ind w:left="567"/>
        <w:rPr>
          <w:rFonts w:ascii="Cambria" w:hAnsi="Cambria"/>
          <w:sz w:val="24"/>
          <w:szCs w:val="24"/>
        </w:rPr>
      </w:pPr>
    </w:p>
    <w:p w14:paraId="1CB3F8ED" w14:textId="4856967F" w:rsidR="003C65FE" w:rsidRPr="00F8465B" w:rsidRDefault="00C97A9E" w:rsidP="003C65FE">
      <w:pPr>
        <w:pStyle w:val="Ttulo1a"/>
        <w:ind w:left="567"/>
        <w:rPr>
          <w:rFonts w:ascii="Cambria" w:hAnsi="Cambria"/>
          <w:sz w:val="24"/>
          <w:szCs w:val="24"/>
        </w:rPr>
      </w:pPr>
      <w:r w:rsidRPr="00B9482F">
        <w:rPr>
          <w:rFonts w:ascii="Cambria" w:hAnsi="Cambria"/>
          <w:sz w:val="24"/>
          <w:szCs w:val="24"/>
        </w:rPr>
        <w:t>En 20</w:t>
      </w:r>
      <w:r w:rsidR="0041227D">
        <w:rPr>
          <w:rFonts w:ascii="Cambria" w:hAnsi="Cambria"/>
          <w:sz w:val="24"/>
          <w:szCs w:val="24"/>
        </w:rPr>
        <w:t>20</w:t>
      </w:r>
      <w:r w:rsidR="003C65FE">
        <w:rPr>
          <w:rFonts w:ascii="Cambria" w:hAnsi="Cambria"/>
          <w:sz w:val="24"/>
          <w:szCs w:val="24"/>
        </w:rPr>
        <w:t xml:space="preserve"> y 201</w:t>
      </w:r>
      <w:r w:rsidR="0041227D">
        <w:rPr>
          <w:rFonts w:ascii="Cambria" w:hAnsi="Cambria"/>
          <w:sz w:val="24"/>
          <w:szCs w:val="24"/>
        </w:rPr>
        <w:t>9</w:t>
      </w:r>
      <w:r w:rsidR="00A61CD2" w:rsidRPr="00B9482F">
        <w:rPr>
          <w:rFonts w:ascii="Cambria" w:hAnsi="Cambria"/>
          <w:sz w:val="24"/>
          <w:szCs w:val="24"/>
        </w:rPr>
        <w:t xml:space="preserve">, </w:t>
      </w:r>
      <w:r w:rsidR="003C65FE" w:rsidRPr="00F8465B">
        <w:rPr>
          <w:rFonts w:ascii="Cambria" w:hAnsi="Cambria"/>
          <w:sz w:val="24"/>
          <w:szCs w:val="24"/>
        </w:rPr>
        <w:t xml:space="preserve">el epígrafe de “Otros ingresos de explotación” recoge principalmente importes correspondientes a resoluciones de pleitos favorables a la Sociedad. </w:t>
      </w:r>
    </w:p>
    <w:p w14:paraId="15DA0DAF" w14:textId="77777777" w:rsidR="003C65FE" w:rsidRDefault="003C65FE" w:rsidP="00172B65">
      <w:pPr>
        <w:pStyle w:val="Ttulo1a"/>
        <w:ind w:left="567"/>
        <w:rPr>
          <w:rFonts w:ascii="Cambria" w:hAnsi="Cambria"/>
          <w:sz w:val="24"/>
          <w:szCs w:val="24"/>
        </w:rPr>
      </w:pPr>
    </w:p>
    <w:p w14:paraId="4AD9F521" w14:textId="4B90435B" w:rsidR="00A20CB6" w:rsidRDefault="003C65FE" w:rsidP="00172B65">
      <w:pPr>
        <w:pStyle w:val="Ttulo1a"/>
        <w:ind w:left="567"/>
        <w:rPr>
          <w:rFonts w:ascii="Cambria" w:hAnsi="Cambria"/>
          <w:sz w:val="24"/>
          <w:szCs w:val="24"/>
        </w:rPr>
      </w:pPr>
      <w:bookmarkStart w:id="20" w:name="_Hlk65752598"/>
      <w:r>
        <w:rPr>
          <w:rFonts w:ascii="Cambria" w:hAnsi="Cambria"/>
          <w:sz w:val="24"/>
          <w:szCs w:val="24"/>
        </w:rPr>
        <w:t xml:space="preserve">En particular, en el ejercicio </w:t>
      </w:r>
      <w:r w:rsidR="00512589">
        <w:rPr>
          <w:rFonts w:ascii="Cambria" w:hAnsi="Cambria"/>
          <w:sz w:val="24"/>
          <w:szCs w:val="24"/>
        </w:rPr>
        <w:t>2020 se ha</w:t>
      </w:r>
      <w:r w:rsidR="008A3A6D">
        <w:rPr>
          <w:rFonts w:ascii="Cambria" w:hAnsi="Cambria"/>
          <w:sz w:val="24"/>
          <w:szCs w:val="24"/>
        </w:rPr>
        <w:t>n</w:t>
      </w:r>
      <w:r w:rsidR="00512589">
        <w:rPr>
          <w:rFonts w:ascii="Cambria" w:hAnsi="Cambria"/>
          <w:sz w:val="24"/>
          <w:szCs w:val="24"/>
        </w:rPr>
        <w:t xml:space="preserve"> registrado </w:t>
      </w:r>
      <w:r w:rsidR="00016350">
        <w:rPr>
          <w:rFonts w:ascii="Cambria" w:hAnsi="Cambria"/>
          <w:sz w:val="24"/>
          <w:szCs w:val="24"/>
        </w:rPr>
        <w:t xml:space="preserve">bajo este epígrafe los ingresos derivados del </w:t>
      </w:r>
      <w:r w:rsidR="00512589">
        <w:rPr>
          <w:rFonts w:ascii="Cambria" w:hAnsi="Cambria"/>
          <w:sz w:val="24"/>
          <w:szCs w:val="24"/>
        </w:rPr>
        <w:t xml:space="preserve">acuerdo extrajudicial </w:t>
      </w:r>
      <w:r w:rsidR="00016350">
        <w:rPr>
          <w:rFonts w:ascii="Cambria" w:hAnsi="Cambria"/>
          <w:sz w:val="24"/>
          <w:szCs w:val="24"/>
        </w:rPr>
        <w:t xml:space="preserve">firmado </w:t>
      </w:r>
      <w:r w:rsidR="00512589">
        <w:rPr>
          <w:rFonts w:ascii="Cambria" w:hAnsi="Cambria"/>
          <w:sz w:val="24"/>
          <w:szCs w:val="24"/>
        </w:rPr>
        <w:t>entre la sociedad y el ex arrendatario del economato</w:t>
      </w:r>
      <w:r w:rsidR="00986B2F">
        <w:rPr>
          <w:rFonts w:ascii="Cambria" w:hAnsi="Cambria"/>
          <w:sz w:val="24"/>
          <w:szCs w:val="24"/>
        </w:rPr>
        <w:t xml:space="preserve"> de Ensidesa</w:t>
      </w:r>
      <w:r w:rsidR="00512589">
        <w:rPr>
          <w:rFonts w:ascii="Cambria" w:hAnsi="Cambria"/>
          <w:sz w:val="24"/>
          <w:szCs w:val="24"/>
        </w:rPr>
        <w:t xml:space="preserve">. </w:t>
      </w:r>
      <w:r w:rsidR="002D462B" w:rsidRPr="00016350">
        <w:rPr>
          <w:rFonts w:ascii="Cambria" w:hAnsi="Cambria"/>
          <w:sz w:val="24"/>
          <w:szCs w:val="24"/>
        </w:rPr>
        <w:t>Con fecha 26 de junio de 2020 se ha firmado un acuerdo extrajudicial entre ambas partes, en virtud del cual, Cofivacasa ha reconocido adeudar un total de 52 miles de euros</w:t>
      </w:r>
      <w:r w:rsidR="003B39EB">
        <w:rPr>
          <w:rFonts w:ascii="Cambria" w:hAnsi="Cambria"/>
          <w:sz w:val="24"/>
          <w:szCs w:val="24"/>
        </w:rPr>
        <w:t xml:space="preserve"> registrados bajo el epígrafe </w:t>
      </w:r>
      <w:r w:rsidR="00DA4445">
        <w:rPr>
          <w:rFonts w:ascii="Cambria" w:hAnsi="Cambria"/>
          <w:sz w:val="24"/>
          <w:szCs w:val="24"/>
        </w:rPr>
        <w:t>“otros gastos de explotación”</w:t>
      </w:r>
      <w:r w:rsidR="002D462B" w:rsidRPr="00016350">
        <w:rPr>
          <w:rFonts w:ascii="Cambria" w:hAnsi="Cambria"/>
          <w:sz w:val="24"/>
          <w:szCs w:val="24"/>
        </w:rPr>
        <w:t>, en concepto de indemnización por clientela prevista en el artículo 34 de la Ley de Arrendamientos Urbanos, mientras que el ex arrendatario ha reconocido adeudar a Cofivacasa un importe de 395 miles de euros por rentas pendientes</w:t>
      </w:r>
      <w:r w:rsidR="002D462B" w:rsidRPr="00016350">
        <w:rPr>
          <w:rFonts w:ascii="Cambria" w:hAnsi="Cambria"/>
          <w:color w:val="FF0000"/>
          <w:sz w:val="24"/>
          <w:szCs w:val="24"/>
        </w:rPr>
        <w:t>.</w:t>
      </w:r>
      <w:r w:rsidR="00016350">
        <w:rPr>
          <w:rFonts w:ascii="Cambria" w:hAnsi="Cambria"/>
          <w:color w:val="FF0000"/>
          <w:sz w:val="24"/>
          <w:szCs w:val="24"/>
        </w:rPr>
        <w:t xml:space="preserve"> </w:t>
      </w:r>
      <w:r w:rsidR="00512589" w:rsidRPr="00016350">
        <w:rPr>
          <w:rFonts w:ascii="Cambria" w:hAnsi="Cambria"/>
          <w:sz w:val="24"/>
          <w:szCs w:val="24"/>
        </w:rPr>
        <w:t xml:space="preserve">En el ejercicio </w:t>
      </w:r>
      <w:r w:rsidRPr="00016350">
        <w:rPr>
          <w:rFonts w:ascii="Cambria" w:hAnsi="Cambria"/>
          <w:sz w:val="24"/>
          <w:szCs w:val="24"/>
        </w:rPr>
        <w:t xml:space="preserve">2019 se </w:t>
      </w:r>
      <w:r w:rsidR="0041227D" w:rsidRPr="00016350">
        <w:rPr>
          <w:rFonts w:ascii="Cambria" w:hAnsi="Cambria"/>
          <w:sz w:val="24"/>
          <w:szCs w:val="24"/>
        </w:rPr>
        <w:t>registraron</w:t>
      </w:r>
      <w:r w:rsidR="00C97A9E" w:rsidRPr="00016350">
        <w:rPr>
          <w:rFonts w:ascii="Cambria" w:hAnsi="Cambria"/>
          <w:sz w:val="24"/>
          <w:szCs w:val="24"/>
        </w:rPr>
        <w:t xml:space="preserve"> </w:t>
      </w:r>
      <w:r w:rsidR="00172B65" w:rsidRPr="00016350">
        <w:rPr>
          <w:rFonts w:ascii="Cambria" w:hAnsi="Cambria"/>
          <w:sz w:val="24"/>
          <w:szCs w:val="24"/>
        </w:rPr>
        <w:t xml:space="preserve">los </w:t>
      </w:r>
      <w:r w:rsidRPr="00016350">
        <w:rPr>
          <w:rFonts w:ascii="Cambria" w:hAnsi="Cambria"/>
          <w:sz w:val="24"/>
          <w:szCs w:val="24"/>
        </w:rPr>
        <w:t xml:space="preserve">ingresos </w:t>
      </w:r>
      <w:r w:rsidR="008D45EC" w:rsidRPr="00016350">
        <w:rPr>
          <w:rFonts w:ascii="Cambria" w:hAnsi="Cambria"/>
          <w:sz w:val="24"/>
          <w:szCs w:val="24"/>
        </w:rPr>
        <w:t>correspond</w:t>
      </w:r>
      <w:r w:rsidR="00A61CD2" w:rsidRPr="00016350">
        <w:rPr>
          <w:rFonts w:ascii="Cambria" w:hAnsi="Cambria"/>
          <w:sz w:val="24"/>
          <w:szCs w:val="24"/>
        </w:rPr>
        <w:t>ientes</w:t>
      </w:r>
      <w:r w:rsidRPr="00016350">
        <w:rPr>
          <w:rFonts w:ascii="Cambria" w:hAnsi="Cambria"/>
          <w:sz w:val="24"/>
          <w:szCs w:val="24"/>
        </w:rPr>
        <w:t xml:space="preserve"> a ejercicios anteriores de la concesión del Canon portuario del Puerto de Sagunto.</w:t>
      </w:r>
      <w:r>
        <w:rPr>
          <w:rFonts w:ascii="Cambria" w:hAnsi="Cambria"/>
          <w:sz w:val="24"/>
          <w:szCs w:val="24"/>
        </w:rPr>
        <w:t xml:space="preserve"> </w:t>
      </w:r>
    </w:p>
    <w:p w14:paraId="269DD12D" w14:textId="77777777" w:rsidR="00A20CB6" w:rsidRDefault="00A20CB6" w:rsidP="00717592">
      <w:pPr>
        <w:keepLines w:val="0"/>
        <w:widowControl/>
        <w:jc w:val="left"/>
        <w:rPr>
          <w:rFonts w:ascii="Cambria" w:hAnsi="Cambria"/>
          <w:sz w:val="24"/>
          <w:szCs w:val="24"/>
        </w:rPr>
      </w:pPr>
    </w:p>
    <w:bookmarkEnd w:id="20"/>
    <w:p w14:paraId="0B98045A" w14:textId="435E2229" w:rsidR="002E0DB9" w:rsidRPr="00F8465B" w:rsidRDefault="00E94002" w:rsidP="003C65FE">
      <w:pPr>
        <w:pStyle w:val="Ttulo2"/>
        <w:keepNext/>
        <w:ind w:left="567"/>
        <w:rPr>
          <w:rFonts w:ascii="Cambria" w:hAnsi="Cambria"/>
          <w:sz w:val="24"/>
          <w:szCs w:val="24"/>
        </w:rPr>
      </w:pPr>
      <w:r w:rsidRPr="00F8465B">
        <w:rPr>
          <w:rFonts w:ascii="Cambria" w:hAnsi="Cambria"/>
          <w:sz w:val="24"/>
          <w:szCs w:val="24"/>
        </w:rPr>
        <w:t>1</w:t>
      </w:r>
      <w:r w:rsidR="002C5320" w:rsidRPr="00F8465B">
        <w:rPr>
          <w:rFonts w:ascii="Cambria" w:hAnsi="Cambria"/>
          <w:sz w:val="24"/>
          <w:szCs w:val="24"/>
        </w:rPr>
        <w:t>3</w:t>
      </w:r>
      <w:r w:rsidR="00361E2B" w:rsidRPr="00F8465B">
        <w:rPr>
          <w:rFonts w:ascii="Cambria" w:hAnsi="Cambria"/>
          <w:sz w:val="24"/>
          <w:szCs w:val="24"/>
        </w:rPr>
        <w:t>.</w:t>
      </w:r>
      <w:r w:rsidRPr="00F8465B">
        <w:rPr>
          <w:rFonts w:ascii="Cambria" w:hAnsi="Cambria"/>
          <w:sz w:val="24"/>
          <w:szCs w:val="24"/>
        </w:rPr>
        <w:t xml:space="preserve">3 </w:t>
      </w:r>
      <w:r w:rsidR="002E0DB9" w:rsidRPr="00F8465B">
        <w:rPr>
          <w:rFonts w:ascii="Cambria" w:hAnsi="Cambria"/>
          <w:sz w:val="24"/>
          <w:szCs w:val="24"/>
        </w:rPr>
        <w:t>Gastos de personal</w:t>
      </w:r>
      <w:bookmarkEnd w:id="19"/>
    </w:p>
    <w:p w14:paraId="61EBADC3" w14:textId="77777777" w:rsidR="002E0DB9" w:rsidRPr="00F8465B" w:rsidRDefault="002E0DB9" w:rsidP="00574AFA">
      <w:pPr>
        <w:ind w:left="426"/>
        <w:rPr>
          <w:rFonts w:ascii="Cambria" w:hAnsi="Cambria"/>
          <w:sz w:val="24"/>
          <w:szCs w:val="24"/>
        </w:rPr>
      </w:pPr>
    </w:p>
    <w:p w14:paraId="2975ED1B" w14:textId="6C82AE1C" w:rsidR="00F44A21" w:rsidRPr="00F8465B" w:rsidRDefault="00F44A21" w:rsidP="00C32165">
      <w:pPr>
        <w:pStyle w:val="Ttulo1a"/>
        <w:ind w:left="567"/>
        <w:rPr>
          <w:rFonts w:ascii="Cambria" w:hAnsi="Cambria"/>
          <w:sz w:val="24"/>
          <w:szCs w:val="24"/>
        </w:rPr>
      </w:pPr>
      <w:r w:rsidRPr="00F8465B">
        <w:rPr>
          <w:rFonts w:ascii="Cambria" w:hAnsi="Cambria"/>
          <w:sz w:val="24"/>
          <w:szCs w:val="24"/>
        </w:rPr>
        <w:t>El epígrafe “Gastos de personal”</w:t>
      </w:r>
      <w:r w:rsidR="00A61CD2" w:rsidRPr="00F8465B">
        <w:rPr>
          <w:rFonts w:ascii="Cambria" w:hAnsi="Cambria"/>
          <w:sz w:val="24"/>
          <w:szCs w:val="24"/>
        </w:rPr>
        <w:t>,</w:t>
      </w:r>
      <w:r w:rsidRPr="00F8465B">
        <w:rPr>
          <w:rFonts w:ascii="Cambria" w:hAnsi="Cambria"/>
          <w:sz w:val="24"/>
          <w:szCs w:val="24"/>
        </w:rPr>
        <w:t xml:space="preserve"> de la cuenta de pérdidas y ganancias de los ejercicios 20</w:t>
      </w:r>
      <w:r w:rsidR="0041227D">
        <w:rPr>
          <w:rFonts w:ascii="Cambria" w:hAnsi="Cambria"/>
          <w:sz w:val="24"/>
          <w:szCs w:val="24"/>
        </w:rPr>
        <w:t>20</w:t>
      </w:r>
      <w:r w:rsidRPr="00F8465B">
        <w:rPr>
          <w:rFonts w:ascii="Cambria" w:hAnsi="Cambria"/>
          <w:sz w:val="24"/>
          <w:szCs w:val="24"/>
        </w:rPr>
        <w:t xml:space="preserve"> y 20</w:t>
      </w:r>
      <w:r w:rsidR="006025FD" w:rsidRPr="00F8465B">
        <w:rPr>
          <w:rFonts w:ascii="Cambria" w:hAnsi="Cambria"/>
          <w:sz w:val="24"/>
          <w:szCs w:val="24"/>
        </w:rPr>
        <w:t>1</w:t>
      </w:r>
      <w:r w:rsidR="0041227D">
        <w:rPr>
          <w:rFonts w:ascii="Cambria" w:hAnsi="Cambria"/>
          <w:sz w:val="24"/>
          <w:szCs w:val="24"/>
        </w:rPr>
        <w:t>9</w:t>
      </w:r>
      <w:r w:rsidRPr="00F8465B">
        <w:rPr>
          <w:rFonts w:ascii="Cambria" w:hAnsi="Cambria"/>
          <w:sz w:val="24"/>
          <w:szCs w:val="24"/>
        </w:rPr>
        <w:t xml:space="preserve"> adjunta</w:t>
      </w:r>
      <w:r w:rsidR="00A61CD2" w:rsidRPr="00F8465B">
        <w:rPr>
          <w:rFonts w:ascii="Cambria" w:hAnsi="Cambria"/>
          <w:sz w:val="24"/>
          <w:szCs w:val="24"/>
        </w:rPr>
        <w:t>,</w:t>
      </w:r>
      <w:r w:rsidRPr="00F8465B">
        <w:rPr>
          <w:rFonts w:ascii="Cambria" w:hAnsi="Cambria"/>
          <w:sz w:val="24"/>
          <w:szCs w:val="24"/>
        </w:rPr>
        <w:t xml:space="preserve"> presenta la siguiente composición (en </w:t>
      </w:r>
      <w:r w:rsidR="002B3F3D" w:rsidRPr="00F8465B">
        <w:rPr>
          <w:rFonts w:ascii="Cambria" w:hAnsi="Cambria"/>
          <w:sz w:val="24"/>
          <w:szCs w:val="24"/>
        </w:rPr>
        <w:t xml:space="preserve">miles de </w:t>
      </w:r>
      <w:r w:rsidRPr="00F8465B">
        <w:rPr>
          <w:rFonts w:ascii="Cambria" w:hAnsi="Cambria"/>
          <w:sz w:val="24"/>
          <w:szCs w:val="24"/>
        </w:rPr>
        <w:t>euros):</w:t>
      </w:r>
    </w:p>
    <w:tbl>
      <w:tblPr>
        <w:tblW w:w="8504" w:type="dxa"/>
        <w:tblInd w:w="566" w:type="dxa"/>
        <w:tblCellMar>
          <w:left w:w="70" w:type="dxa"/>
          <w:right w:w="70" w:type="dxa"/>
        </w:tblCellMar>
        <w:tblLook w:val="04A0" w:firstRow="1" w:lastRow="0" w:firstColumn="1" w:lastColumn="0" w:noHBand="0" w:noVBand="1"/>
      </w:tblPr>
      <w:tblGrid>
        <w:gridCol w:w="6520"/>
        <w:gridCol w:w="992"/>
        <w:gridCol w:w="992"/>
      </w:tblGrid>
      <w:tr w:rsidR="0041227D" w:rsidRPr="00F8465B" w14:paraId="061CB5C4" w14:textId="77777777" w:rsidTr="0041227D">
        <w:trPr>
          <w:trHeight w:val="255"/>
        </w:trPr>
        <w:tc>
          <w:tcPr>
            <w:tcW w:w="6520" w:type="dxa"/>
            <w:tcBorders>
              <w:top w:val="nil"/>
              <w:left w:val="nil"/>
              <w:bottom w:val="single" w:sz="8" w:space="0" w:color="auto"/>
              <w:right w:val="nil"/>
            </w:tcBorders>
            <w:shd w:val="clear" w:color="000000" w:fill="FFFFFF"/>
            <w:noWrap/>
            <w:vAlign w:val="bottom"/>
          </w:tcPr>
          <w:p w14:paraId="2C15E16D" w14:textId="77777777" w:rsidR="0041227D" w:rsidRPr="00F8465B" w:rsidRDefault="0041227D" w:rsidP="0041227D">
            <w:pPr>
              <w:keepLines w:val="0"/>
              <w:widowControl/>
              <w:jc w:val="center"/>
              <w:rPr>
                <w:rFonts w:ascii="Cambria" w:hAnsi="Cambria"/>
                <w:sz w:val="20"/>
                <w:lang w:val="es-ES"/>
              </w:rPr>
            </w:pPr>
            <w:r w:rsidRPr="00F8465B">
              <w:rPr>
                <w:rFonts w:ascii="Cambria" w:hAnsi="Cambria"/>
                <w:sz w:val="20"/>
                <w:lang w:val="es-ES"/>
              </w:rPr>
              <w:t> </w:t>
            </w:r>
          </w:p>
        </w:tc>
        <w:tc>
          <w:tcPr>
            <w:tcW w:w="992" w:type="dxa"/>
            <w:tcBorders>
              <w:top w:val="single" w:sz="8" w:space="0" w:color="auto"/>
              <w:left w:val="single" w:sz="8" w:space="0" w:color="auto"/>
              <w:bottom w:val="single" w:sz="4" w:space="0" w:color="auto"/>
              <w:right w:val="single" w:sz="8" w:space="0" w:color="auto"/>
            </w:tcBorders>
            <w:shd w:val="clear" w:color="000000" w:fill="FFFFFF"/>
          </w:tcPr>
          <w:p w14:paraId="5E75EA69" w14:textId="492389B8" w:rsidR="0041227D" w:rsidRPr="00F8465B" w:rsidRDefault="0041227D" w:rsidP="0041227D">
            <w:pPr>
              <w:keepLines w:val="0"/>
              <w:widowControl/>
              <w:jc w:val="center"/>
              <w:rPr>
                <w:rFonts w:ascii="Cambria" w:hAnsi="Cambria"/>
                <w:b/>
                <w:bCs/>
                <w:snapToGrid w:val="0"/>
                <w:sz w:val="20"/>
                <w:lang w:val="es-ES"/>
              </w:rPr>
            </w:pPr>
            <w:r>
              <w:rPr>
                <w:rFonts w:ascii="Cambria" w:hAnsi="Cambria"/>
                <w:b/>
                <w:bCs/>
                <w:snapToGrid w:val="0"/>
                <w:sz w:val="20"/>
                <w:lang w:val="es-ES"/>
              </w:rPr>
              <w:t>2020</w:t>
            </w:r>
          </w:p>
        </w:tc>
        <w:tc>
          <w:tcPr>
            <w:tcW w:w="992" w:type="dxa"/>
            <w:tcBorders>
              <w:top w:val="single" w:sz="8" w:space="0" w:color="auto"/>
              <w:left w:val="single" w:sz="8" w:space="0" w:color="auto"/>
              <w:bottom w:val="single" w:sz="8" w:space="0" w:color="auto"/>
              <w:right w:val="single" w:sz="8" w:space="0" w:color="auto"/>
            </w:tcBorders>
            <w:shd w:val="clear" w:color="000000" w:fill="FFFFFF"/>
          </w:tcPr>
          <w:p w14:paraId="2A0E4190" w14:textId="259BF58E" w:rsidR="0041227D" w:rsidRDefault="0041227D" w:rsidP="0041227D">
            <w:pPr>
              <w:keepLines w:val="0"/>
              <w:widowControl/>
              <w:jc w:val="center"/>
              <w:rPr>
                <w:rFonts w:ascii="Cambria" w:hAnsi="Cambria"/>
                <w:b/>
                <w:bCs/>
                <w:snapToGrid w:val="0"/>
                <w:sz w:val="20"/>
                <w:lang w:val="es-ES"/>
              </w:rPr>
            </w:pPr>
            <w:r>
              <w:rPr>
                <w:rFonts w:ascii="Cambria" w:hAnsi="Cambria"/>
                <w:b/>
                <w:bCs/>
                <w:snapToGrid w:val="0"/>
                <w:sz w:val="20"/>
                <w:lang w:val="es-ES"/>
              </w:rPr>
              <w:t>2019</w:t>
            </w:r>
          </w:p>
        </w:tc>
      </w:tr>
      <w:tr w:rsidR="0041227D" w:rsidRPr="00F8465B" w14:paraId="570A7B6B" w14:textId="77777777" w:rsidTr="0041227D">
        <w:trPr>
          <w:cantSplit/>
          <w:trHeight w:val="255"/>
        </w:trPr>
        <w:tc>
          <w:tcPr>
            <w:tcW w:w="6520" w:type="dxa"/>
            <w:tcBorders>
              <w:top w:val="nil"/>
              <w:left w:val="single" w:sz="8" w:space="0" w:color="auto"/>
              <w:bottom w:val="nil"/>
              <w:right w:val="single" w:sz="4" w:space="0" w:color="auto"/>
            </w:tcBorders>
            <w:shd w:val="clear" w:color="000000" w:fill="FFFFFF"/>
          </w:tcPr>
          <w:p w14:paraId="1675E477" w14:textId="77777777" w:rsidR="0041227D" w:rsidRPr="00F8465B" w:rsidRDefault="0041227D" w:rsidP="0041227D">
            <w:pPr>
              <w:keepLines w:val="0"/>
              <w:widowControl/>
              <w:jc w:val="left"/>
              <w:rPr>
                <w:rFonts w:ascii="Cambria" w:hAnsi="Cambria"/>
                <w:sz w:val="18"/>
                <w:lang w:val="es-ES"/>
              </w:rPr>
            </w:pPr>
            <w:r w:rsidRPr="00F8465B">
              <w:rPr>
                <w:rFonts w:ascii="Cambria" w:hAnsi="Cambria"/>
                <w:snapToGrid w:val="0"/>
                <w:sz w:val="18"/>
                <w:lang w:val="es-ES"/>
              </w:rPr>
              <w:t> </w:t>
            </w:r>
          </w:p>
        </w:tc>
        <w:tc>
          <w:tcPr>
            <w:tcW w:w="992" w:type="dxa"/>
            <w:tcBorders>
              <w:top w:val="single" w:sz="4" w:space="0" w:color="auto"/>
              <w:left w:val="single" w:sz="4" w:space="0" w:color="auto"/>
              <w:bottom w:val="nil"/>
              <w:right w:val="single" w:sz="4" w:space="0" w:color="auto"/>
            </w:tcBorders>
            <w:shd w:val="clear" w:color="000000" w:fill="FFFFFF"/>
          </w:tcPr>
          <w:p w14:paraId="43CA6EEA" w14:textId="77777777" w:rsidR="0041227D" w:rsidRPr="00F8465B" w:rsidRDefault="0041227D" w:rsidP="0041227D">
            <w:pPr>
              <w:keepLines w:val="0"/>
              <w:widowControl/>
              <w:jc w:val="left"/>
              <w:rPr>
                <w:rFonts w:ascii="Cambria" w:hAnsi="Cambria"/>
                <w:snapToGrid w:val="0"/>
                <w:sz w:val="18"/>
                <w:lang w:val="es-ES"/>
              </w:rPr>
            </w:pPr>
          </w:p>
        </w:tc>
        <w:tc>
          <w:tcPr>
            <w:tcW w:w="992" w:type="dxa"/>
            <w:tcBorders>
              <w:top w:val="nil"/>
              <w:left w:val="single" w:sz="4" w:space="0" w:color="auto"/>
              <w:bottom w:val="nil"/>
              <w:right w:val="single" w:sz="4" w:space="0" w:color="auto"/>
            </w:tcBorders>
            <w:shd w:val="clear" w:color="000000" w:fill="FFFFFF"/>
          </w:tcPr>
          <w:p w14:paraId="1C13F47B" w14:textId="77777777" w:rsidR="0041227D" w:rsidRPr="00F8465B" w:rsidRDefault="0041227D" w:rsidP="0041227D">
            <w:pPr>
              <w:keepLines w:val="0"/>
              <w:widowControl/>
              <w:jc w:val="left"/>
              <w:rPr>
                <w:rFonts w:ascii="Cambria" w:hAnsi="Cambria"/>
                <w:snapToGrid w:val="0"/>
                <w:sz w:val="18"/>
                <w:lang w:val="es-ES"/>
              </w:rPr>
            </w:pPr>
          </w:p>
        </w:tc>
      </w:tr>
      <w:tr w:rsidR="0041227D" w:rsidRPr="00F8465B" w14:paraId="70A48B74" w14:textId="77777777" w:rsidTr="0041227D">
        <w:trPr>
          <w:cantSplit/>
          <w:trHeight w:val="255"/>
        </w:trPr>
        <w:tc>
          <w:tcPr>
            <w:tcW w:w="6520" w:type="dxa"/>
            <w:tcBorders>
              <w:top w:val="nil"/>
              <w:left w:val="single" w:sz="8" w:space="0" w:color="auto"/>
              <w:bottom w:val="nil"/>
              <w:right w:val="single" w:sz="4" w:space="0" w:color="auto"/>
            </w:tcBorders>
            <w:shd w:val="clear" w:color="000000" w:fill="FFFFFF"/>
          </w:tcPr>
          <w:p w14:paraId="482D9468" w14:textId="77777777" w:rsidR="0041227D" w:rsidRPr="00F8465B" w:rsidRDefault="0041227D" w:rsidP="0041227D">
            <w:pPr>
              <w:keepLines w:val="0"/>
              <w:widowControl/>
              <w:jc w:val="left"/>
              <w:rPr>
                <w:rFonts w:ascii="Cambria" w:hAnsi="Cambria"/>
                <w:sz w:val="20"/>
                <w:lang w:val="es-ES"/>
              </w:rPr>
            </w:pPr>
            <w:r w:rsidRPr="00F8465B">
              <w:rPr>
                <w:rFonts w:ascii="Cambria" w:hAnsi="Cambria"/>
                <w:snapToGrid w:val="0"/>
                <w:sz w:val="20"/>
                <w:lang w:val="es-ES"/>
              </w:rPr>
              <w:t>Sueldos, salarios y asimilados</w:t>
            </w:r>
          </w:p>
        </w:tc>
        <w:tc>
          <w:tcPr>
            <w:tcW w:w="992" w:type="dxa"/>
            <w:tcBorders>
              <w:top w:val="nil"/>
              <w:left w:val="single" w:sz="4" w:space="0" w:color="auto"/>
              <w:bottom w:val="nil"/>
              <w:right w:val="single" w:sz="4" w:space="0" w:color="auto"/>
            </w:tcBorders>
            <w:shd w:val="clear" w:color="000000" w:fill="FFFFFF"/>
          </w:tcPr>
          <w:p w14:paraId="17A34023" w14:textId="4DD97207" w:rsidR="0041227D" w:rsidRPr="00F8465B" w:rsidRDefault="0041227D" w:rsidP="0041227D">
            <w:pPr>
              <w:keepLines w:val="0"/>
              <w:widowControl/>
              <w:jc w:val="right"/>
              <w:rPr>
                <w:rFonts w:ascii="Cambria" w:hAnsi="Cambria"/>
                <w:sz w:val="20"/>
                <w:lang w:val="es-ES"/>
              </w:rPr>
            </w:pPr>
            <w:r>
              <w:rPr>
                <w:rFonts w:ascii="Cambria" w:hAnsi="Cambria"/>
                <w:sz w:val="20"/>
                <w:lang w:val="es-ES"/>
              </w:rPr>
              <w:t>1.150</w:t>
            </w:r>
          </w:p>
        </w:tc>
        <w:tc>
          <w:tcPr>
            <w:tcW w:w="992" w:type="dxa"/>
            <w:tcBorders>
              <w:top w:val="nil"/>
              <w:left w:val="single" w:sz="4" w:space="0" w:color="auto"/>
              <w:bottom w:val="nil"/>
              <w:right w:val="single" w:sz="4" w:space="0" w:color="auto"/>
            </w:tcBorders>
            <w:shd w:val="clear" w:color="000000" w:fill="FFFFFF"/>
          </w:tcPr>
          <w:p w14:paraId="6B02B91C" w14:textId="6B281130" w:rsidR="0041227D" w:rsidRDefault="0041227D" w:rsidP="0041227D">
            <w:pPr>
              <w:keepLines w:val="0"/>
              <w:widowControl/>
              <w:jc w:val="right"/>
              <w:rPr>
                <w:rFonts w:ascii="Cambria" w:hAnsi="Cambria"/>
                <w:sz w:val="20"/>
                <w:lang w:val="es-ES"/>
              </w:rPr>
            </w:pPr>
            <w:r>
              <w:rPr>
                <w:rFonts w:ascii="Cambria" w:hAnsi="Cambria"/>
                <w:sz w:val="20"/>
                <w:lang w:val="es-ES"/>
              </w:rPr>
              <w:t>1.077</w:t>
            </w:r>
          </w:p>
        </w:tc>
      </w:tr>
      <w:tr w:rsidR="0041227D" w:rsidRPr="00F8465B" w14:paraId="5321E654" w14:textId="77777777" w:rsidTr="0041227D">
        <w:trPr>
          <w:cantSplit/>
          <w:trHeight w:val="255"/>
        </w:trPr>
        <w:tc>
          <w:tcPr>
            <w:tcW w:w="6520" w:type="dxa"/>
            <w:tcBorders>
              <w:top w:val="nil"/>
              <w:left w:val="single" w:sz="8" w:space="0" w:color="auto"/>
              <w:bottom w:val="nil"/>
              <w:right w:val="single" w:sz="4" w:space="0" w:color="auto"/>
            </w:tcBorders>
            <w:shd w:val="clear" w:color="000000" w:fill="FFFFFF"/>
          </w:tcPr>
          <w:p w14:paraId="7386C791" w14:textId="77777777" w:rsidR="0041227D" w:rsidRPr="00F8465B" w:rsidRDefault="0041227D" w:rsidP="0041227D">
            <w:pPr>
              <w:keepLines w:val="0"/>
              <w:widowControl/>
              <w:jc w:val="left"/>
              <w:rPr>
                <w:rFonts w:ascii="Cambria" w:hAnsi="Cambria"/>
                <w:sz w:val="20"/>
                <w:lang w:val="es-ES"/>
              </w:rPr>
            </w:pPr>
            <w:r w:rsidRPr="00F8465B">
              <w:rPr>
                <w:rFonts w:ascii="Cambria" w:hAnsi="Cambria"/>
                <w:snapToGrid w:val="0"/>
                <w:sz w:val="20"/>
                <w:lang w:val="es-ES"/>
              </w:rPr>
              <w:t>Seguridad Social a cargo de la empresa</w:t>
            </w:r>
          </w:p>
        </w:tc>
        <w:tc>
          <w:tcPr>
            <w:tcW w:w="992" w:type="dxa"/>
            <w:tcBorders>
              <w:top w:val="nil"/>
              <w:left w:val="single" w:sz="4" w:space="0" w:color="auto"/>
              <w:bottom w:val="nil"/>
              <w:right w:val="single" w:sz="4" w:space="0" w:color="auto"/>
            </w:tcBorders>
            <w:shd w:val="clear" w:color="000000" w:fill="FFFFFF"/>
          </w:tcPr>
          <w:p w14:paraId="14A2EB35" w14:textId="19FBDF24" w:rsidR="0041227D" w:rsidRPr="00F8465B" w:rsidRDefault="0041227D" w:rsidP="0041227D">
            <w:pPr>
              <w:keepLines w:val="0"/>
              <w:widowControl/>
              <w:jc w:val="right"/>
              <w:rPr>
                <w:rFonts w:ascii="Cambria" w:hAnsi="Cambria"/>
                <w:sz w:val="20"/>
                <w:lang w:val="es-ES"/>
              </w:rPr>
            </w:pPr>
            <w:r>
              <w:rPr>
                <w:rFonts w:ascii="Cambria" w:hAnsi="Cambria"/>
                <w:sz w:val="20"/>
                <w:lang w:val="es-ES"/>
              </w:rPr>
              <w:t>283</w:t>
            </w:r>
          </w:p>
        </w:tc>
        <w:tc>
          <w:tcPr>
            <w:tcW w:w="992" w:type="dxa"/>
            <w:tcBorders>
              <w:top w:val="nil"/>
              <w:left w:val="single" w:sz="4" w:space="0" w:color="auto"/>
              <w:bottom w:val="nil"/>
              <w:right w:val="single" w:sz="4" w:space="0" w:color="auto"/>
            </w:tcBorders>
            <w:shd w:val="clear" w:color="000000" w:fill="FFFFFF"/>
          </w:tcPr>
          <w:p w14:paraId="0BE3669C" w14:textId="7B285F03" w:rsidR="0041227D" w:rsidRDefault="0041227D" w:rsidP="0041227D">
            <w:pPr>
              <w:keepLines w:val="0"/>
              <w:widowControl/>
              <w:jc w:val="right"/>
              <w:rPr>
                <w:rFonts w:ascii="Cambria" w:hAnsi="Cambria"/>
                <w:sz w:val="20"/>
                <w:lang w:val="es-ES"/>
              </w:rPr>
            </w:pPr>
            <w:r>
              <w:rPr>
                <w:rFonts w:ascii="Cambria" w:hAnsi="Cambria"/>
                <w:sz w:val="20"/>
                <w:lang w:val="es-ES"/>
              </w:rPr>
              <w:t>250</w:t>
            </w:r>
          </w:p>
        </w:tc>
      </w:tr>
      <w:tr w:rsidR="0041227D" w:rsidRPr="00F8465B" w14:paraId="1DF57724" w14:textId="77777777" w:rsidTr="0041227D">
        <w:trPr>
          <w:cantSplit/>
          <w:trHeight w:val="255"/>
        </w:trPr>
        <w:tc>
          <w:tcPr>
            <w:tcW w:w="6520" w:type="dxa"/>
            <w:tcBorders>
              <w:top w:val="nil"/>
              <w:left w:val="single" w:sz="8" w:space="0" w:color="auto"/>
              <w:bottom w:val="nil"/>
              <w:right w:val="single" w:sz="4" w:space="0" w:color="auto"/>
            </w:tcBorders>
            <w:shd w:val="clear" w:color="000000" w:fill="FFFFFF"/>
          </w:tcPr>
          <w:p w14:paraId="568E02B3" w14:textId="77777777" w:rsidR="0041227D" w:rsidRPr="00F8465B" w:rsidRDefault="0041227D" w:rsidP="0041227D">
            <w:pPr>
              <w:keepLines w:val="0"/>
              <w:widowControl/>
              <w:jc w:val="left"/>
              <w:rPr>
                <w:rFonts w:ascii="Cambria" w:hAnsi="Cambria"/>
                <w:sz w:val="20"/>
                <w:lang w:val="es-ES"/>
              </w:rPr>
            </w:pPr>
            <w:r w:rsidRPr="00F8465B">
              <w:rPr>
                <w:rFonts w:ascii="Cambria" w:hAnsi="Cambria"/>
                <w:snapToGrid w:val="0"/>
                <w:sz w:val="20"/>
                <w:lang w:val="es-ES"/>
              </w:rPr>
              <w:t>Otras Cargas Sociales</w:t>
            </w:r>
          </w:p>
        </w:tc>
        <w:tc>
          <w:tcPr>
            <w:tcW w:w="992" w:type="dxa"/>
            <w:tcBorders>
              <w:top w:val="nil"/>
              <w:left w:val="single" w:sz="4" w:space="0" w:color="auto"/>
              <w:bottom w:val="nil"/>
              <w:right w:val="single" w:sz="4" w:space="0" w:color="auto"/>
            </w:tcBorders>
            <w:shd w:val="clear" w:color="000000" w:fill="FFFFFF"/>
          </w:tcPr>
          <w:p w14:paraId="210A733B" w14:textId="39F28334" w:rsidR="0041227D" w:rsidRPr="00F8465B" w:rsidRDefault="0041227D" w:rsidP="0041227D">
            <w:pPr>
              <w:keepLines w:val="0"/>
              <w:widowControl/>
              <w:jc w:val="right"/>
              <w:rPr>
                <w:rFonts w:ascii="Cambria" w:hAnsi="Cambria"/>
                <w:sz w:val="20"/>
                <w:lang w:val="es-ES"/>
              </w:rPr>
            </w:pPr>
            <w:r>
              <w:rPr>
                <w:rFonts w:ascii="Cambria" w:hAnsi="Cambria"/>
                <w:sz w:val="20"/>
                <w:lang w:val="es-ES"/>
              </w:rPr>
              <w:t>73</w:t>
            </w:r>
          </w:p>
        </w:tc>
        <w:tc>
          <w:tcPr>
            <w:tcW w:w="992" w:type="dxa"/>
            <w:tcBorders>
              <w:top w:val="nil"/>
              <w:left w:val="single" w:sz="4" w:space="0" w:color="auto"/>
              <w:bottom w:val="nil"/>
              <w:right w:val="single" w:sz="4" w:space="0" w:color="auto"/>
            </w:tcBorders>
            <w:shd w:val="clear" w:color="000000" w:fill="FFFFFF"/>
          </w:tcPr>
          <w:p w14:paraId="23D3BF6B" w14:textId="56D1EA9A" w:rsidR="0041227D" w:rsidRDefault="0041227D" w:rsidP="0041227D">
            <w:pPr>
              <w:keepLines w:val="0"/>
              <w:widowControl/>
              <w:jc w:val="right"/>
              <w:rPr>
                <w:rFonts w:ascii="Cambria" w:hAnsi="Cambria"/>
                <w:sz w:val="20"/>
                <w:lang w:val="es-ES"/>
              </w:rPr>
            </w:pPr>
            <w:r>
              <w:rPr>
                <w:rFonts w:ascii="Cambria" w:hAnsi="Cambria"/>
                <w:sz w:val="20"/>
                <w:lang w:val="es-ES"/>
              </w:rPr>
              <w:t>110</w:t>
            </w:r>
          </w:p>
        </w:tc>
      </w:tr>
      <w:tr w:rsidR="0041227D" w:rsidRPr="00F8465B" w14:paraId="07214D6A" w14:textId="77777777" w:rsidTr="0041227D">
        <w:trPr>
          <w:cantSplit/>
          <w:trHeight w:val="255"/>
        </w:trPr>
        <w:tc>
          <w:tcPr>
            <w:tcW w:w="6520" w:type="dxa"/>
            <w:tcBorders>
              <w:top w:val="nil"/>
              <w:left w:val="single" w:sz="8" w:space="0" w:color="auto"/>
              <w:bottom w:val="nil"/>
              <w:right w:val="single" w:sz="4" w:space="0" w:color="auto"/>
            </w:tcBorders>
            <w:shd w:val="clear" w:color="000000" w:fill="FFFFFF"/>
          </w:tcPr>
          <w:p w14:paraId="6CE85F64" w14:textId="4DC328B9" w:rsidR="0041227D" w:rsidRPr="00F8465B" w:rsidRDefault="0041227D" w:rsidP="0041227D">
            <w:pPr>
              <w:keepLines w:val="0"/>
              <w:widowControl/>
              <w:jc w:val="left"/>
              <w:rPr>
                <w:rFonts w:ascii="Cambria" w:hAnsi="Cambria"/>
                <w:sz w:val="20"/>
                <w:lang w:val="es-ES"/>
              </w:rPr>
            </w:pPr>
            <w:r>
              <w:rPr>
                <w:rFonts w:ascii="Cambria" w:hAnsi="Cambria"/>
                <w:snapToGrid w:val="0"/>
                <w:sz w:val="20"/>
                <w:lang w:val="es-ES"/>
              </w:rPr>
              <w:t>Dotación/ (</w:t>
            </w:r>
            <w:r w:rsidRPr="00F8465B">
              <w:rPr>
                <w:rFonts w:ascii="Cambria" w:hAnsi="Cambria"/>
                <w:snapToGrid w:val="0"/>
                <w:sz w:val="20"/>
                <w:lang w:val="es-ES"/>
              </w:rPr>
              <w:t>Exceso</w:t>
            </w:r>
            <w:r>
              <w:rPr>
                <w:rFonts w:ascii="Cambria" w:hAnsi="Cambria"/>
                <w:snapToGrid w:val="0"/>
                <w:sz w:val="20"/>
                <w:lang w:val="es-ES"/>
              </w:rPr>
              <w:t>)</w:t>
            </w:r>
            <w:r w:rsidRPr="00F8465B">
              <w:rPr>
                <w:rFonts w:ascii="Cambria" w:hAnsi="Cambria"/>
                <w:snapToGrid w:val="0"/>
                <w:sz w:val="20"/>
                <w:lang w:val="es-ES"/>
              </w:rPr>
              <w:t xml:space="preserve"> de provisiones (Nota 11</w:t>
            </w:r>
            <w:r>
              <w:rPr>
                <w:rFonts w:ascii="Cambria" w:hAnsi="Cambria"/>
                <w:snapToGrid w:val="0"/>
                <w:sz w:val="20"/>
                <w:lang w:val="es-ES"/>
              </w:rPr>
              <w:t>.1</w:t>
            </w:r>
            <w:r w:rsidRPr="00F8465B">
              <w:rPr>
                <w:rFonts w:ascii="Cambria" w:hAnsi="Cambria"/>
                <w:snapToGrid w:val="0"/>
                <w:sz w:val="20"/>
                <w:lang w:val="es-ES"/>
              </w:rPr>
              <w:t>)</w:t>
            </w:r>
          </w:p>
        </w:tc>
        <w:tc>
          <w:tcPr>
            <w:tcW w:w="992" w:type="dxa"/>
            <w:tcBorders>
              <w:top w:val="nil"/>
              <w:left w:val="single" w:sz="4" w:space="0" w:color="auto"/>
              <w:bottom w:val="nil"/>
              <w:right w:val="single" w:sz="4" w:space="0" w:color="auto"/>
            </w:tcBorders>
            <w:shd w:val="clear" w:color="000000" w:fill="FFFFFF"/>
          </w:tcPr>
          <w:p w14:paraId="29A06BD3" w14:textId="5144C8BC" w:rsidR="0041227D" w:rsidRPr="00F8465B" w:rsidRDefault="0041227D" w:rsidP="0041227D">
            <w:pPr>
              <w:keepLines w:val="0"/>
              <w:widowControl/>
              <w:jc w:val="right"/>
              <w:rPr>
                <w:rFonts w:ascii="Cambria" w:hAnsi="Cambria"/>
                <w:sz w:val="20"/>
                <w:lang w:val="es-ES"/>
              </w:rPr>
            </w:pPr>
            <w:r>
              <w:rPr>
                <w:rFonts w:ascii="Cambria" w:hAnsi="Cambria"/>
                <w:sz w:val="20"/>
                <w:lang w:val="es-ES"/>
              </w:rPr>
              <w:t>92</w:t>
            </w:r>
          </w:p>
        </w:tc>
        <w:tc>
          <w:tcPr>
            <w:tcW w:w="992" w:type="dxa"/>
            <w:tcBorders>
              <w:top w:val="nil"/>
              <w:left w:val="single" w:sz="4" w:space="0" w:color="auto"/>
              <w:bottom w:val="nil"/>
              <w:right w:val="single" w:sz="4" w:space="0" w:color="auto"/>
            </w:tcBorders>
            <w:shd w:val="clear" w:color="000000" w:fill="FFFFFF"/>
          </w:tcPr>
          <w:p w14:paraId="3228E34D" w14:textId="4E22012B" w:rsidR="0041227D" w:rsidRDefault="0041227D" w:rsidP="0041227D">
            <w:pPr>
              <w:keepLines w:val="0"/>
              <w:widowControl/>
              <w:jc w:val="right"/>
              <w:rPr>
                <w:rFonts w:ascii="Cambria" w:hAnsi="Cambria"/>
                <w:sz w:val="20"/>
                <w:lang w:val="es-ES"/>
              </w:rPr>
            </w:pPr>
            <w:r>
              <w:rPr>
                <w:rFonts w:ascii="Cambria" w:hAnsi="Cambria"/>
                <w:sz w:val="20"/>
                <w:lang w:val="es-ES"/>
              </w:rPr>
              <w:t>1.825</w:t>
            </w:r>
          </w:p>
        </w:tc>
      </w:tr>
      <w:tr w:rsidR="0041227D" w:rsidRPr="00F8465B" w14:paraId="537493E7" w14:textId="77777777" w:rsidTr="0041227D">
        <w:trPr>
          <w:cantSplit/>
          <w:trHeight w:val="255"/>
        </w:trPr>
        <w:tc>
          <w:tcPr>
            <w:tcW w:w="6520" w:type="dxa"/>
            <w:tcBorders>
              <w:top w:val="nil"/>
              <w:left w:val="single" w:sz="8" w:space="0" w:color="auto"/>
              <w:bottom w:val="single" w:sz="4" w:space="0" w:color="auto"/>
              <w:right w:val="single" w:sz="4" w:space="0" w:color="auto"/>
            </w:tcBorders>
            <w:shd w:val="clear" w:color="000000" w:fill="FFFFFF"/>
          </w:tcPr>
          <w:p w14:paraId="23A393EE" w14:textId="77777777" w:rsidR="0041227D" w:rsidRPr="00F8465B" w:rsidRDefault="0041227D" w:rsidP="0041227D">
            <w:pPr>
              <w:keepLines w:val="0"/>
              <w:widowControl/>
              <w:jc w:val="left"/>
              <w:rPr>
                <w:rFonts w:ascii="Cambria" w:hAnsi="Cambria"/>
                <w:snapToGrid w:val="0"/>
                <w:sz w:val="20"/>
                <w:lang w:val="es-ES"/>
              </w:rPr>
            </w:pPr>
            <w:r w:rsidRPr="00F8465B">
              <w:rPr>
                <w:rFonts w:ascii="Cambria" w:hAnsi="Cambria"/>
                <w:snapToGrid w:val="0"/>
                <w:sz w:val="20"/>
                <w:lang w:val="es-ES"/>
              </w:rPr>
              <w:t>Extornos de pólizas</w:t>
            </w:r>
          </w:p>
        </w:tc>
        <w:tc>
          <w:tcPr>
            <w:tcW w:w="992" w:type="dxa"/>
            <w:tcBorders>
              <w:top w:val="nil"/>
              <w:left w:val="single" w:sz="4" w:space="0" w:color="auto"/>
              <w:bottom w:val="single" w:sz="4" w:space="0" w:color="auto"/>
              <w:right w:val="single" w:sz="4" w:space="0" w:color="auto"/>
            </w:tcBorders>
            <w:shd w:val="clear" w:color="000000" w:fill="FFFFFF"/>
          </w:tcPr>
          <w:p w14:paraId="556EE2AF" w14:textId="612CA7DD" w:rsidR="0041227D" w:rsidRPr="00F8465B" w:rsidRDefault="0041227D" w:rsidP="0041227D">
            <w:pPr>
              <w:keepLines w:val="0"/>
              <w:widowControl/>
              <w:jc w:val="right"/>
              <w:rPr>
                <w:rFonts w:ascii="Cambria" w:hAnsi="Cambria"/>
                <w:sz w:val="20"/>
                <w:lang w:val="es-ES"/>
              </w:rPr>
            </w:pPr>
            <w:r>
              <w:rPr>
                <w:rFonts w:ascii="Cambria" w:hAnsi="Cambria"/>
                <w:sz w:val="20"/>
                <w:lang w:val="es-ES"/>
              </w:rPr>
              <w:t>(5</w:t>
            </w:r>
            <w:r w:rsidRPr="00F8465B">
              <w:rPr>
                <w:rFonts w:ascii="Cambria" w:hAnsi="Cambria"/>
                <w:sz w:val="20"/>
                <w:lang w:val="es-ES"/>
              </w:rPr>
              <w:t>)</w:t>
            </w:r>
          </w:p>
        </w:tc>
        <w:tc>
          <w:tcPr>
            <w:tcW w:w="992" w:type="dxa"/>
            <w:tcBorders>
              <w:top w:val="nil"/>
              <w:left w:val="single" w:sz="4" w:space="0" w:color="auto"/>
              <w:bottom w:val="single" w:sz="4" w:space="0" w:color="auto"/>
              <w:right w:val="single" w:sz="4" w:space="0" w:color="auto"/>
            </w:tcBorders>
            <w:shd w:val="clear" w:color="000000" w:fill="FFFFFF"/>
          </w:tcPr>
          <w:p w14:paraId="00798E98" w14:textId="0993A5B1" w:rsidR="0041227D" w:rsidRDefault="0041227D" w:rsidP="0041227D">
            <w:pPr>
              <w:keepLines w:val="0"/>
              <w:widowControl/>
              <w:jc w:val="right"/>
              <w:rPr>
                <w:rFonts w:ascii="Cambria" w:hAnsi="Cambria"/>
                <w:sz w:val="20"/>
                <w:lang w:val="es-ES"/>
              </w:rPr>
            </w:pPr>
            <w:r>
              <w:rPr>
                <w:rFonts w:ascii="Cambria" w:hAnsi="Cambria"/>
                <w:sz w:val="20"/>
                <w:lang w:val="es-ES"/>
              </w:rPr>
              <w:t>(121</w:t>
            </w:r>
            <w:r w:rsidRPr="00F8465B">
              <w:rPr>
                <w:rFonts w:ascii="Cambria" w:hAnsi="Cambria"/>
                <w:sz w:val="20"/>
                <w:lang w:val="es-ES"/>
              </w:rPr>
              <w:t>)</w:t>
            </w:r>
          </w:p>
        </w:tc>
      </w:tr>
      <w:tr w:rsidR="0041227D" w:rsidRPr="00F8465B" w14:paraId="73854100" w14:textId="77777777" w:rsidTr="0041227D">
        <w:trPr>
          <w:cantSplit/>
          <w:trHeight w:val="255"/>
        </w:trPr>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A5AF4C9" w14:textId="77777777" w:rsidR="0041227D" w:rsidRPr="00F8465B" w:rsidRDefault="0041227D" w:rsidP="0041227D">
            <w:pPr>
              <w:keepLines w:val="0"/>
              <w:widowControl/>
              <w:jc w:val="left"/>
              <w:rPr>
                <w:rFonts w:ascii="Cambria" w:hAnsi="Cambria"/>
                <w:b/>
                <w:bCs/>
                <w:sz w:val="20"/>
                <w:lang w:val="es-ES"/>
              </w:rPr>
            </w:pPr>
            <w:r w:rsidRPr="00F8465B">
              <w:rPr>
                <w:rFonts w:ascii="Cambria" w:hAnsi="Cambria"/>
                <w:b/>
                <w:bCs/>
                <w:snapToGrid w:val="0"/>
                <w:sz w:val="20"/>
                <w:lang w:val="es-ES"/>
              </w:rPr>
              <w:t>Total</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E6DA420" w14:textId="4927AD21" w:rsidR="0041227D" w:rsidRPr="00F8465B" w:rsidRDefault="0041227D" w:rsidP="0041227D">
            <w:pPr>
              <w:keepLines w:val="0"/>
              <w:widowControl/>
              <w:jc w:val="right"/>
              <w:rPr>
                <w:rFonts w:ascii="Cambria" w:hAnsi="Cambria"/>
                <w:b/>
                <w:bCs/>
                <w:sz w:val="20"/>
                <w:lang w:val="es-ES"/>
              </w:rPr>
            </w:pPr>
            <w:r>
              <w:rPr>
                <w:rFonts w:ascii="Cambria" w:hAnsi="Cambria"/>
                <w:b/>
                <w:bCs/>
                <w:sz w:val="20"/>
                <w:lang w:val="es-ES"/>
              </w:rPr>
              <w:t>1.593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74592AD" w14:textId="00482D54" w:rsidR="0041227D" w:rsidRDefault="0041227D" w:rsidP="0041227D">
            <w:pPr>
              <w:keepLines w:val="0"/>
              <w:widowControl/>
              <w:jc w:val="right"/>
              <w:rPr>
                <w:rFonts w:ascii="Cambria" w:hAnsi="Cambria"/>
                <w:b/>
                <w:bCs/>
                <w:sz w:val="20"/>
                <w:lang w:val="es-ES"/>
              </w:rPr>
            </w:pPr>
            <w:r>
              <w:rPr>
                <w:rFonts w:ascii="Cambria" w:hAnsi="Cambria"/>
                <w:b/>
                <w:bCs/>
                <w:sz w:val="20"/>
                <w:lang w:val="es-ES"/>
              </w:rPr>
              <w:t>3.141</w:t>
            </w:r>
          </w:p>
        </w:tc>
      </w:tr>
    </w:tbl>
    <w:p w14:paraId="5A1B8F90" w14:textId="77777777" w:rsidR="00717592" w:rsidRPr="00F8465B" w:rsidRDefault="00717592">
      <w:pPr>
        <w:keepLines w:val="0"/>
        <w:widowControl/>
        <w:jc w:val="left"/>
        <w:rPr>
          <w:rFonts w:ascii="Cambria" w:hAnsi="Cambria" w:cs="Arial"/>
          <w:b/>
          <w:bCs/>
          <w:sz w:val="24"/>
          <w:szCs w:val="24"/>
          <w:lang w:val="es-ES"/>
        </w:rPr>
      </w:pPr>
    </w:p>
    <w:p w14:paraId="7228307F" w14:textId="77777777" w:rsidR="00825DAD" w:rsidRDefault="00825DAD">
      <w:pPr>
        <w:keepLines w:val="0"/>
        <w:widowControl/>
        <w:jc w:val="left"/>
        <w:rPr>
          <w:rFonts w:ascii="Cambria" w:hAnsi="Cambria"/>
          <w:b/>
          <w:sz w:val="24"/>
          <w:szCs w:val="24"/>
        </w:rPr>
      </w:pPr>
      <w:bookmarkStart w:id="21" w:name="_Ref256418956"/>
      <w:r>
        <w:rPr>
          <w:rFonts w:ascii="Cambria" w:hAnsi="Cambria"/>
          <w:sz w:val="24"/>
          <w:szCs w:val="24"/>
        </w:rPr>
        <w:br w:type="page"/>
      </w:r>
    </w:p>
    <w:p w14:paraId="51835D6A" w14:textId="77777777" w:rsidR="00825DAD" w:rsidRDefault="00825DAD" w:rsidP="004701A0">
      <w:pPr>
        <w:pStyle w:val="Ttulo2"/>
        <w:keepNext/>
        <w:ind w:left="567"/>
        <w:rPr>
          <w:rFonts w:ascii="Cambria" w:hAnsi="Cambria"/>
          <w:sz w:val="24"/>
          <w:szCs w:val="24"/>
        </w:rPr>
      </w:pPr>
    </w:p>
    <w:p w14:paraId="6E5F7D2C" w14:textId="0AD9684F" w:rsidR="00D16366" w:rsidRPr="00F8465B" w:rsidRDefault="00390B1E" w:rsidP="004701A0">
      <w:pPr>
        <w:pStyle w:val="Ttulo2"/>
        <w:keepNext/>
        <w:ind w:left="567"/>
        <w:rPr>
          <w:rFonts w:ascii="Cambria" w:hAnsi="Cambria"/>
          <w:sz w:val="24"/>
          <w:szCs w:val="24"/>
        </w:rPr>
      </w:pPr>
      <w:r w:rsidRPr="00F8465B">
        <w:rPr>
          <w:rFonts w:ascii="Cambria" w:hAnsi="Cambria"/>
          <w:sz w:val="24"/>
          <w:szCs w:val="24"/>
        </w:rPr>
        <w:t xml:space="preserve">13.4 </w:t>
      </w:r>
      <w:r w:rsidR="00E94002" w:rsidRPr="00F8465B">
        <w:rPr>
          <w:rFonts w:ascii="Cambria" w:hAnsi="Cambria"/>
          <w:sz w:val="24"/>
          <w:szCs w:val="24"/>
        </w:rPr>
        <w:t xml:space="preserve"> </w:t>
      </w:r>
      <w:r w:rsidR="00D16366" w:rsidRPr="00F8465B">
        <w:rPr>
          <w:rFonts w:ascii="Cambria" w:hAnsi="Cambria"/>
          <w:sz w:val="24"/>
          <w:szCs w:val="24"/>
        </w:rPr>
        <w:t>Ingresos y gastos financieros</w:t>
      </w:r>
      <w:bookmarkEnd w:id="21"/>
    </w:p>
    <w:p w14:paraId="6051F678" w14:textId="77777777" w:rsidR="00D16366" w:rsidRPr="00F8465B" w:rsidRDefault="00D16366" w:rsidP="00C32165">
      <w:pPr>
        <w:pStyle w:val="Ttulo1a"/>
        <w:ind w:left="567"/>
        <w:rPr>
          <w:rFonts w:ascii="Cambria" w:hAnsi="Cambria"/>
          <w:sz w:val="24"/>
          <w:szCs w:val="24"/>
        </w:rPr>
      </w:pPr>
    </w:p>
    <w:p w14:paraId="4369529A" w14:textId="1246CCB6" w:rsidR="006E1E4C" w:rsidRPr="00F8465B" w:rsidRDefault="006E1E4C" w:rsidP="00C32165">
      <w:pPr>
        <w:pStyle w:val="Ttulo1a"/>
        <w:ind w:left="567"/>
        <w:rPr>
          <w:rFonts w:ascii="Cambria" w:hAnsi="Cambria"/>
          <w:sz w:val="24"/>
          <w:szCs w:val="24"/>
        </w:rPr>
      </w:pPr>
      <w:r w:rsidRPr="00F8465B">
        <w:rPr>
          <w:rFonts w:ascii="Cambria" w:hAnsi="Cambria"/>
          <w:sz w:val="24"/>
          <w:szCs w:val="24"/>
        </w:rPr>
        <w:t>Los ingresos y gastos</w:t>
      </w:r>
      <w:r w:rsidR="000A767A" w:rsidRPr="00F8465B">
        <w:rPr>
          <w:rFonts w:ascii="Cambria" w:hAnsi="Cambria"/>
          <w:sz w:val="24"/>
          <w:szCs w:val="24"/>
        </w:rPr>
        <w:t xml:space="preserve"> financieros</w:t>
      </w:r>
      <w:r w:rsidRPr="00F8465B">
        <w:rPr>
          <w:rFonts w:ascii="Cambria" w:hAnsi="Cambria"/>
          <w:sz w:val="24"/>
          <w:szCs w:val="24"/>
        </w:rPr>
        <w:t xml:space="preserve"> reconocidos en la cuenta de pérdidas y ganancias</w:t>
      </w:r>
      <w:r w:rsidR="00980CD9" w:rsidRPr="00F8465B">
        <w:rPr>
          <w:rFonts w:ascii="Cambria" w:hAnsi="Cambria"/>
          <w:sz w:val="24"/>
          <w:szCs w:val="24"/>
        </w:rPr>
        <w:t>,</w:t>
      </w:r>
      <w:r w:rsidRPr="00F8465B">
        <w:rPr>
          <w:rFonts w:ascii="Cambria" w:hAnsi="Cambria"/>
          <w:sz w:val="24"/>
          <w:szCs w:val="24"/>
        </w:rPr>
        <w:t xml:space="preserve"> de los ejercicios 20</w:t>
      </w:r>
      <w:r w:rsidR="0041227D">
        <w:rPr>
          <w:rFonts w:ascii="Cambria" w:hAnsi="Cambria"/>
          <w:sz w:val="24"/>
          <w:szCs w:val="24"/>
        </w:rPr>
        <w:t>20</w:t>
      </w:r>
      <w:r w:rsidRPr="00F8465B">
        <w:rPr>
          <w:rFonts w:ascii="Cambria" w:hAnsi="Cambria"/>
          <w:sz w:val="24"/>
          <w:szCs w:val="24"/>
        </w:rPr>
        <w:t xml:space="preserve"> y </w:t>
      </w:r>
      <w:r w:rsidR="000A767A" w:rsidRPr="00F8465B">
        <w:rPr>
          <w:rFonts w:ascii="Cambria" w:hAnsi="Cambria"/>
          <w:sz w:val="24"/>
          <w:szCs w:val="24"/>
        </w:rPr>
        <w:t>20</w:t>
      </w:r>
      <w:r w:rsidR="006025FD" w:rsidRPr="00F8465B">
        <w:rPr>
          <w:rFonts w:ascii="Cambria" w:hAnsi="Cambria"/>
          <w:sz w:val="24"/>
          <w:szCs w:val="24"/>
        </w:rPr>
        <w:t>1</w:t>
      </w:r>
      <w:r w:rsidR="0041227D">
        <w:rPr>
          <w:rFonts w:ascii="Cambria" w:hAnsi="Cambria"/>
          <w:sz w:val="24"/>
          <w:szCs w:val="24"/>
        </w:rPr>
        <w:t>9</w:t>
      </w:r>
      <w:r w:rsidR="00980CD9" w:rsidRPr="00F8465B">
        <w:rPr>
          <w:rFonts w:ascii="Cambria" w:hAnsi="Cambria"/>
          <w:sz w:val="24"/>
          <w:szCs w:val="24"/>
        </w:rPr>
        <w:t>,</w:t>
      </w:r>
      <w:r w:rsidRPr="00F8465B">
        <w:rPr>
          <w:rFonts w:ascii="Cambria" w:hAnsi="Cambria"/>
          <w:sz w:val="24"/>
          <w:szCs w:val="24"/>
        </w:rPr>
        <w:t xml:space="preserve"> adjunta presenta</w:t>
      </w:r>
      <w:r w:rsidR="000A767A" w:rsidRPr="00F8465B">
        <w:rPr>
          <w:rFonts w:ascii="Cambria" w:hAnsi="Cambria"/>
          <w:sz w:val="24"/>
          <w:szCs w:val="24"/>
        </w:rPr>
        <w:t>n</w:t>
      </w:r>
      <w:r w:rsidRPr="00F8465B">
        <w:rPr>
          <w:rFonts w:ascii="Cambria" w:hAnsi="Cambria"/>
          <w:sz w:val="24"/>
          <w:szCs w:val="24"/>
        </w:rPr>
        <w:t xml:space="preserve"> la siguiente composición (en </w:t>
      </w:r>
      <w:r w:rsidR="000A767A" w:rsidRPr="00F8465B">
        <w:rPr>
          <w:rFonts w:ascii="Cambria" w:hAnsi="Cambria"/>
          <w:sz w:val="24"/>
          <w:szCs w:val="24"/>
        </w:rPr>
        <w:t xml:space="preserve">miles de </w:t>
      </w:r>
      <w:r w:rsidRPr="00F8465B">
        <w:rPr>
          <w:rFonts w:ascii="Cambria" w:hAnsi="Cambria"/>
          <w:sz w:val="24"/>
          <w:szCs w:val="24"/>
        </w:rPr>
        <w:t>euros):</w:t>
      </w:r>
    </w:p>
    <w:tbl>
      <w:tblPr>
        <w:tblW w:w="8524" w:type="dxa"/>
        <w:tblInd w:w="585" w:type="dxa"/>
        <w:tblLayout w:type="fixed"/>
        <w:tblCellMar>
          <w:left w:w="70" w:type="dxa"/>
          <w:right w:w="70" w:type="dxa"/>
        </w:tblCellMar>
        <w:tblLook w:val="04A0" w:firstRow="1" w:lastRow="0" w:firstColumn="1" w:lastColumn="0" w:noHBand="0" w:noVBand="1"/>
      </w:tblPr>
      <w:tblGrid>
        <w:gridCol w:w="6618"/>
        <w:gridCol w:w="953"/>
        <w:gridCol w:w="953"/>
      </w:tblGrid>
      <w:tr w:rsidR="0041227D" w:rsidRPr="00F8465B" w14:paraId="4FA6EED2" w14:textId="77777777" w:rsidTr="0041227D">
        <w:trPr>
          <w:cantSplit/>
          <w:trHeight w:val="255"/>
        </w:trPr>
        <w:tc>
          <w:tcPr>
            <w:tcW w:w="6618" w:type="dxa"/>
            <w:tcBorders>
              <w:top w:val="nil"/>
              <w:left w:val="nil"/>
              <w:bottom w:val="single" w:sz="4" w:space="0" w:color="auto"/>
              <w:right w:val="single" w:sz="4" w:space="0" w:color="auto"/>
            </w:tcBorders>
            <w:shd w:val="clear" w:color="000000" w:fill="FFFFFF"/>
            <w:noWrap/>
            <w:vAlign w:val="bottom"/>
          </w:tcPr>
          <w:p w14:paraId="3A92C532" w14:textId="77777777" w:rsidR="0041227D" w:rsidRPr="00F8465B" w:rsidRDefault="0041227D" w:rsidP="0041227D">
            <w:pPr>
              <w:keepLines w:val="0"/>
              <w:widowControl/>
              <w:jc w:val="center"/>
              <w:rPr>
                <w:rFonts w:ascii="Cambria" w:hAnsi="Cambria"/>
                <w:sz w:val="20"/>
                <w:lang w:val="es-ES"/>
              </w:rPr>
            </w:pPr>
            <w:r w:rsidRPr="00F8465B">
              <w:rPr>
                <w:rFonts w:ascii="Cambria" w:hAnsi="Cambria"/>
                <w:sz w:val="20"/>
                <w:lang w:val="es-ES"/>
              </w:rPr>
              <w:t> </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2BA3F48B" w14:textId="47AF6DBF" w:rsidR="0041227D" w:rsidRPr="00F8465B" w:rsidRDefault="0041227D" w:rsidP="0041227D">
            <w:pPr>
              <w:keepLines w:val="0"/>
              <w:widowControl/>
              <w:jc w:val="center"/>
              <w:rPr>
                <w:rFonts w:ascii="Cambria" w:hAnsi="Cambria"/>
                <w:b/>
                <w:bCs/>
                <w:snapToGrid w:val="0"/>
                <w:sz w:val="20"/>
                <w:lang w:val="es-ES"/>
              </w:rPr>
            </w:pPr>
            <w:r>
              <w:rPr>
                <w:rFonts w:ascii="Cambria" w:hAnsi="Cambria"/>
                <w:b/>
                <w:bCs/>
                <w:snapToGrid w:val="0"/>
                <w:sz w:val="20"/>
                <w:lang w:val="es-ES"/>
              </w:rPr>
              <w:t>2020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1C98C9F4" w14:textId="7675C913" w:rsidR="0041227D" w:rsidRDefault="0041227D" w:rsidP="0041227D">
            <w:pPr>
              <w:keepLines w:val="0"/>
              <w:widowControl/>
              <w:jc w:val="center"/>
              <w:rPr>
                <w:rFonts w:ascii="Cambria" w:hAnsi="Cambria"/>
                <w:b/>
                <w:bCs/>
                <w:snapToGrid w:val="0"/>
                <w:sz w:val="20"/>
                <w:lang w:val="es-ES"/>
              </w:rPr>
            </w:pPr>
            <w:r>
              <w:rPr>
                <w:rFonts w:ascii="Cambria" w:hAnsi="Cambria"/>
                <w:b/>
                <w:bCs/>
                <w:snapToGrid w:val="0"/>
                <w:sz w:val="20"/>
                <w:lang w:val="es-ES"/>
              </w:rPr>
              <w:t>2019</w:t>
            </w:r>
          </w:p>
        </w:tc>
      </w:tr>
      <w:tr w:rsidR="0041227D" w:rsidRPr="00F8465B" w14:paraId="00263122" w14:textId="77777777" w:rsidTr="0041227D">
        <w:trPr>
          <w:cantSplit/>
          <w:trHeight w:val="255"/>
        </w:trPr>
        <w:tc>
          <w:tcPr>
            <w:tcW w:w="6618" w:type="dxa"/>
            <w:tcBorders>
              <w:top w:val="single" w:sz="4" w:space="0" w:color="auto"/>
              <w:left w:val="single" w:sz="4" w:space="0" w:color="auto"/>
              <w:bottom w:val="nil"/>
              <w:right w:val="single" w:sz="4" w:space="0" w:color="auto"/>
            </w:tcBorders>
            <w:shd w:val="clear" w:color="000000" w:fill="FFFFFF"/>
          </w:tcPr>
          <w:p w14:paraId="5224CFD8" w14:textId="77777777" w:rsidR="0041227D" w:rsidRPr="00F8465B" w:rsidRDefault="0041227D" w:rsidP="0041227D">
            <w:pPr>
              <w:keepLines w:val="0"/>
              <w:widowControl/>
              <w:jc w:val="left"/>
              <w:rPr>
                <w:rFonts w:ascii="Cambria" w:hAnsi="Cambria"/>
                <w:sz w:val="20"/>
                <w:lang w:val="es-ES"/>
              </w:rPr>
            </w:pPr>
            <w:r w:rsidRPr="00F8465B">
              <w:rPr>
                <w:rFonts w:ascii="Cambria" w:hAnsi="Cambria"/>
                <w:snapToGrid w:val="0"/>
                <w:sz w:val="20"/>
                <w:lang w:val="es-ES"/>
              </w:rPr>
              <w:t> </w:t>
            </w:r>
          </w:p>
        </w:tc>
        <w:tc>
          <w:tcPr>
            <w:tcW w:w="953" w:type="dxa"/>
            <w:tcBorders>
              <w:top w:val="single" w:sz="4" w:space="0" w:color="auto"/>
              <w:left w:val="single" w:sz="4" w:space="0" w:color="auto"/>
              <w:bottom w:val="nil"/>
              <w:right w:val="single" w:sz="4" w:space="0" w:color="auto"/>
            </w:tcBorders>
            <w:shd w:val="clear" w:color="000000" w:fill="FFFFFF"/>
          </w:tcPr>
          <w:p w14:paraId="69467E56" w14:textId="77777777" w:rsidR="0041227D" w:rsidRPr="00F8465B" w:rsidRDefault="0041227D" w:rsidP="0041227D">
            <w:pPr>
              <w:keepLines w:val="0"/>
              <w:widowControl/>
              <w:jc w:val="left"/>
              <w:rPr>
                <w:rFonts w:ascii="Cambria" w:hAnsi="Cambria"/>
                <w:snapToGrid w:val="0"/>
                <w:sz w:val="20"/>
                <w:lang w:val="es-ES"/>
              </w:rPr>
            </w:pPr>
          </w:p>
        </w:tc>
        <w:tc>
          <w:tcPr>
            <w:tcW w:w="953" w:type="dxa"/>
            <w:tcBorders>
              <w:top w:val="single" w:sz="4" w:space="0" w:color="auto"/>
              <w:left w:val="single" w:sz="4" w:space="0" w:color="auto"/>
              <w:bottom w:val="nil"/>
              <w:right w:val="single" w:sz="4" w:space="0" w:color="auto"/>
            </w:tcBorders>
            <w:shd w:val="clear" w:color="000000" w:fill="FFFFFF"/>
          </w:tcPr>
          <w:p w14:paraId="05977C7C" w14:textId="77777777" w:rsidR="0041227D" w:rsidRPr="00F8465B" w:rsidRDefault="0041227D" w:rsidP="0041227D">
            <w:pPr>
              <w:keepLines w:val="0"/>
              <w:widowControl/>
              <w:jc w:val="left"/>
              <w:rPr>
                <w:rFonts w:ascii="Cambria" w:hAnsi="Cambria"/>
                <w:snapToGrid w:val="0"/>
                <w:sz w:val="20"/>
                <w:lang w:val="es-ES"/>
              </w:rPr>
            </w:pPr>
          </w:p>
        </w:tc>
      </w:tr>
      <w:tr w:rsidR="0041227D" w:rsidRPr="00F8465B" w14:paraId="7FAD415C" w14:textId="77777777" w:rsidTr="0041227D">
        <w:trPr>
          <w:cantSplit/>
          <w:trHeight w:val="255"/>
        </w:trPr>
        <w:tc>
          <w:tcPr>
            <w:tcW w:w="6618" w:type="dxa"/>
            <w:tcBorders>
              <w:top w:val="nil"/>
              <w:left w:val="single" w:sz="4" w:space="0" w:color="auto"/>
              <w:bottom w:val="nil"/>
              <w:right w:val="single" w:sz="4" w:space="0" w:color="auto"/>
            </w:tcBorders>
            <w:shd w:val="clear" w:color="000000" w:fill="FFFFFF"/>
            <w:noWrap/>
            <w:vAlign w:val="bottom"/>
          </w:tcPr>
          <w:p w14:paraId="54379FA5" w14:textId="77777777" w:rsidR="0041227D" w:rsidRPr="00F8465B" w:rsidRDefault="0041227D" w:rsidP="0041227D">
            <w:pPr>
              <w:keepLines w:val="0"/>
              <w:widowControl/>
              <w:jc w:val="left"/>
              <w:rPr>
                <w:rFonts w:ascii="Cambria" w:hAnsi="Cambria"/>
                <w:snapToGrid w:val="0"/>
                <w:sz w:val="20"/>
                <w:lang w:val="es-ES"/>
              </w:rPr>
            </w:pPr>
            <w:r w:rsidRPr="00F8465B">
              <w:rPr>
                <w:rFonts w:ascii="Cambria" w:hAnsi="Cambria"/>
                <w:snapToGrid w:val="0"/>
                <w:sz w:val="20"/>
                <w:lang w:val="es-ES"/>
              </w:rPr>
              <w:t>Intereses de créditos S.E.P.I (Nota 10.2)</w:t>
            </w:r>
          </w:p>
        </w:tc>
        <w:tc>
          <w:tcPr>
            <w:tcW w:w="953" w:type="dxa"/>
            <w:tcBorders>
              <w:top w:val="nil"/>
              <w:left w:val="single" w:sz="4" w:space="0" w:color="auto"/>
              <w:bottom w:val="nil"/>
              <w:right w:val="single" w:sz="4" w:space="0" w:color="auto"/>
            </w:tcBorders>
            <w:shd w:val="clear" w:color="000000" w:fill="FFFFFF"/>
          </w:tcPr>
          <w:p w14:paraId="74F462EB" w14:textId="41AAFD39" w:rsidR="0041227D" w:rsidRPr="00F8465B" w:rsidRDefault="0041227D" w:rsidP="0041227D">
            <w:pPr>
              <w:keepLines w:val="0"/>
              <w:widowControl/>
              <w:jc w:val="center"/>
              <w:rPr>
                <w:rFonts w:ascii="Cambria" w:hAnsi="Cambria"/>
                <w:snapToGrid w:val="0"/>
                <w:sz w:val="20"/>
                <w:lang w:val="es-ES"/>
              </w:rPr>
            </w:pPr>
            <w:r>
              <w:rPr>
                <w:rFonts w:ascii="Cambria" w:hAnsi="Cambria"/>
                <w:snapToGrid w:val="0"/>
                <w:sz w:val="20"/>
                <w:lang w:val="es-ES"/>
              </w:rPr>
              <w:t>-</w:t>
            </w:r>
          </w:p>
        </w:tc>
        <w:tc>
          <w:tcPr>
            <w:tcW w:w="953" w:type="dxa"/>
            <w:tcBorders>
              <w:top w:val="nil"/>
              <w:left w:val="single" w:sz="4" w:space="0" w:color="auto"/>
              <w:bottom w:val="nil"/>
              <w:right w:val="single" w:sz="4" w:space="0" w:color="auto"/>
            </w:tcBorders>
            <w:shd w:val="clear" w:color="000000" w:fill="FFFFFF"/>
          </w:tcPr>
          <w:p w14:paraId="5984E086" w14:textId="1FAFC741" w:rsidR="0041227D" w:rsidRDefault="0041227D" w:rsidP="0041227D">
            <w:pPr>
              <w:keepLines w:val="0"/>
              <w:widowControl/>
              <w:jc w:val="right"/>
              <w:rPr>
                <w:rFonts w:ascii="Cambria" w:hAnsi="Cambria"/>
                <w:snapToGrid w:val="0"/>
                <w:sz w:val="20"/>
                <w:lang w:val="es-ES"/>
              </w:rPr>
            </w:pPr>
            <w:r>
              <w:rPr>
                <w:rFonts w:ascii="Cambria" w:hAnsi="Cambria"/>
                <w:snapToGrid w:val="0"/>
                <w:sz w:val="20"/>
                <w:lang w:val="es-ES"/>
              </w:rPr>
              <w:t>79</w:t>
            </w:r>
          </w:p>
        </w:tc>
      </w:tr>
      <w:tr w:rsidR="0041227D" w:rsidRPr="00F8465B" w14:paraId="6B7BE973" w14:textId="77777777" w:rsidTr="0041227D">
        <w:trPr>
          <w:cantSplit/>
          <w:trHeight w:val="255"/>
        </w:trPr>
        <w:tc>
          <w:tcPr>
            <w:tcW w:w="6618" w:type="dxa"/>
            <w:tcBorders>
              <w:top w:val="nil"/>
              <w:left w:val="single" w:sz="4" w:space="0" w:color="auto"/>
              <w:right w:val="single" w:sz="4" w:space="0" w:color="auto"/>
            </w:tcBorders>
            <w:shd w:val="clear" w:color="000000" w:fill="FFFFFF"/>
            <w:noWrap/>
            <w:vAlign w:val="bottom"/>
          </w:tcPr>
          <w:p w14:paraId="1AD72F6B" w14:textId="77777777" w:rsidR="0041227D" w:rsidRPr="00F8465B" w:rsidRDefault="0041227D" w:rsidP="0041227D">
            <w:pPr>
              <w:keepLines w:val="0"/>
              <w:widowControl/>
              <w:jc w:val="left"/>
              <w:rPr>
                <w:rFonts w:ascii="Cambria" w:hAnsi="Cambria"/>
                <w:snapToGrid w:val="0"/>
                <w:sz w:val="20"/>
                <w:lang w:val="es-ES"/>
              </w:rPr>
            </w:pPr>
            <w:r w:rsidRPr="00F8465B">
              <w:rPr>
                <w:rFonts w:ascii="Cambria" w:hAnsi="Cambria"/>
                <w:snapToGrid w:val="0"/>
                <w:sz w:val="20"/>
                <w:lang w:val="es-ES"/>
              </w:rPr>
              <w:t>Póliza Tomador Beneficiario AHV (Nota 8.2)</w:t>
            </w:r>
          </w:p>
        </w:tc>
        <w:tc>
          <w:tcPr>
            <w:tcW w:w="953" w:type="dxa"/>
            <w:tcBorders>
              <w:top w:val="nil"/>
              <w:left w:val="single" w:sz="4" w:space="0" w:color="auto"/>
              <w:right w:val="single" w:sz="4" w:space="0" w:color="auto"/>
            </w:tcBorders>
            <w:shd w:val="clear" w:color="000000" w:fill="FFFFFF"/>
          </w:tcPr>
          <w:p w14:paraId="4C42E36D" w14:textId="240B426B" w:rsidR="0041227D" w:rsidRPr="00F8465B" w:rsidRDefault="00011201" w:rsidP="0041227D">
            <w:pPr>
              <w:keepLines w:val="0"/>
              <w:widowControl/>
              <w:jc w:val="right"/>
              <w:rPr>
                <w:rFonts w:ascii="Cambria" w:hAnsi="Cambria"/>
                <w:snapToGrid w:val="0"/>
                <w:sz w:val="20"/>
                <w:lang w:val="es-ES"/>
              </w:rPr>
            </w:pPr>
            <w:r>
              <w:rPr>
                <w:rFonts w:ascii="Cambria" w:hAnsi="Cambria"/>
                <w:snapToGrid w:val="0"/>
                <w:sz w:val="20"/>
                <w:lang w:val="es-ES"/>
              </w:rPr>
              <w:t>9</w:t>
            </w:r>
          </w:p>
        </w:tc>
        <w:tc>
          <w:tcPr>
            <w:tcW w:w="953" w:type="dxa"/>
            <w:tcBorders>
              <w:top w:val="nil"/>
              <w:left w:val="single" w:sz="4" w:space="0" w:color="auto"/>
              <w:right w:val="single" w:sz="4" w:space="0" w:color="auto"/>
            </w:tcBorders>
            <w:shd w:val="clear" w:color="000000" w:fill="FFFFFF"/>
          </w:tcPr>
          <w:p w14:paraId="5B1C61A0" w14:textId="357BCB13" w:rsidR="0041227D" w:rsidRDefault="0041227D" w:rsidP="0041227D">
            <w:pPr>
              <w:keepLines w:val="0"/>
              <w:widowControl/>
              <w:jc w:val="right"/>
              <w:rPr>
                <w:rFonts w:ascii="Cambria" w:hAnsi="Cambria"/>
                <w:snapToGrid w:val="0"/>
                <w:sz w:val="20"/>
                <w:lang w:val="es-ES"/>
              </w:rPr>
            </w:pPr>
            <w:r>
              <w:rPr>
                <w:rFonts w:ascii="Cambria" w:hAnsi="Cambria"/>
                <w:snapToGrid w:val="0"/>
                <w:sz w:val="20"/>
                <w:lang w:val="es-ES"/>
              </w:rPr>
              <w:t>11</w:t>
            </w:r>
          </w:p>
        </w:tc>
      </w:tr>
      <w:tr w:rsidR="0041227D" w:rsidRPr="00F8465B" w14:paraId="65C7C154" w14:textId="77777777" w:rsidTr="0041227D">
        <w:trPr>
          <w:cantSplit/>
          <w:trHeight w:val="255"/>
        </w:trPr>
        <w:tc>
          <w:tcPr>
            <w:tcW w:w="6618" w:type="dxa"/>
            <w:tcBorders>
              <w:top w:val="nil"/>
              <w:left w:val="single" w:sz="4" w:space="0" w:color="auto"/>
              <w:right w:val="single" w:sz="4" w:space="0" w:color="auto"/>
            </w:tcBorders>
            <w:shd w:val="clear" w:color="000000" w:fill="FFFFFF"/>
            <w:noWrap/>
            <w:vAlign w:val="bottom"/>
          </w:tcPr>
          <w:p w14:paraId="0BB7C6AF" w14:textId="77777777" w:rsidR="0041227D" w:rsidRPr="00F8465B" w:rsidRDefault="0041227D" w:rsidP="0041227D">
            <w:pPr>
              <w:keepLines w:val="0"/>
              <w:widowControl/>
              <w:jc w:val="left"/>
              <w:rPr>
                <w:rFonts w:ascii="Cambria" w:hAnsi="Cambria"/>
                <w:snapToGrid w:val="0"/>
                <w:sz w:val="20"/>
                <w:lang w:val="es-ES"/>
              </w:rPr>
            </w:pPr>
            <w:r w:rsidRPr="00F8465B">
              <w:rPr>
                <w:rFonts w:ascii="Cambria" w:hAnsi="Cambria"/>
                <w:sz w:val="20"/>
                <w:lang w:val="es-ES"/>
              </w:rPr>
              <w:t>Intereses de créditos a terceros (Nota 8.1)</w:t>
            </w:r>
          </w:p>
        </w:tc>
        <w:tc>
          <w:tcPr>
            <w:tcW w:w="953" w:type="dxa"/>
            <w:tcBorders>
              <w:top w:val="nil"/>
              <w:left w:val="single" w:sz="4" w:space="0" w:color="auto"/>
              <w:right w:val="single" w:sz="4" w:space="0" w:color="auto"/>
            </w:tcBorders>
            <w:shd w:val="clear" w:color="000000" w:fill="FFFFFF"/>
          </w:tcPr>
          <w:p w14:paraId="244DDC40" w14:textId="329BB229" w:rsidR="0041227D" w:rsidRPr="00F8465B" w:rsidRDefault="0041227D" w:rsidP="0041227D">
            <w:pPr>
              <w:keepLines w:val="0"/>
              <w:widowControl/>
              <w:jc w:val="right"/>
              <w:rPr>
                <w:rFonts w:ascii="Cambria" w:hAnsi="Cambria"/>
                <w:snapToGrid w:val="0"/>
                <w:sz w:val="20"/>
                <w:lang w:val="es-ES"/>
              </w:rPr>
            </w:pPr>
            <w:r>
              <w:rPr>
                <w:rFonts w:ascii="Cambria" w:hAnsi="Cambria"/>
                <w:snapToGrid w:val="0"/>
                <w:sz w:val="20"/>
                <w:lang w:val="es-ES"/>
              </w:rPr>
              <w:t>12</w:t>
            </w:r>
            <w:r w:rsidR="00F441BE">
              <w:rPr>
                <w:rFonts w:ascii="Cambria" w:hAnsi="Cambria"/>
                <w:snapToGrid w:val="0"/>
                <w:sz w:val="20"/>
                <w:lang w:val="es-ES"/>
              </w:rPr>
              <w:t>0</w:t>
            </w:r>
          </w:p>
        </w:tc>
        <w:tc>
          <w:tcPr>
            <w:tcW w:w="953" w:type="dxa"/>
            <w:tcBorders>
              <w:top w:val="nil"/>
              <w:left w:val="single" w:sz="4" w:space="0" w:color="auto"/>
              <w:right w:val="single" w:sz="4" w:space="0" w:color="auto"/>
            </w:tcBorders>
            <w:shd w:val="clear" w:color="000000" w:fill="FFFFFF"/>
          </w:tcPr>
          <w:p w14:paraId="4E8F79F3" w14:textId="692A7629" w:rsidR="0041227D" w:rsidRDefault="0041227D" w:rsidP="0041227D">
            <w:pPr>
              <w:keepLines w:val="0"/>
              <w:widowControl/>
              <w:jc w:val="right"/>
              <w:rPr>
                <w:rFonts w:ascii="Cambria" w:hAnsi="Cambria"/>
                <w:snapToGrid w:val="0"/>
                <w:sz w:val="20"/>
                <w:lang w:val="es-ES"/>
              </w:rPr>
            </w:pPr>
            <w:r>
              <w:rPr>
                <w:rFonts w:ascii="Cambria" w:hAnsi="Cambria"/>
                <w:snapToGrid w:val="0"/>
                <w:sz w:val="20"/>
                <w:lang w:val="es-ES"/>
              </w:rPr>
              <w:t>47</w:t>
            </w:r>
          </w:p>
        </w:tc>
      </w:tr>
      <w:tr w:rsidR="0041227D" w:rsidRPr="00F8465B" w14:paraId="5474FEFC" w14:textId="77777777" w:rsidTr="0041227D">
        <w:trPr>
          <w:cantSplit/>
          <w:trHeight w:val="255"/>
        </w:trPr>
        <w:tc>
          <w:tcPr>
            <w:tcW w:w="6618" w:type="dxa"/>
            <w:tcBorders>
              <w:left w:val="single" w:sz="4" w:space="0" w:color="auto"/>
              <w:bottom w:val="single" w:sz="4" w:space="0" w:color="auto"/>
              <w:right w:val="single" w:sz="4" w:space="0" w:color="auto"/>
            </w:tcBorders>
            <w:shd w:val="clear" w:color="000000" w:fill="FFFFFF"/>
            <w:noWrap/>
            <w:vAlign w:val="bottom"/>
          </w:tcPr>
          <w:p w14:paraId="3B50AE19" w14:textId="77777777" w:rsidR="0041227D" w:rsidRPr="00F8465B" w:rsidRDefault="0041227D" w:rsidP="0041227D">
            <w:pPr>
              <w:keepLines w:val="0"/>
              <w:widowControl/>
              <w:jc w:val="left"/>
              <w:rPr>
                <w:rFonts w:ascii="Cambria" w:hAnsi="Cambria"/>
                <w:sz w:val="20"/>
                <w:lang w:val="es-ES"/>
              </w:rPr>
            </w:pPr>
            <w:r w:rsidRPr="00F8465B">
              <w:rPr>
                <w:rFonts w:ascii="Cambria" w:hAnsi="Cambria"/>
                <w:snapToGrid w:val="0"/>
                <w:sz w:val="20"/>
                <w:lang w:val="es-ES"/>
              </w:rPr>
              <w:t>Otros ingresos financieros</w:t>
            </w:r>
          </w:p>
        </w:tc>
        <w:tc>
          <w:tcPr>
            <w:tcW w:w="953" w:type="dxa"/>
            <w:tcBorders>
              <w:left w:val="single" w:sz="4" w:space="0" w:color="auto"/>
              <w:bottom w:val="single" w:sz="4" w:space="0" w:color="auto"/>
              <w:right w:val="single" w:sz="4" w:space="0" w:color="auto"/>
            </w:tcBorders>
            <w:shd w:val="clear" w:color="000000" w:fill="FFFFFF"/>
          </w:tcPr>
          <w:p w14:paraId="2133D538" w14:textId="5187672E" w:rsidR="0041227D" w:rsidRPr="00F8465B" w:rsidRDefault="0041227D" w:rsidP="0041227D">
            <w:pPr>
              <w:keepLines w:val="0"/>
              <w:widowControl/>
              <w:jc w:val="right"/>
              <w:rPr>
                <w:rFonts w:ascii="Cambria" w:hAnsi="Cambria"/>
                <w:sz w:val="20"/>
                <w:lang w:val="es-ES"/>
              </w:rPr>
            </w:pPr>
            <w:r>
              <w:rPr>
                <w:rFonts w:ascii="Cambria" w:hAnsi="Cambria"/>
                <w:sz w:val="20"/>
                <w:lang w:val="es-ES"/>
              </w:rPr>
              <w:t>22</w:t>
            </w:r>
          </w:p>
        </w:tc>
        <w:tc>
          <w:tcPr>
            <w:tcW w:w="953" w:type="dxa"/>
            <w:tcBorders>
              <w:left w:val="single" w:sz="4" w:space="0" w:color="auto"/>
              <w:bottom w:val="single" w:sz="4" w:space="0" w:color="auto"/>
              <w:right w:val="single" w:sz="4" w:space="0" w:color="auto"/>
            </w:tcBorders>
            <w:shd w:val="clear" w:color="000000" w:fill="FFFFFF"/>
          </w:tcPr>
          <w:p w14:paraId="2D748C4C" w14:textId="1D03F011" w:rsidR="0041227D" w:rsidRDefault="0041227D" w:rsidP="0041227D">
            <w:pPr>
              <w:keepLines w:val="0"/>
              <w:widowControl/>
              <w:jc w:val="right"/>
              <w:rPr>
                <w:rFonts w:ascii="Cambria" w:hAnsi="Cambria"/>
                <w:sz w:val="20"/>
                <w:lang w:val="es-ES"/>
              </w:rPr>
            </w:pPr>
            <w:r>
              <w:rPr>
                <w:rFonts w:ascii="Cambria" w:hAnsi="Cambria"/>
                <w:sz w:val="20"/>
                <w:lang w:val="es-ES"/>
              </w:rPr>
              <w:t>147</w:t>
            </w:r>
          </w:p>
        </w:tc>
      </w:tr>
      <w:tr w:rsidR="0041227D" w:rsidRPr="00F8465B" w14:paraId="756D0A44" w14:textId="77777777" w:rsidTr="0041227D">
        <w:trPr>
          <w:cantSplit/>
          <w:trHeight w:val="255"/>
        </w:trPr>
        <w:tc>
          <w:tcPr>
            <w:tcW w:w="66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66F73E" w14:textId="77777777" w:rsidR="0041227D" w:rsidRPr="00F8465B" w:rsidRDefault="0041227D" w:rsidP="0041227D">
            <w:pPr>
              <w:keepLines w:val="0"/>
              <w:widowControl/>
              <w:jc w:val="left"/>
              <w:rPr>
                <w:rFonts w:ascii="Cambria" w:hAnsi="Cambria"/>
                <w:b/>
                <w:bCs/>
                <w:sz w:val="20"/>
                <w:lang w:val="es-ES"/>
              </w:rPr>
            </w:pPr>
            <w:r w:rsidRPr="00F8465B">
              <w:rPr>
                <w:rFonts w:ascii="Cambria" w:hAnsi="Cambria"/>
                <w:b/>
                <w:bCs/>
                <w:snapToGrid w:val="0"/>
                <w:sz w:val="20"/>
                <w:lang w:val="es-ES"/>
              </w:rPr>
              <w:t>Ingresos financieros</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3427DC5E" w14:textId="3D3E5F0F" w:rsidR="0041227D" w:rsidRPr="00F8465B" w:rsidRDefault="0041227D" w:rsidP="0041227D">
            <w:pPr>
              <w:keepLines w:val="0"/>
              <w:widowControl/>
              <w:jc w:val="right"/>
              <w:rPr>
                <w:rFonts w:ascii="Cambria" w:hAnsi="Cambria"/>
                <w:b/>
                <w:bCs/>
                <w:sz w:val="20"/>
                <w:lang w:val="es-ES"/>
              </w:rPr>
            </w:pPr>
            <w:r>
              <w:rPr>
                <w:rFonts w:ascii="Cambria" w:hAnsi="Cambria"/>
                <w:b/>
                <w:bCs/>
                <w:sz w:val="20"/>
                <w:lang w:val="es-ES"/>
              </w:rPr>
              <w:t>15</w:t>
            </w:r>
            <w:r w:rsidR="00F441BE">
              <w:rPr>
                <w:rFonts w:ascii="Cambria" w:hAnsi="Cambria"/>
                <w:b/>
                <w:bCs/>
                <w:sz w:val="20"/>
                <w:lang w:val="es-ES"/>
              </w:rPr>
              <w:t>1</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396B3E62" w14:textId="3B1D889A" w:rsidR="0041227D" w:rsidRDefault="0041227D" w:rsidP="0041227D">
            <w:pPr>
              <w:keepLines w:val="0"/>
              <w:widowControl/>
              <w:jc w:val="right"/>
              <w:rPr>
                <w:rFonts w:ascii="Cambria" w:hAnsi="Cambria"/>
                <w:b/>
                <w:bCs/>
                <w:sz w:val="20"/>
                <w:lang w:val="es-ES"/>
              </w:rPr>
            </w:pPr>
            <w:r>
              <w:rPr>
                <w:rFonts w:ascii="Cambria" w:hAnsi="Cambria"/>
                <w:b/>
                <w:bCs/>
                <w:sz w:val="20"/>
                <w:lang w:val="es-ES"/>
              </w:rPr>
              <w:t>284</w:t>
            </w:r>
          </w:p>
        </w:tc>
      </w:tr>
      <w:tr w:rsidR="0041227D" w:rsidRPr="00F8465B" w14:paraId="06DBFC1E" w14:textId="77777777" w:rsidTr="0041227D">
        <w:trPr>
          <w:cantSplit/>
          <w:trHeight w:val="255"/>
        </w:trPr>
        <w:tc>
          <w:tcPr>
            <w:tcW w:w="6618" w:type="dxa"/>
            <w:tcBorders>
              <w:left w:val="single" w:sz="4" w:space="0" w:color="auto"/>
              <w:right w:val="single" w:sz="4" w:space="0" w:color="auto"/>
            </w:tcBorders>
            <w:shd w:val="clear" w:color="000000" w:fill="FFFFFF"/>
            <w:noWrap/>
            <w:vAlign w:val="center"/>
          </w:tcPr>
          <w:p w14:paraId="732FB861" w14:textId="77777777" w:rsidR="0041227D" w:rsidRPr="00F8465B" w:rsidRDefault="0041227D" w:rsidP="0041227D">
            <w:pPr>
              <w:keepLines w:val="0"/>
              <w:widowControl/>
              <w:jc w:val="left"/>
              <w:rPr>
                <w:rFonts w:ascii="Cambria" w:hAnsi="Cambria"/>
                <w:snapToGrid w:val="0"/>
                <w:sz w:val="20"/>
                <w:lang w:val="es-ES"/>
              </w:rPr>
            </w:pPr>
            <w:r w:rsidRPr="00F8465B">
              <w:rPr>
                <w:rFonts w:ascii="Cambria" w:hAnsi="Cambria"/>
                <w:snapToGrid w:val="0"/>
                <w:sz w:val="20"/>
                <w:lang w:val="es-ES"/>
              </w:rPr>
              <w:t>Otros gastos financieros</w:t>
            </w:r>
          </w:p>
        </w:tc>
        <w:tc>
          <w:tcPr>
            <w:tcW w:w="953" w:type="dxa"/>
            <w:tcBorders>
              <w:left w:val="single" w:sz="4" w:space="0" w:color="auto"/>
              <w:right w:val="single" w:sz="4" w:space="0" w:color="auto"/>
            </w:tcBorders>
            <w:shd w:val="clear" w:color="000000" w:fill="FFFFFF"/>
          </w:tcPr>
          <w:p w14:paraId="08C14DD0" w14:textId="77777777" w:rsidR="0041227D" w:rsidRPr="00F8465B" w:rsidRDefault="0041227D" w:rsidP="0041227D">
            <w:pPr>
              <w:keepLines w:val="0"/>
              <w:widowControl/>
              <w:jc w:val="right"/>
              <w:rPr>
                <w:rFonts w:ascii="Cambria" w:hAnsi="Cambria"/>
                <w:sz w:val="20"/>
                <w:lang w:val="es-ES"/>
              </w:rPr>
            </w:pPr>
            <w:r>
              <w:rPr>
                <w:rFonts w:ascii="Cambria" w:hAnsi="Cambria"/>
                <w:sz w:val="20"/>
                <w:lang w:val="es-ES"/>
              </w:rPr>
              <w:t>(23</w:t>
            </w:r>
            <w:r w:rsidRPr="00F8465B">
              <w:rPr>
                <w:rFonts w:ascii="Cambria" w:hAnsi="Cambria"/>
                <w:sz w:val="20"/>
                <w:lang w:val="es-ES"/>
              </w:rPr>
              <w:t>)</w:t>
            </w:r>
          </w:p>
        </w:tc>
        <w:tc>
          <w:tcPr>
            <w:tcW w:w="953" w:type="dxa"/>
            <w:tcBorders>
              <w:left w:val="single" w:sz="4" w:space="0" w:color="auto"/>
              <w:right w:val="single" w:sz="4" w:space="0" w:color="auto"/>
            </w:tcBorders>
          </w:tcPr>
          <w:p w14:paraId="0F8DA6CB" w14:textId="770E6045" w:rsidR="0041227D" w:rsidRDefault="0041227D" w:rsidP="0041227D">
            <w:pPr>
              <w:keepLines w:val="0"/>
              <w:widowControl/>
              <w:jc w:val="right"/>
              <w:rPr>
                <w:rFonts w:ascii="Cambria" w:hAnsi="Cambria"/>
                <w:sz w:val="20"/>
                <w:lang w:val="es-ES"/>
              </w:rPr>
            </w:pPr>
            <w:r>
              <w:rPr>
                <w:rFonts w:ascii="Cambria" w:hAnsi="Cambria"/>
                <w:sz w:val="20"/>
                <w:lang w:val="es-ES"/>
              </w:rPr>
              <w:t>(23</w:t>
            </w:r>
            <w:r w:rsidRPr="00F8465B">
              <w:rPr>
                <w:rFonts w:ascii="Cambria" w:hAnsi="Cambria"/>
                <w:sz w:val="20"/>
                <w:lang w:val="es-ES"/>
              </w:rPr>
              <w:t>)</w:t>
            </w:r>
          </w:p>
        </w:tc>
      </w:tr>
      <w:tr w:rsidR="0041227D" w:rsidRPr="006E56FA" w14:paraId="2AD93A0D" w14:textId="77777777" w:rsidTr="0041227D">
        <w:trPr>
          <w:cantSplit/>
          <w:trHeight w:val="255"/>
        </w:trPr>
        <w:tc>
          <w:tcPr>
            <w:tcW w:w="6618" w:type="dxa"/>
            <w:tcBorders>
              <w:left w:val="single" w:sz="4" w:space="0" w:color="auto"/>
              <w:right w:val="single" w:sz="4" w:space="0" w:color="auto"/>
            </w:tcBorders>
            <w:shd w:val="clear" w:color="000000" w:fill="FFFFFF"/>
            <w:noWrap/>
          </w:tcPr>
          <w:p w14:paraId="3968D0FA" w14:textId="47C0F4E5" w:rsidR="0041227D" w:rsidRPr="00F8465B" w:rsidRDefault="0041227D" w:rsidP="0041227D">
            <w:pPr>
              <w:keepLines w:val="0"/>
              <w:widowControl/>
              <w:jc w:val="left"/>
              <w:rPr>
                <w:rFonts w:ascii="Cambria" w:hAnsi="Cambria"/>
                <w:b/>
                <w:bCs/>
                <w:snapToGrid w:val="0"/>
                <w:sz w:val="20"/>
                <w:lang w:val="es-ES"/>
              </w:rPr>
            </w:pPr>
            <w:r w:rsidRPr="000565E0">
              <w:rPr>
                <w:rFonts w:ascii="Cambria" w:hAnsi="Cambria"/>
                <w:snapToGrid w:val="0"/>
                <w:sz w:val="20"/>
                <w:lang w:val="es-ES"/>
              </w:rPr>
              <w:t xml:space="preserve">Gastos por actualización de Provisiones- </w:t>
            </w:r>
            <w:r>
              <w:rPr>
                <w:rFonts w:ascii="Cambria" w:hAnsi="Cambria"/>
                <w:snapToGrid w:val="0"/>
                <w:sz w:val="20"/>
                <w:lang w:val="es-ES"/>
              </w:rPr>
              <w:t>Presur (Nota 11.1.d</w:t>
            </w:r>
            <w:r w:rsidRPr="000565E0">
              <w:rPr>
                <w:rFonts w:ascii="Cambria" w:hAnsi="Cambria"/>
                <w:snapToGrid w:val="0"/>
                <w:sz w:val="20"/>
                <w:lang w:val="es-ES"/>
              </w:rPr>
              <w:t>)</w:t>
            </w:r>
          </w:p>
        </w:tc>
        <w:tc>
          <w:tcPr>
            <w:tcW w:w="953" w:type="dxa"/>
            <w:tcBorders>
              <w:left w:val="single" w:sz="4" w:space="0" w:color="auto"/>
              <w:right w:val="single" w:sz="4" w:space="0" w:color="auto"/>
            </w:tcBorders>
            <w:shd w:val="clear" w:color="000000" w:fill="FFFFFF"/>
          </w:tcPr>
          <w:p w14:paraId="0525E263" w14:textId="1E46B79D" w:rsidR="0041227D" w:rsidRPr="00CC371D" w:rsidRDefault="0041227D" w:rsidP="0041227D">
            <w:pPr>
              <w:keepLines w:val="0"/>
              <w:widowControl/>
              <w:jc w:val="center"/>
              <w:rPr>
                <w:rFonts w:ascii="Cambria" w:hAnsi="Cambria"/>
                <w:bCs/>
                <w:sz w:val="20"/>
                <w:lang w:val="es-ES"/>
              </w:rPr>
            </w:pPr>
            <w:r>
              <w:rPr>
                <w:rFonts w:ascii="Cambria" w:hAnsi="Cambria"/>
                <w:bCs/>
                <w:sz w:val="20"/>
                <w:lang w:val="es-ES"/>
              </w:rPr>
              <w:t>-</w:t>
            </w:r>
          </w:p>
        </w:tc>
        <w:tc>
          <w:tcPr>
            <w:tcW w:w="953" w:type="dxa"/>
            <w:tcBorders>
              <w:left w:val="single" w:sz="4" w:space="0" w:color="auto"/>
              <w:right w:val="single" w:sz="4" w:space="0" w:color="auto"/>
            </w:tcBorders>
          </w:tcPr>
          <w:p w14:paraId="06625F44" w14:textId="21E43589" w:rsidR="0041227D" w:rsidRDefault="0041227D" w:rsidP="0041227D">
            <w:pPr>
              <w:keepLines w:val="0"/>
              <w:widowControl/>
              <w:jc w:val="right"/>
              <w:rPr>
                <w:rFonts w:ascii="Cambria" w:hAnsi="Cambria"/>
                <w:b/>
                <w:bCs/>
                <w:sz w:val="20"/>
                <w:lang w:val="es-ES"/>
              </w:rPr>
            </w:pPr>
            <w:r>
              <w:rPr>
                <w:rFonts w:ascii="Cambria" w:hAnsi="Cambria"/>
                <w:bCs/>
                <w:sz w:val="20"/>
                <w:lang w:val="es-ES"/>
              </w:rPr>
              <w:t>(5</w:t>
            </w:r>
            <w:r w:rsidRPr="00CC371D">
              <w:rPr>
                <w:rFonts w:ascii="Cambria" w:hAnsi="Cambria"/>
                <w:bCs/>
                <w:sz w:val="20"/>
                <w:lang w:val="es-ES"/>
              </w:rPr>
              <w:t>)</w:t>
            </w:r>
          </w:p>
        </w:tc>
      </w:tr>
      <w:tr w:rsidR="0041227D" w:rsidRPr="006E56FA" w14:paraId="5286367B" w14:textId="77777777" w:rsidTr="0041227D">
        <w:trPr>
          <w:cantSplit/>
          <w:trHeight w:val="255"/>
        </w:trPr>
        <w:tc>
          <w:tcPr>
            <w:tcW w:w="6618" w:type="dxa"/>
            <w:tcBorders>
              <w:left w:val="single" w:sz="4" w:space="0" w:color="auto"/>
              <w:bottom w:val="single" w:sz="4" w:space="0" w:color="auto"/>
              <w:right w:val="single" w:sz="4" w:space="0" w:color="auto"/>
            </w:tcBorders>
            <w:shd w:val="clear" w:color="000000" w:fill="FFFFFF"/>
            <w:noWrap/>
          </w:tcPr>
          <w:p w14:paraId="0CBF2947" w14:textId="0A04AB34" w:rsidR="0041227D" w:rsidRPr="00F8465B" w:rsidRDefault="0041227D" w:rsidP="0041227D">
            <w:pPr>
              <w:keepLines w:val="0"/>
              <w:widowControl/>
              <w:jc w:val="left"/>
              <w:rPr>
                <w:rFonts w:ascii="Cambria" w:hAnsi="Cambria"/>
                <w:b/>
                <w:bCs/>
                <w:snapToGrid w:val="0"/>
                <w:sz w:val="20"/>
                <w:lang w:val="es-ES"/>
              </w:rPr>
            </w:pPr>
            <w:r w:rsidRPr="000565E0">
              <w:rPr>
                <w:rFonts w:ascii="Cambria" w:hAnsi="Cambria"/>
                <w:snapToGrid w:val="0"/>
                <w:sz w:val="20"/>
                <w:lang w:val="es-ES"/>
              </w:rPr>
              <w:t>Gastos por actualización de Pro</w:t>
            </w:r>
            <w:r>
              <w:rPr>
                <w:rFonts w:ascii="Cambria" w:hAnsi="Cambria"/>
                <w:snapToGrid w:val="0"/>
                <w:sz w:val="20"/>
                <w:lang w:val="es-ES"/>
              </w:rPr>
              <w:t>visiones- AHV (Nota 11.1.f</w:t>
            </w:r>
            <w:r w:rsidRPr="000565E0">
              <w:rPr>
                <w:rFonts w:ascii="Cambria" w:hAnsi="Cambria"/>
                <w:snapToGrid w:val="0"/>
                <w:sz w:val="20"/>
                <w:lang w:val="es-ES"/>
              </w:rPr>
              <w:t>)</w:t>
            </w:r>
          </w:p>
        </w:tc>
        <w:tc>
          <w:tcPr>
            <w:tcW w:w="953" w:type="dxa"/>
            <w:tcBorders>
              <w:left w:val="single" w:sz="4" w:space="0" w:color="auto"/>
              <w:bottom w:val="single" w:sz="4" w:space="0" w:color="auto"/>
              <w:right w:val="single" w:sz="4" w:space="0" w:color="auto"/>
            </w:tcBorders>
            <w:shd w:val="clear" w:color="000000" w:fill="FFFFFF"/>
          </w:tcPr>
          <w:p w14:paraId="1C9F3261" w14:textId="19FED702" w:rsidR="0041227D" w:rsidRPr="00CC371D" w:rsidRDefault="0041227D" w:rsidP="0041227D">
            <w:pPr>
              <w:keepLines w:val="0"/>
              <w:widowControl/>
              <w:jc w:val="center"/>
              <w:rPr>
                <w:rFonts w:ascii="Cambria" w:hAnsi="Cambria"/>
                <w:bCs/>
                <w:sz w:val="20"/>
                <w:lang w:val="es-ES"/>
              </w:rPr>
            </w:pPr>
            <w:r>
              <w:rPr>
                <w:rFonts w:ascii="Cambria" w:hAnsi="Cambria"/>
                <w:bCs/>
                <w:sz w:val="20"/>
                <w:lang w:val="es-ES"/>
              </w:rPr>
              <w:t>-</w:t>
            </w:r>
          </w:p>
        </w:tc>
        <w:tc>
          <w:tcPr>
            <w:tcW w:w="953" w:type="dxa"/>
            <w:tcBorders>
              <w:left w:val="single" w:sz="4" w:space="0" w:color="auto"/>
              <w:bottom w:val="single" w:sz="4" w:space="0" w:color="auto"/>
              <w:right w:val="single" w:sz="4" w:space="0" w:color="auto"/>
            </w:tcBorders>
          </w:tcPr>
          <w:p w14:paraId="5D039CBA" w14:textId="4AE68CBB" w:rsidR="0041227D" w:rsidRDefault="0041227D" w:rsidP="0041227D">
            <w:pPr>
              <w:keepLines w:val="0"/>
              <w:widowControl/>
              <w:jc w:val="right"/>
              <w:rPr>
                <w:rFonts w:ascii="Cambria" w:hAnsi="Cambria"/>
                <w:b/>
                <w:bCs/>
                <w:sz w:val="20"/>
                <w:lang w:val="es-ES"/>
              </w:rPr>
            </w:pPr>
            <w:r>
              <w:rPr>
                <w:rFonts w:ascii="Cambria" w:hAnsi="Cambria"/>
                <w:bCs/>
                <w:sz w:val="20"/>
                <w:lang w:val="es-ES"/>
              </w:rPr>
              <w:t>(5</w:t>
            </w:r>
            <w:r w:rsidRPr="00CC371D">
              <w:rPr>
                <w:rFonts w:ascii="Cambria" w:hAnsi="Cambria"/>
                <w:bCs/>
                <w:sz w:val="20"/>
                <w:lang w:val="es-ES"/>
              </w:rPr>
              <w:t>)</w:t>
            </w:r>
          </w:p>
        </w:tc>
      </w:tr>
      <w:tr w:rsidR="0041227D" w:rsidRPr="006E56FA" w14:paraId="0A1F0C79" w14:textId="77777777" w:rsidTr="0041227D">
        <w:trPr>
          <w:cantSplit/>
          <w:trHeight w:val="255"/>
        </w:trPr>
        <w:tc>
          <w:tcPr>
            <w:tcW w:w="6618" w:type="dxa"/>
            <w:tcBorders>
              <w:top w:val="single" w:sz="4" w:space="0" w:color="auto"/>
              <w:left w:val="single" w:sz="4" w:space="0" w:color="auto"/>
              <w:bottom w:val="single" w:sz="4" w:space="0" w:color="auto"/>
              <w:right w:val="single" w:sz="4" w:space="0" w:color="auto"/>
            </w:tcBorders>
            <w:shd w:val="clear" w:color="000000" w:fill="FFFFFF"/>
            <w:noWrap/>
          </w:tcPr>
          <w:p w14:paraId="01602168" w14:textId="1756BB91" w:rsidR="0041227D" w:rsidRPr="00F8465B" w:rsidRDefault="0041227D" w:rsidP="0041227D">
            <w:pPr>
              <w:keepLines w:val="0"/>
              <w:widowControl/>
              <w:jc w:val="left"/>
              <w:rPr>
                <w:rFonts w:ascii="Cambria" w:hAnsi="Cambria"/>
                <w:b/>
                <w:bCs/>
                <w:snapToGrid w:val="0"/>
                <w:sz w:val="20"/>
                <w:lang w:val="es-ES"/>
              </w:rPr>
            </w:pPr>
            <w:r w:rsidRPr="00F8465B">
              <w:rPr>
                <w:rFonts w:ascii="Cambria" w:hAnsi="Cambria"/>
                <w:b/>
                <w:bCs/>
                <w:snapToGrid w:val="0"/>
                <w:sz w:val="20"/>
                <w:lang w:val="es-ES"/>
              </w:rPr>
              <w:t>Gastos financieros</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5FEE4090" w14:textId="5382ACDB" w:rsidR="0041227D" w:rsidRDefault="0041227D" w:rsidP="0041227D">
            <w:pPr>
              <w:keepLines w:val="0"/>
              <w:widowControl/>
              <w:jc w:val="right"/>
              <w:rPr>
                <w:rFonts w:ascii="Cambria" w:hAnsi="Cambria"/>
                <w:b/>
                <w:bCs/>
                <w:sz w:val="20"/>
                <w:lang w:val="es-ES"/>
              </w:rPr>
            </w:pPr>
            <w:r>
              <w:rPr>
                <w:rFonts w:ascii="Cambria" w:hAnsi="Cambria"/>
                <w:b/>
                <w:bCs/>
                <w:sz w:val="20"/>
                <w:lang w:val="es-ES"/>
              </w:rPr>
              <w:t>(23</w:t>
            </w:r>
            <w:r w:rsidRPr="00F8465B">
              <w:rPr>
                <w:rFonts w:ascii="Cambria" w:hAnsi="Cambria"/>
                <w:b/>
                <w:bCs/>
                <w:sz w:val="20"/>
                <w:lang w:val="es-ES"/>
              </w:rPr>
              <w:t>)</w:t>
            </w:r>
          </w:p>
        </w:tc>
        <w:tc>
          <w:tcPr>
            <w:tcW w:w="953" w:type="dxa"/>
            <w:tcBorders>
              <w:top w:val="single" w:sz="4" w:space="0" w:color="auto"/>
              <w:left w:val="single" w:sz="4" w:space="0" w:color="auto"/>
              <w:bottom w:val="single" w:sz="4" w:space="0" w:color="auto"/>
              <w:right w:val="single" w:sz="4" w:space="0" w:color="auto"/>
            </w:tcBorders>
          </w:tcPr>
          <w:p w14:paraId="1B1176CD" w14:textId="09B1B21C" w:rsidR="0041227D" w:rsidRDefault="0041227D" w:rsidP="0041227D">
            <w:pPr>
              <w:keepLines w:val="0"/>
              <w:widowControl/>
              <w:jc w:val="right"/>
              <w:rPr>
                <w:rFonts w:ascii="Cambria" w:hAnsi="Cambria"/>
                <w:b/>
                <w:bCs/>
                <w:sz w:val="20"/>
                <w:lang w:val="es-ES"/>
              </w:rPr>
            </w:pPr>
            <w:r>
              <w:rPr>
                <w:rFonts w:ascii="Cambria" w:hAnsi="Cambria"/>
                <w:b/>
                <w:bCs/>
                <w:sz w:val="20"/>
                <w:lang w:val="es-ES"/>
              </w:rPr>
              <w:t>(33</w:t>
            </w:r>
            <w:r w:rsidRPr="00F8465B">
              <w:rPr>
                <w:rFonts w:ascii="Cambria" w:hAnsi="Cambria"/>
                <w:b/>
                <w:bCs/>
                <w:sz w:val="20"/>
                <w:lang w:val="es-ES"/>
              </w:rPr>
              <w:t>)</w:t>
            </w:r>
          </w:p>
        </w:tc>
      </w:tr>
    </w:tbl>
    <w:p w14:paraId="6A94DB90" w14:textId="5F1ED5CD" w:rsidR="00512589" w:rsidRDefault="00512589" w:rsidP="002E1F79">
      <w:pPr>
        <w:keepLines w:val="0"/>
        <w:widowControl/>
        <w:jc w:val="left"/>
        <w:rPr>
          <w:rFonts w:ascii="Cambria" w:hAnsi="Cambria"/>
          <w:sz w:val="24"/>
          <w:szCs w:val="24"/>
        </w:rPr>
      </w:pPr>
    </w:p>
    <w:p w14:paraId="0F771050" w14:textId="177056CF" w:rsidR="00915BF9" w:rsidRPr="00F8465B" w:rsidRDefault="002C25AE" w:rsidP="00825DAD">
      <w:pPr>
        <w:pStyle w:val="Ttulo2"/>
        <w:keepNext/>
        <w:ind w:left="567"/>
        <w:rPr>
          <w:rFonts w:ascii="Cambria" w:hAnsi="Cambria"/>
          <w:sz w:val="24"/>
          <w:szCs w:val="24"/>
        </w:rPr>
      </w:pPr>
      <w:bookmarkStart w:id="22" w:name="_Hlk64034495"/>
      <w:r w:rsidRPr="00F8465B">
        <w:rPr>
          <w:rFonts w:ascii="Cambria" w:hAnsi="Cambria"/>
          <w:sz w:val="24"/>
          <w:szCs w:val="24"/>
        </w:rPr>
        <w:t>1</w:t>
      </w:r>
      <w:r w:rsidR="00390B1E" w:rsidRPr="00F8465B">
        <w:rPr>
          <w:rFonts w:ascii="Cambria" w:hAnsi="Cambria"/>
          <w:sz w:val="24"/>
          <w:szCs w:val="24"/>
        </w:rPr>
        <w:t>3</w:t>
      </w:r>
      <w:r w:rsidR="00545581" w:rsidRPr="00F8465B">
        <w:rPr>
          <w:rFonts w:ascii="Cambria" w:hAnsi="Cambria"/>
          <w:sz w:val="24"/>
          <w:szCs w:val="24"/>
        </w:rPr>
        <w:t>.</w:t>
      </w:r>
      <w:r w:rsidRPr="00F8465B">
        <w:rPr>
          <w:rFonts w:ascii="Cambria" w:hAnsi="Cambria"/>
          <w:sz w:val="24"/>
          <w:szCs w:val="24"/>
        </w:rPr>
        <w:t xml:space="preserve">5 </w:t>
      </w:r>
      <w:r w:rsidR="00915BF9" w:rsidRPr="00825DAD">
        <w:rPr>
          <w:rFonts w:ascii="Cambria" w:hAnsi="Cambria"/>
          <w:sz w:val="24"/>
          <w:szCs w:val="24"/>
        </w:rPr>
        <w:t xml:space="preserve">Retribuciones al </w:t>
      </w:r>
      <w:r w:rsidR="00B035AC" w:rsidRPr="00825DAD">
        <w:rPr>
          <w:rFonts w:ascii="Cambria" w:hAnsi="Cambria"/>
          <w:sz w:val="24"/>
          <w:szCs w:val="24"/>
        </w:rPr>
        <w:t>Órgano</w:t>
      </w:r>
      <w:r w:rsidR="00915BF9" w:rsidRPr="00825DAD">
        <w:rPr>
          <w:rFonts w:ascii="Cambria" w:hAnsi="Cambria"/>
          <w:sz w:val="24"/>
          <w:szCs w:val="24"/>
        </w:rPr>
        <w:t xml:space="preserve"> de Administración y a la </w:t>
      </w:r>
      <w:r w:rsidR="00980CD9" w:rsidRPr="00825DAD">
        <w:rPr>
          <w:rFonts w:ascii="Cambria" w:hAnsi="Cambria"/>
          <w:sz w:val="24"/>
          <w:szCs w:val="24"/>
        </w:rPr>
        <w:t>a</w:t>
      </w:r>
      <w:r w:rsidR="00915BF9" w:rsidRPr="00825DAD">
        <w:rPr>
          <w:rFonts w:ascii="Cambria" w:hAnsi="Cambria"/>
          <w:sz w:val="24"/>
          <w:szCs w:val="24"/>
        </w:rPr>
        <w:t xml:space="preserve">lta </w:t>
      </w:r>
      <w:r w:rsidR="00980CD9" w:rsidRPr="00825DAD">
        <w:rPr>
          <w:rFonts w:ascii="Cambria" w:hAnsi="Cambria"/>
          <w:sz w:val="24"/>
          <w:szCs w:val="24"/>
        </w:rPr>
        <w:t>d</w:t>
      </w:r>
      <w:r w:rsidR="00915BF9" w:rsidRPr="00825DAD">
        <w:rPr>
          <w:rFonts w:ascii="Cambria" w:hAnsi="Cambria"/>
          <w:sz w:val="24"/>
          <w:szCs w:val="24"/>
        </w:rPr>
        <w:t>irección</w:t>
      </w:r>
    </w:p>
    <w:p w14:paraId="65B98C60" w14:textId="77777777" w:rsidR="000A4C1C" w:rsidRPr="00F8465B" w:rsidRDefault="000A4C1C" w:rsidP="0024783F">
      <w:pPr>
        <w:ind w:left="426"/>
        <w:rPr>
          <w:rFonts w:ascii="Cambria" w:hAnsi="Cambria"/>
          <w:sz w:val="24"/>
          <w:szCs w:val="24"/>
        </w:rPr>
      </w:pPr>
    </w:p>
    <w:p w14:paraId="1A4B2B60" w14:textId="45B363CB" w:rsidR="00EC6F0D" w:rsidRDefault="0019565A" w:rsidP="00206215">
      <w:pPr>
        <w:pStyle w:val="Ttulo1a"/>
        <w:ind w:left="567"/>
        <w:rPr>
          <w:rFonts w:ascii="Cambria" w:hAnsi="Cambria"/>
          <w:sz w:val="24"/>
          <w:szCs w:val="24"/>
        </w:rPr>
      </w:pPr>
      <w:r w:rsidRPr="00F8465B">
        <w:rPr>
          <w:rFonts w:ascii="Cambria" w:hAnsi="Cambria"/>
          <w:sz w:val="24"/>
          <w:szCs w:val="24"/>
        </w:rPr>
        <w:t xml:space="preserve">El importe de las retribuciones devengadas por </w:t>
      </w:r>
      <w:r w:rsidR="0041227D">
        <w:rPr>
          <w:rFonts w:ascii="Cambria" w:hAnsi="Cambria"/>
          <w:sz w:val="24"/>
          <w:szCs w:val="24"/>
        </w:rPr>
        <w:t>el</w:t>
      </w:r>
      <w:r w:rsidR="00CC4660">
        <w:rPr>
          <w:rFonts w:ascii="Cambria" w:hAnsi="Cambria"/>
          <w:sz w:val="24"/>
          <w:szCs w:val="24"/>
        </w:rPr>
        <w:t xml:space="preserve"> Administrador Ú</w:t>
      </w:r>
      <w:r w:rsidR="0081499D">
        <w:rPr>
          <w:rFonts w:ascii="Cambria" w:hAnsi="Cambria"/>
          <w:sz w:val="24"/>
          <w:szCs w:val="24"/>
        </w:rPr>
        <w:t>nico</w:t>
      </w:r>
      <w:r w:rsidR="0041227D">
        <w:rPr>
          <w:rFonts w:ascii="Cambria" w:hAnsi="Cambria"/>
          <w:sz w:val="24"/>
          <w:szCs w:val="24"/>
        </w:rPr>
        <w:t xml:space="preserve"> </w:t>
      </w:r>
      <w:r w:rsidRPr="00F8465B">
        <w:rPr>
          <w:rFonts w:ascii="Cambria" w:hAnsi="Cambria"/>
          <w:sz w:val="24"/>
          <w:szCs w:val="24"/>
        </w:rPr>
        <w:t>en el ejercicio 20</w:t>
      </w:r>
      <w:r w:rsidR="0041227D">
        <w:rPr>
          <w:rFonts w:ascii="Cambria" w:hAnsi="Cambria"/>
          <w:sz w:val="24"/>
          <w:szCs w:val="24"/>
        </w:rPr>
        <w:t>20</w:t>
      </w:r>
      <w:r w:rsidR="00CC4660">
        <w:rPr>
          <w:rFonts w:ascii="Cambria" w:hAnsi="Cambria"/>
          <w:sz w:val="24"/>
          <w:szCs w:val="24"/>
        </w:rPr>
        <w:t>, ha</w:t>
      </w:r>
      <w:r w:rsidRPr="00F8465B">
        <w:rPr>
          <w:rFonts w:ascii="Cambria" w:hAnsi="Cambria"/>
          <w:sz w:val="24"/>
          <w:szCs w:val="24"/>
        </w:rPr>
        <w:t xml:space="preserve"> </w:t>
      </w:r>
      <w:r w:rsidR="00206215" w:rsidRPr="00820F34">
        <w:rPr>
          <w:rFonts w:ascii="Cambria" w:hAnsi="Cambria"/>
          <w:sz w:val="24"/>
          <w:szCs w:val="24"/>
        </w:rPr>
        <w:t xml:space="preserve">ascendido a </w:t>
      </w:r>
      <w:r w:rsidR="00454C1B" w:rsidRPr="00820F34">
        <w:rPr>
          <w:rFonts w:ascii="Cambria" w:hAnsi="Cambria"/>
          <w:sz w:val="24"/>
          <w:szCs w:val="24"/>
        </w:rPr>
        <w:t>12</w:t>
      </w:r>
      <w:r w:rsidR="00820F34" w:rsidRPr="00820F34">
        <w:rPr>
          <w:rFonts w:ascii="Cambria" w:hAnsi="Cambria"/>
          <w:sz w:val="24"/>
          <w:szCs w:val="24"/>
        </w:rPr>
        <w:t>2</w:t>
      </w:r>
      <w:r w:rsidR="00206215" w:rsidRPr="00820F34">
        <w:rPr>
          <w:rFonts w:ascii="Cambria" w:hAnsi="Cambria"/>
          <w:sz w:val="24"/>
          <w:szCs w:val="24"/>
        </w:rPr>
        <w:t xml:space="preserve"> miles de</w:t>
      </w:r>
      <w:r w:rsidR="00206215" w:rsidRPr="00454C1B">
        <w:rPr>
          <w:rFonts w:ascii="Cambria" w:hAnsi="Cambria"/>
          <w:sz w:val="24"/>
          <w:szCs w:val="24"/>
        </w:rPr>
        <w:t xml:space="preserve"> euros</w:t>
      </w:r>
      <w:r w:rsidR="00206215" w:rsidRPr="00B92B12">
        <w:rPr>
          <w:rFonts w:ascii="Cambria" w:hAnsi="Cambria"/>
          <w:sz w:val="24"/>
          <w:szCs w:val="24"/>
        </w:rPr>
        <w:t xml:space="preserve"> </w:t>
      </w:r>
      <w:r w:rsidRPr="00B92B12">
        <w:rPr>
          <w:rFonts w:ascii="Cambria" w:hAnsi="Cambria"/>
          <w:sz w:val="24"/>
          <w:szCs w:val="24"/>
        </w:rPr>
        <w:t>(</w:t>
      </w:r>
      <w:r w:rsidR="0041227D">
        <w:rPr>
          <w:rFonts w:ascii="Cambria" w:hAnsi="Cambria"/>
          <w:sz w:val="24"/>
          <w:szCs w:val="24"/>
        </w:rPr>
        <w:t>120</w:t>
      </w:r>
      <w:r w:rsidR="00B82EA9">
        <w:rPr>
          <w:rFonts w:ascii="Cambria" w:hAnsi="Cambria"/>
          <w:sz w:val="24"/>
          <w:szCs w:val="24"/>
        </w:rPr>
        <w:t xml:space="preserve"> mi</w:t>
      </w:r>
      <w:r w:rsidRPr="00F8465B">
        <w:rPr>
          <w:rFonts w:ascii="Cambria" w:hAnsi="Cambria"/>
          <w:sz w:val="24"/>
          <w:szCs w:val="24"/>
        </w:rPr>
        <w:t>les de euros</w:t>
      </w:r>
      <w:r w:rsidR="00206215" w:rsidRPr="00F8465B">
        <w:rPr>
          <w:rFonts w:ascii="Cambria" w:hAnsi="Cambria"/>
          <w:sz w:val="24"/>
          <w:szCs w:val="24"/>
        </w:rPr>
        <w:t xml:space="preserve"> </w:t>
      </w:r>
      <w:r w:rsidRPr="00F8465B">
        <w:rPr>
          <w:rFonts w:ascii="Cambria" w:hAnsi="Cambria"/>
          <w:sz w:val="24"/>
          <w:szCs w:val="24"/>
        </w:rPr>
        <w:t>en el ejercicio 201</w:t>
      </w:r>
      <w:r w:rsidR="0041227D">
        <w:rPr>
          <w:rFonts w:ascii="Cambria" w:hAnsi="Cambria"/>
          <w:sz w:val="24"/>
          <w:szCs w:val="24"/>
        </w:rPr>
        <w:t>9</w:t>
      </w:r>
      <w:r w:rsidRPr="00F8465B">
        <w:rPr>
          <w:rFonts w:ascii="Cambria" w:hAnsi="Cambria"/>
          <w:sz w:val="24"/>
          <w:szCs w:val="24"/>
        </w:rPr>
        <w:t>), no existiendo anticipos ni créditos concedidos, ni obligaciones contraídas en materia de pensiones ni seguros de vida, salvo aquellos que pudieran en su caso corresponderle como plantilla de la Sociedad.</w:t>
      </w:r>
    </w:p>
    <w:p w14:paraId="50CBB5F3" w14:textId="77777777" w:rsidR="00DE155D" w:rsidRDefault="00DE155D" w:rsidP="00DE155D"/>
    <w:p w14:paraId="32100E55" w14:textId="0B22BE50" w:rsidR="0081499D" w:rsidRDefault="0019565A" w:rsidP="00DE155D">
      <w:pPr>
        <w:pStyle w:val="Ttulo1a"/>
        <w:ind w:left="567"/>
        <w:rPr>
          <w:rFonts w:ascii="Cambria" w:hAnsi="Cambria"/>
          <w:sz w:val="24"/>
          <w:szCs w:val="24"/>
        </w:rPr>
      </w:pPr>
      <w:r w:rsidRPr="00F8465B">
        <w:rPr>
          <w:rFonts w:ascii="Cambria" w:hAnsi="Cambria"/>
          <w:sz w:val="24"/>
          <w:szCs w:val="24"/>
        </w:rPr>
        <w:t>La retribución de</w:t>
      </w:r>
      <w:r w:rsidR="00147207">
        <w:rPr>
          <w:rFonts w:ascii="Cambria" w:hAnsi="Cambria"/>
          <w:sz w:val="24"/>
          <w:szCs w:val="24"/>
        </w:rPr>
        <w:t xml:space="preserve">l </w:t>
      </w:r>
      <w:r w:rsidR="00E940E5" w:rsidRPr="00F8465B">
        <w:rPr>
          <w:rFonts w:ascii="Cambria" w:hAnsi="Cambria"/>
          <w:sz w:val="24"/>
          <w:szCs w:val="24"/>
        </w:rPr>
        <w:t>Administrador</w:t>
      </w:r>
      <w:r w:rsidRPr="00F8465B">
        <w:rPr>
          <w:rFonts w:ascii="Cambria" w:hAnsi="Cambria"/>
          <w:sz w:val="24"/>
          <w:szCs w:val="24"/>
        </w:rPr>
        <w:t xml:space="preserve"> </w:t>
      </w:r>
      <w:r w:rsidR="00E940E5" w:rsidRPr="00F8465B">
        <w:rPr>
          <w:rFonts w:ascii="Cambria" w:hAnsi="Cambria"/>
          <w:sz w:val="24"/>
          <w:szCs w:val="24"/>
        </w:rPr>
        <w:t>Únic</w:t>
      </w:r>
      <w:r w:rsidR="0081499D">
        <w:rPr>
          <w:rFonts w:ascii="Cambria" w:hAnsi="Cambria"/>
          <w:sz w:val="24"/>
          <w:szCs w:val="24"/>
        </w:rPr>
        <w:t>o</w:t>
      </w:r>
      <w:r w:rsidRPr="00F8465B">
        <w:rPr>
          <w:rFonts w:ascii="Cambria" w:hAnsi="Cambria"/>
          <w:sz w:val="24"/>
          <w:szCs w:val="24"/>
        </w:rPr>
        <w:t xml:space="preserve"> se ha ajustado al Real Decreto 451/2012, de 5 de marzo por el que se regula el régimen retributivo de los máximos responsables y directivos en el Sector Público Empresarial y otras entidades, en función de la categoría de empresa pública asignada a Cofivacasa.</w:t>
      </w:r>
      <w:r w:rsidR="00206215" w:rsidRPr="00F8465B">
        <w:rPr>
          <w:rFonts w:ascii="Cambria" w:hAnsi="Cambria"/>
          <w:sz w:val="24"/>
          <w:szCs w:val="24"/>
        </w:rPr>
        <w:t xml:space="preserve"> </w:t>
      </w:r>
    </w:p>
    <w:p w14:paraId="2D02B1AA" w14:textId="77777777" w:rsidR="0081499D" w:rsidRDefault="0081499D" w:rsidP="00C32165">
      <w:pPr>
        <w:pStyle w:val="Ttulo1a"/>
        <w:ind w:left="567"/>
        <w:rPr>
          <w:rFonts w:ascii="Cambria" w:hAnsi="Cambria"/>
          <w:sz w:val="24"/>
          <w:szCs w:val="24"/>
        </w:rPr>
      </w:pPr>
    </w:p>
    <w:p w14:paraId="5B6697FB" w14:textId="77777777" w:rsidR="0019565A" w:rsidRPr="00F8465B" w:rsidRDefault="00206215" w:rsidP="00C32165">
      <w:pPr>
        <w:pStyle w:val="Ttulo1a"/>
        <w:ind w:left="567"/>
        <w:rPr>
          <w:rFonts w:ascii="Cambria" w:hAnsi="Cambria"/>
          <w:sz w:val="24"/>
          <w:szCs w:val="24"/>
        </w:rPr>
      </w:pPr>
      <w:r w:rsidRPr="00F8465B">
        <w:rPr>
          <w:rFonts w:ascii="Cambria" w:hAnsi="Cambria"/>
          <w:sz w:val="24"/>
          <w:szCs w:val="24"/>
        </w:rPr>
        <w:t>No existe ningún otro miembro de la empresa con contrato de alta dirección, además de</w:t>
      </w:r>
      <w:r w:rsidR="00E17C91">
        <w:rPr>
          <w:rFonts w:ascii="Cambria" w:hAnsi="Cambria"/>
          <w:sz w:val="24"/>
          <w:szCs w:val="24"/>
        </w:rPr>
        <w:t>l Administrador Ú</w:t>
      </w:r>
      <w:r w:rsidR="0081499D">
        <w:rPr>
          <w:rFonts w:ascii="Cambria" w:hAnsi="Cambria"/>
          <w:sz w:val="24"/>
          <w:szCs w:val="24"/>
        </w:rPr>
        <w:t>nico</w:t>
      </w:r>
      <w:r w:rsidRPr="00F8465B">
        <w:rPr>
          <w:rFonts w:ascii="Cambria" w:hAnsi="Cambria"/>
          <w:sz w:val="24"/>
          <w:szCs w:val="24"/>
        </w:rPr>
        <w:t>.</w:t>
      </w:r>
    </w:p>
    <w:p w14:paraId="09E14E21" w14:textId="77777777" w:rsidR="00003963" w:rsidRPr="00F8465B" w:rsidRDefault="00003963" w:rsidP="00C32165">
      <w:pPr>
        <w:pStyle w:val="Ttulo1a"/>
        <w:ind w:left="567"/>
        <w:rPr>
          <w:rFonts w:ascii="Cambria" w:hAnsi="Cambria"/>
          <w:sz w:val="24"/>
          <w:szCs w:val="24"/>
        </w:rPr>
      </w:pPr>
    </w:p>
    <w:p w14:paraId="237F0894" w14:textId="77777777" w:rsidR="00C32165" w:rsidRPr="00F8465B" w:rsidRDefault="0019565A" w:rsidP="002D6127">
      <w:pPr>
        <w:pStyle w:val="Ttulo1a"/>
        <w:ind w:left="567"/>
        <w:rPr>
          <w:rFonts w:ascii="Cambria" w:hAnsi="Cambria"/>
          <w:sz w:val="24"/>
          <w:szCs w:val="24"/>
        </w:rPr>
      </w:pPr>
      <w:r w:rsidRPr="00F8465B">
        <w:rPr>
          <w:rFonts w:ascii="Cambria" w:hAnsi="Cambria"/>
          <w:sz w:val="24"/>
          <w:szCs w:val="24"/>
        </w:rPr>
        <w:t xml:space="preserve">La Sociedad no tiene concedidos anticipos ni créditos a su actual o antiguos </w:t>
      </w:r>
      <w:r w:rsidR="00E940E5" w:rsidRPr="00F8465B">
        <w:rPr>
          <w:rFonts w:ascii="Cambria" w:hAnsi="Cambria"/>
          <w:sz w:val="24"/>
          <w:szCs w:val="24"/>
        </w:rPr>
        <w:t>Administrador</w:t>
      </w:r>
      <w:r w:rsidRPr="00F8465B">
        <w:rPr>
          <w:rFonts w:ascii="Cambria" w:hAnsi="Cambria"/>
          <w:sz w:val="24"/>
          <w:szCs w:val="24"/>
        </w:rPr>
        <w:t>es, ni tiene contraíd</w:t>
      </w:r>
      <w:r w:rsidR="0081499D">
        <w:rPr>
          <w:rFonts w:ascii="Cambria" w:hAnsi="Cambria"/>
          <w:sz w:val="24"/>
          <w:szCs w:val="24"/>
        </w:rPr>
        <w:t>as</w:t>
      </w:r>
      <w:r w:rsidRPr="00F8465B">
        <w:rPr>
          <w:rFonts w:ascii="Cambria" w:hAnsi="Cambria"/>
          <w:sz w:val="24"/>
          <w:szCs w:val="24"/>
        </w:rPr>
        <w:t xml:space="preserve"> con ellos obligaciones en materia de pensiones y seguros de vida.</w:t>
      </w:r>
    </w:p>
    <w:p w14:paraId="5B78DF45" w14:textId="77777777" w:rsidR="00F07486" w:rsidRPr="00F8465B" w:rsidRDefault="00F07486" w:rsidP="00F07486"/>
    <w:p w14:paraId="471A3B2C" w14:textId="59711EF7" w:rsidR="00F07486" w:rsidRPr="00F8465B" w:rsidRDefault="00F07486" w:rsidP="00791B42">
      <w:pPr>
        <w:pStyle w:val="Ttulo1a"/>
        <w:shd w:val="clear" w:color="auto" w:fill="FFFFFF" w:themeFill="background1"/>
        <w:ind w:left="567"/>
        <w:rPr>
          <w:rFonts w:ascii="Cambria" w:hAnsi="Cambria"/>
          <w:sz w:val="24"/>
          <w:szCs w:val="24"/>
        </w:rPr>
      </w:pPr>
      <w:r w:rsidRPr="00F8465B">
        <w:rPr>
          <w:rFonts w:ascii="Cambria" w:hAnsi="Cambria"/>
          <w:sz w:val="24"/>
          <w:szCs w:val="24"/>
        </w:rPr>
        <w:t>Las cantidades satisfechas en concepto de primas por responsabilidad civil de</w:t>
      </w:r>
      <w:r w:rsidR="009A33D2">
        <w:rPr>
          <w:rFonts w:ascii="Cambria" w:hAnsi="Cambria"/>
          <w:sz w:val="24"/>
          <w:szCs w:val="24"/>
        </w:rPr>
        <w:t>l A</w:t>
      </w:r>
      <w:r w:rsidRPr="00F8465B">
        <w:rPr>
          <w:rFonts w:ascii="Cambria" w:hAnsi="Cambria"/>
          <w:sz w:val="24"/>
          <w:szCs w:val="24"/>
        </w:rPr>
        <w:t xml:space="preserve">dministrador </w:t>
      </w:r>
      <w:r w:rsidR="009A33D2">
        <w:rPr>
          <w:rFonts w:ascii="Cambria" w:hAnsi="Cambria"/>
          <w:sz w:val="24"/>
          <w:szCs w:val="24"/>
        </w:rPr>
        <w:t xml:space="preserve">Único </w:t>
      </w:r>
      <w:r w:rsidRPr="00F8465B">
        <w:rPr>
          <w:rFonts w:ascii="Cambria" w:hAnsi="Cambria"/>
          <w:sz w:val="24"/>
          <w:szCs w:val="24"/>
        </w:rPr>
        <w:t>en el eje</w:t>
      </w:r>
      <w:r w:rsidR="00DD4B71" w:rsidRPr="00F8465B">
        <w:rPr>
          <w:rFonts w:ascii="Cambria" w:hAnsi="Cambria"/>
          <w:sz w:val="24"/>
          <w:szCs w:val="24"/>
        </w:rPr>
        <w:t xml:space="preserve">rcicio </w:t>
      </w:r>
      <w:r w:rsidR="00B82EA9" w:rsidRPr="00B82EA9">
        <w:rPr>
          <w:rFonts w:ascii="Cambria" w:hAnsi="Cambria"/>
          <w:sz w:val="24"/>
          <w:szCs w:val="24"/>
        </w:rPr>
        <w:t>20</w:t>
      </w:r>
      <w:r w:rsidR="009A33D2">
        <w:rPr>
          <w:rFonts w:ascii="Cambria" w:hAnsi="Cambria"/>
          <w:sz w:val="24"/>
          <w:szCs w:val="24"/>
        </w:rPr>
        <w:t>20</w:t>
      </w:r>
      <w:r w:rsidR="00DD4B71" w:rsidRPr="00F8465B">
        <w:rPr>
          <w:rFonts w:ascii="Cambria" w:hAnsi="Cambria"/>
          <w:sz w:val="24"/>
          <w:szCs w:val="24"/>
        </w:rPr>
        <w:t xml:space="preserve"> </w:t>
      </w:r>
      <w:r w:rsidR="00DD4B71" w:rsidRPr="00820F34">
        <w:rPr>
          <w:rFonts w:ascii="Cambria" w:hAnsi="Cambria"/>
          <w:sz w:val="24"/>
          <w:szCs w:val="24"/>
        </w:rPr>
        <w:t xml:space="preserve">ascienden a </w:t>
      </w:r>
      <w:r w:rsidR="00F55135" w:rsidRPr="00820F34">
        <w:rPr>
          <w:rFonts w:ascii="Cambria" w:hAnsi="Cambria"/>
          <w:sz w:val="24"/>
          <w:szCs w:val="24"/>
        </w:rPr>
        <w:t>2</w:t>
      </w:r>
      <w:r w:rsidR="00791B42" w:rsidRPr="00820F34">
        <w:rPr>
          <w:rFonts w:ascii="Cambria" w:hAnsi="Cambria"/>
          <w:sz w:val="24"/>
          <w:szCs w:val="24"/>
        </w:rPr>
        <w:t xml:space="preserve"> miles de</w:t>
      </w:r>
      <w:r w:rsidRPr="00820F34">
        <w:rPr>
          <w:rFonts w:ascii="Cambria" w:hAnsi="Cambria"/>
          <w:sz w:val="24"/>
          <w:szCs w:val="24"/>
        </w:rPr>
        <w:t xml:space="preserve"> euros</w:t>
      </w:r>
      <w:r w:rsidR="0081499D" w:rsidRPr="00820F34">
        <w:rPr>
          <w:rFonts w:ascii="Cambria" w:hAnsi="Cambria"/>
          <w:sz w:val="24"/>
          <w:szCs w:val="24"/>
        </w:rPr>
        <w:t xml:space="preserve"> (</w:t>
      </w:r>
      <w:r w:rsidR="009A33D2">
        <w:rPr>
          <w:rFonts w:ascii="Cambria" w:hAnsi="Cambria"/>
          <w:sz w:val="24"/>
          <w:szCs w:val="24"/>
        </w:rPr>
        <w:t>2</w:t>
      </w:r>
      <w:r w:rsidR="0081499D" w:rsidRPr="00C407D3">
        <w:rPr>
          <w:rFonts w:ascii="Cambria" w:hAnsi="Cambria"/>
          <w:sz w:val="24"/>
          <w:szCs w:val="24"/>
        </w:rPr>
        <w:t xml:space="preserve"> miles de euros en </w:t>
      </w:r>
      <w:r w:rsidR="00D44BB5" w:rsidRPr="00C407D3">
        <w:rPr>
          <w:rFonts w:ascii="Cambria" w:hAnsi="Cambria"/>
          <w:sz w:val="24"/>
          <w:szCs w:val="24"/>
        </w:rPr>
        <w:t>201</w:t>
      </w:r>
      <w:r w:rsidR="009A33D2">
        <w:rPr>
          <w:rFonts w:ascii="Cambria" w:hAnsi="Cambria"/>
          <w:sz w:val="24"/>
          <w:szCs w:val="24"/>
        </w:rPr>
        <w:t>9</w:t>
      </w:r>
      <w:r w:rsidR="0081499D" w:rsidRPr="00C407D3">
        <w:rPr>
          <w:rFonts w:ascii="Cambria" w:hAnsi="Cambria"/>
          <w:sz w:val="24"/>
          <w:szCs w:val="24"/>
        </w:rPr>
        <w:t>)</w:t>
      </w:r>
      <w:r w:rsidRPr="0081499D">
        <w:rPr>
          <w:rFonts w:ascii="Cambria" w:hAnsi="Cambria"/>
          <w:sz w:val="24"/>
          <w:szCs w:val="24"/>
        </w:rPr>
        <w:t>.</w:t>
      </w:r>
    </w:p>
    <w:bookmarkEnd w:id="22"/>
    <w:p w14:paraId="545CF068" w14:textId="61F97E38" w:rsidR="00825DAD" w:rsidRDefault="00825DAD">
      <w:pPr>
        <w:keepLines w:val="0"/>
        <w:widowControl/>
        <w:jc w:val="left"/>
      </w:pPr>
      <w:r>
        <w:br w:type="page"/>
      </w:r>
    </w:p>
    <w:p w14:paraId="3B6C089B" w14:textId="77777777" w:rsidR="001618F5" w:rsidRPr="00F8465B" w:rsidRDefault="001618F5" w:rsidP="002D6127"/>
    <w:p w14:paraId="0C7FB56E" w14:textId="77777777" w:rsidR="00915BF9" w:rsidRPr="00F8465B" w:rsidRDefault="002C25AE" w:rsidP="00C32165">
      <w:pPr>
        <w:pStyle w:val="Ttulo2"/>
        <w:keepNext/>
        <w:ind w:left="567"/>
        <w:rPr>
          <w:rFonts w:ascii="Cambria" w:hAnsi="Cambria"/>
          <w:sz w:val="24"/>
          <w:szCs w:val="24"/>
        </w:rPr>
      </w:pPr>
      <w:r w:rsidRPr="00F8465B">
        <w:rPr>
          <w:rFonts w:ascii="Cambria" w:hAnsi="Cambria"/>
          <w:sz w:val="24"/>
          <w:szCs w:val="24"/>
        </w:rPr>
        <w:t>1</w:t>
      </w:r>
      <w:r w:rsidR="00390B1E" w:rsidRPr="00F8465B">
        <w:rPr>
          <w:rFonts w:ascii="Cambria" w:hAnsi="Cambria"/>
          <w:sz w:val="24"/>
          <w:szCs w:val="24"/>
        </w:rPr>
        <w:t>3</w:t>
      </w:r>
      <w:r w:rsidR="001D4E82" w:rsidRPr="00F8465B">
        <w:rPr>
          <w:rFonts w:ascii="Cambria" w:hAnsi="Cambria"/>
          <w:sz w:val="24"/>
          <w:szCs w:val="24"/>
        </w:rPr>
        <w:t>.</w:t>
      </w:r>
      <w:r w:rsidRPr="00F8465B">
        <w:rPr>
          <w:rFonts w:ascii="Cambria" w:hAnsi="Cambria"/>
          <w:sz w:val="24"/>
          <w:szCs w:val="24"/>
        </w:rPr>
        <w:t>6 Conflicto de interés</w:t>
      </w:r>
      <w:r w:rsidR="00915BF9" w:rsidRPr="00F8465B">
        <w:rPr>
          <w:rFonts w:ascii="Cambria" w:hAnsi="Cambria"/>
          <w:sz w:val="24"/>
          <w:szCs w:val="24"/>
        </w:rPr>
        <w:t xml:space="preserve"> </w:t>
      </w:r>
    </w:p>
    <w:p w14:paraId="1A5FE2CD" w14:textId="77777777" w:rsidR="008D6CD7" w:rsidRPr="00F8465B" w:rsidRDefault="008D6CD7" w:rsidP="00C32165">
      <w:pPr>
        <w:pStyle w:val="Ttulo1a"/>
        <w:ind w:left="567"/>
        <w:rPr>
          <w:rFonts w:ascii="Cambria" w:hAnsi="Cambria"/>
          <w:sz w:val="24"/>
          <w:szCs w:val="24"/>
        </w:rPr>
      </w:pPr>
    </w:p>
    <w:p w14:paraId="6B8CA1E5" w14:textId="25A444D7" w:rsidR="002C25AE" w:rsidRDefault="002C25AE" w:rsidP="00C32165">
      <w:pPr>
        <w:pStyle w:val="Ttulo1a"/>
        <w:ind w:left="567"/>
        <w:rPr>
          <w:rFonts w:ascii="Cambria" w:hAnsi="Cambria"/>
          <w:sz w:val="24"/>
          <w:szCs w:val="24"/>
        </w:rPr>
      </w:pPr>
      <w:r w:rsidRPr="00F8465B">
        <w:rPr>
          <w:rFonts w:ascii="Cambria" w:hAnsi="Cambria"/>
          <w:sz w:val="24"/>
          <w:szCs w:val="24"/>
        </w:rPr>
        <w:t>En cumplimiento de lo establecido en el artículo 228 y siguientes de la Ley de Sociedades de Capital, introducido por el Real Decreto Legislativo 1/2010 de 2 de julio y modificado por la Ley 31/2014, de 3 de diciembre, por la que se modifica la Ley de Sociedades de Capital para la mejora del gobierno corporativo, se hace constar que durante el ejercicio no se han producido situaciones de conflicto, directo o indirecto, de</w:t>
      </w:r>
      <w:r w:rsidR="009A33D2">
        <w:rPr>
          <w:rFonts w:ascii="Cambria" w:hAnsi="Cambria"/>
          <w:sz w:val="24"/>
          <w:szCs w:val="24"/>
        </w:rPr>
        <w:t>l</w:t>
      </w:r>
      <w:r w:rsidRPr="00F8465B">
        <w:rPr>
          <w:rFonts w:ascii="Cambria" w:hAnsi="Cambria"/>
          <w:sz w:val="24"/>
          <w:szCs w:val="24"/>
        </w:rPr>
        <w:t xml:space="preserve"> </w:t>
      </w:r>
      <w:r w:rsidR="00E940E5" w:rsidRPr="00F8465B">
        <w:rPr>
          <w:rFonts w:ascii="Cambria" w:hAnsi="Cambria"/>
          <w:sz w:val="24"/>
          <w:szCs w:val="24"/>
        </w:rPr>
        <w:t>Administrador</w:t>
      </w:r>
      <w:r w:rsidRPr="00F8465B">
        <w:rPr>
          <w:rFonts w:ascii="Cambria" w:hAnsi="Cambria"/>
          <w:sz w:val="24"/>
          <w:szCs w:val="24"/>
        </w:rPr>
        <w:t xml:space="preserve"> </w:t>
      </w:r>
      <w:r w:rsidR="00A23AD3">
        <w:rPr>
          <w:rFonts w:ascii="Cambria" w:hAnsi="Cambria"/>
          <w:sz w:val="24"/>
          <w:szCs w:val="24"/>
        </w:rPr>
        <w:t>Único</w:t>
      </w:r>
      <w:r w:rsidR="009A33D2">
        <w:rPr>
          <w:rFonts w:ascii="Cambria" w:hAnsi="Cambria"/>
          <w:sz w:val="24"/>
          <w:szCs w:val="24"/>
        </w:rPr>
        <w:t xml:space="preserve"> </w:t>
      </w:r>
      <w:r w:rsidRPr="00F8465B">
        <w:rPr>
          <w:rFonts w:ascii="Cambria" w:hAnsi="Cambria"/>
          <w:sz w:val="24"/>
          <w:szCs w:val="24"/>
        </w:rPr>
        <w:t>con el interés de la Sociedad.</w:t>
      </w:r>
    </w:p>
    <w:p w14:paraId="3341040E" w14:textId="77777777" w:rsidR="00825DAD" w:rsidRDefault="00825DAD" w:rsidP="00825DAD">
      <w:pPr>
        <w:keepLines w:val="0"/>
        <w:widowControl/>
        <w:jc w:val="left"/>
        <w:rPr>
          <w:rFonts w:ascii="Cambria" w:hAnsi="Cambria"/>
          <w:kern w:val="28"/>
          <w:sz w:val="24"/>
          <w:szCs w:val="24"/>
          <w:u w:val="single"/>
          <w:lang w:val="es-ES" w:eastAsia="en-US"/>
        </w:rPr>
      </w:pPr>
    </w:p>
    <w:p w14:paraId="520E6CD9" w14:textId="7A33E0B9" w:rsidR="00356A0A" w:rsidRPr="00F8465B" w:rsidRDefault="00356A0A" w:rsidP="00825DAD">
      <w:pPr>
        <w:pStyle w:val="Ttulo4"/>
        <w:widowControl/>
        <w:numPr>
          <w:ilvl w:val="0"/>
          <w:numId w:val="3"/>
        </w:numPr>
        <w:tabs>
          <w:tab w:val="clear" w:pos="360"/>
          <w:tab w:val="left" w:pos="-448"/>
          <w:tab w:val="num" w:pos="567"/>
        </w:tabs>
        <w:spacing w:before="0" w:after="0"/>
        <w:ind w:left="567" w:right="-1" w:hanging="567"/>
        <w:rPr>
          <w:rFonts w:ascii="Cambria" w:hAnsi="Cambria"/>
          <w:kern w:val="28"/>
          <w:sz w:val="24"/>
          <w:szCs w:val="24"/>
          <w:u w:val="single"/>
          <w:lang w:val="es-ES" w:eastAsia="en-US"/>
        </w:rPr>
      </w:pPr>
      <w:r w:rsidRPr="00F8465B">
        <w:rPr>
          <w:rFonts w:ascii="Cambria" w:hAnsi="Cambria"/>
          <w:kern w:val="28"/>
          <w:sz w:val="24"/>
          <w:szCs w:val="24"/>
          <w:u w:val="single"/>
          <w:lang w:val="es-ES" w:eastAsia="en-US"/>
        </w:rPr>
        <w:t>Otra información</w:t>
      </w:r>
    </w:p>
    <w:p w14:paraId="0E72A59D" w14:textId="77777777" w:rsidR="00356A0A" w:rsidRPr="00F8465B" w:rsidRDefault="00356A0A" w:rsidP="0024783F">
      <w:pPr>
        <w:pStyle w:val="Ttulo2"/>
        <w:keepNext/>
        <w:ind w:left="426"/>
        <w:rPr>
          <w:rFonts w:ascii="Cambria" w:hAnsi="Cambria"/>
          <w:sz w:val="24"/>
          <w:szCs w:val="24"/>
        </w:rPr>
      </w:pPr>
    </w:p>
    <w:p w14:paraId="5F483746" w14:textId="77777777" w:rsidR="001B120F" w:rsidRPr="00F8465B" w:rsidRDefault="002C25AE" w:rsidP="00C32165">
      <w:pPr>
        <w:pStyle w:val="Ttulo2"/>
        <w:keepNext/>
        <w:ind w:left="567"/>
        <w:rPr>
          <w:rFonts w:ascii="Cambria" w:hAnsi="Cambria"/>
          <w:sz w:val="24"/>
          <w:szCs w:val="24"/>
        </w:rPr>
      </w:pPr>
      <w:r w:rsidRPr="00F8465B">
        <w:rPr>
          <w:rFonts w:ascii="Cambria" w:hAnsi="Cambria"/>
          <w:sz w:val="24"/>
          <w:szCs w:val="24"/>
        </w:rPr>
        <w:t>1</w:t>
      </w:r>
      <w:r w:rsidR="004237E5" w:rsidRPr="00F8465B">
        <w:rPr>
          <w:rFonts w:ascii="Cambria" w:hAnsi="Cambria"/>
          <w:sz w:val="24"/>
          <w:szCs w:val="24"/>
        </w:rPr>
        <w:t>4</w:t>
      </w:r>
      <w:r w:rsidR="00C2020B" w:rsidRPr="00F8465B">
        <w:rPr>
          <w:rFonts w:ascii="Cambria" w:hAnsi="Cambria"/>
          <w:sz w:val="24"/>
          <w:szCs w:val="24"/>
        </w:rPr>
        <w:t xml:space="preserve">.1 </w:t>
      </w:r>
      <w:r w:rsidR="001B120F" w:rsidRPr="00F8465B">
        <w:rPr>
          <w:rFonts w:ascii="Cambria" w:hAnsi="Cambria"/>
          <w:sz w:val="24"/>
          <w:szCs w:val="24"/>
        </w:rPr>
        <w:t>Información medioambiental</w:t>
      </w:r>
    </w:p>
    <w:p w14:paraId="707D5DF4" w14:textId="77777777" w:rsidR="001B120F" w:rsidRPr="00F8465B" w:rsidRDefault="001B120F" w:rsidP="00C32165">
      <w:pPr>
        <w:pStyle w:val="Ttulo1a"/>
        <w:ind w:left="567"/>
        <w:rPr>
          <w:rFonts w:ascii="Cambria" w:hAnsi="Cambria"/>
          <w:sz w:val="24"/>
          <w:szCs w:val="24"/>
        </w:rPr>
      </w:pPr>
    </w:p>
    <w:p w14:paraId="148A5E91" w14:textId="49A33FA9" w:rsidR="008B34FC" w:rsidRPr="00F8465B" w:rsidRDefault="008B34FC" w:rsidP="00C32165">
      <w:pPr>
        <w:pStyle w:val="Ttulo1a"/>
        <w:ind w:left="567"/>
        <w:rPr>
          <w:rFonts w:ascii="Cambria" w:hAnsi="Cambria"/>
          <w:sz w:val="24"/>
          <w:szCs w:val="24"/>
        </w:rPr>
      </w:pPr>
      <w:r w:rsidRPr="00F8465B">
        <w:rPr>
          <w:rFonts w:ascii="Cambria" w:hAnsi="Cambria"/>
          <w:sz w:val="24"/>
          <w:szCs w:val="24"/>
        </w:rPr>
        <w:t xml:space="preserve">Dentro de los planes de abandono de la producción y cierre de la mina de Cala (proveniente de la empresa absorbida </w:t>
      </w:r>
      <w:r w:rsidR="009D1B5C" w:rsidRPr="00F8465B">
        <w:rPr>
          <w:rFonts w:ascii="Cambria" w:hAnsi="Cambria"/>
          <w:sz w:val="24"/>
          <w:szCs w:val="24"/>
        </w:rPr>
        <w:t>P</w:t>
      </w:r>
      <w:r w:rsidR="009D1B5C">
        <w:rPr>
          <w:rFonts w:ascii="Cambria" w:hAnsi="Cambria"/>
          <w:sz w:val="24"/>
          <w:szCs w:val="24"/>
        </w:rPr>
        <w:t>RESUR</w:t>
      </w:r>
      <w:r w:rsidRPr="00F8465B">
        <w:rPr>
          <w:rFonts w:ascii="Cambria" w:hAnsi="Cambria"/>
          <w:sz w:val="24"/>
          <w:szCs w:val="24"/>
        </w:rPr>
        <w:t xml:space="preserve">), y para cumplir con la legislación medioambiental, se realizó en el año 2002 un proyecto de restauración de la mina, en el que se recogían las medidas y trabajos a realizar para cumplir con dicha legislación. En el ejercicio 2003 se comenzaron dichos trabajos de restauración, habiéndose continuado con los mismos en los años siguientes. </w:t>
      </w:r>
    </w:p>
    <w:p w14:paraId="1B5A9D25" w14:textId="77777777" w:rsidR="00E17C91" w:rsidRDefault="00E17C91">
      <w:pPr>
        <w:keepLines w:val="0"/>
        <w:widowControl/>
        <w:jc w:val="left"/>
        <w:rPr>
          <w:rFonts w:ascii="Cambria" w:hAnsi="Cambria"/>
          <w:sz w:val="24"/>
          <w:szCs w:val="24"/>
          <w:highlight w:val="yellow"/>
        </w:rPr>
      </w:pPr>
    </w:p>
    <w:p w14:paraId="7E4B5E51" w14:textId="77777777" w:rsidR="00E17C91" w:rsidRDefault="00E17C91" w:rsidP="00C32165">
      <w:pPr>
        <w:pStyle w:val="Ttulo1a"/>
        <w:ind w:left="567"/>
        <w:rPr>
          <w:rFonts w:ascii="Cambria" w:hAnsi="Cambria"/>
          <w:sz w:val="24"/>
          <w:szCs w:val="24"/>
          <w:highlight w:val="yellow"/>
        </w:rPr>
      </w:pPr>
    </w:p>
    <w:p w14:paraId="2C6E4D60" w14:textId="77777777" w:rsidR="00F94250" w:rsidRPr="00E17C91" w:rsidRDefault="000C057B" w:rsidP="00C32165">
      <w:pPr>
        <w:pStyle w:val="Ttulo1a"/>
        <w:ind w:left="567"/>
        <w:rPr>
          <w:rFonts w:ascii="Cambria" w:hAnsi="Cambria"/>
          <w:sz w:val="24"/>
          <w:szCs w:val="24"/>
        </w:rPr>
      </w:pPr>
      <w:r w:rsidRPr="00E17C91">
        <w:rPr>
          <w:rFonts w:ascii="Cambria" w:hAnsi="Cambria"/>
          <w:sz w:val="24"/>
          <w:szCs w:val="24"/>
        </w:rPr>
        <w:t>Los</w:t>
      </w:r>
      <w:r w:rsidR="008B34FC" w:rsidRPr="00E17C91">
        <w:rPr>
          <w:rFonts w:ascii="Cambria" w:hAnsi="Cambria"/>
          <w:sz w:val="24"/>
          <w:szCs w:val="24"/>
        </w:rPr>
        <w:t xml:space="preserve"> gastos previstos para la restauración de la mina de Cala se encuentra</w:t>
      </w:r>
      <w:r w:rsidRPr="00E17C91">
        <w:rPr>
          <w:rFonts w:ascii="Cambria" w:hAnsi="Cambria"/>
          <w:sz w:val="24"/>
          <w:szCs w:val="24"/>
        </w:rPr>
        <w:t>n</w:t>
      </w:r>
      <w:r w:rsidR="008B34FC" w:rsidRPr="00E17C91">
        <w:rPr>
          <w:rFonts w:ascii="Cambria" w:hAnsi="Cambria"/>
          <w:sz w:val="24"/>
          <w:szCs w:val="24"/>
        </w:rPr>
        <w:t xml:space="preserve"> provisionad</w:t>
      </w:r>
      <w:r w:rsidRPr="00E17C91">
        <w:rPr>
          <w:rFonts w:ascii="Cambria" w:hAnsi="Cambria"/>
          <w:sz w:val="24"/>
          <w:szCs w:val="24"/>
        </w:rPr>
        <w:t>os</w:t>
      </w:r>
      <w:r w:rsidR="008B34FC" w:rsidRPr="00E17C91">
        <w:rPr>
          <w:rFonts w:ascii="Cambria" w:hAnsi="Cambria"/>
          <w:sz w:val="24"/>
          <w:szCs w:val="24"/>
        </w:rPr>
        <w:t>, habiendo sido el movimiento de la provisión, en miles de euros, el siguiente:</w:t>
      </w:r>
    </w:p>
    <w:p w14:paraId="1E9B30C5" w14:textId="3A043F55" w:rsidR="0076458B" w:rsidRPr="00C407D3" w:rsidRDefault="0076458B" w:rsidP="002D6127">
      <w:pPr>
        <w:rPr>
          <w:highlight w:val="yellow"/>
        </w:rPr>
      </w:pPr>
    </w:p>
    <w:tbl>
      <w:tblPr>
        <w:tblW w:w="5318" w:type="dxa"/>
        <w:tblInd w:w="1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784"/>
      </w:tblGrid>
      <w:tr w:rsidR="00E17C91" w:rsidRPr="0081499D" w14:paraId="315492CB" w14:textId="77777777" w:rsidTr="0076458B">
        <w:trPr>
          <w:trHeight w:val="270"/>
        </w:trPr>
        <w:tc>
          <w:tcPr>
            <w:tcW w:w="4534" w:type="dxa"/>
            <w:shd w:val="clear" w:color="auto" w:fill="auto"/>
            <w:noWrap/>
            <w:vAlign w:val="center"/>
          </w:tcPr>
          <w:p w14:paraId="42AAC7B0" w14:textId="1E8C7C0F" w:rsidR="00E17C91" w:rsidRPr="00E17C91" w:rsidRDefault="00894F68" w:rsidP="00E17C91">
            <w:pPr>
              <w:jc w:val="left"/>
              <w:rPr>
                <w:rFonts w:ascii="Cambria" w:hAnsi="Cambria"/>
                <w:b/>
                <w:bCs/>
                <w:sz w:val="20"/>
              </w:rPr>
            </w:pPr>
            <w:r>
              <w:rPr>
                <w:rFonts w:ascii="Cambria" w:hAnsi="Cambria"/>
                <w:b/>
                <w:bCs/>
                <w:sz w:val="20"/>
              </w:rPr>
              <w:t>Saldo final 31.12.201</w:t>
            </w:r>
            <w:r w:rsidR="009A33D2">
              <w:rPr>
                <w:rFonts w:ascii="Cambria" w:hAnsi="Cambria"/>
                <w:b/>
                <w:bCs/>
                <w:sz w:val="20"/>
              </w:rPr>
              <w:t>9</w:t>
            </w:r>
          </w:p>
        </w:tc>
        <w:tc>
          <w:tcPr>
            <w:tcW w:w="784" w:type="dxa"/>
            <w:shd w:val="clear" w:color="auto" w:fill="auto"/>
            <w:noWrap/>
            <w:vAlign w:val="center"/>
          </w:tcPr>
          <w:p w14:paraId="2CBB87C6" w14:textId="20060946" w:rsidR="00E17C91" w:rsidRPr="00E17C91" w:rsidRDefault="009A33D2" w:rsidP="00894F68">
            <w:pPr>
              <w:jc w:val="right"/>
              <w:rPr>
                <w:rFonts w:ascii="Cambria" w:hAnsi="Cambria"/>
                <w:b/>
                <w:bCs/>
                <w:sz w:val="20"/>
              </w:rPr>
            </w:pPr>
            <w:r>
              <w:rPr>
                <w:rFonts w:ascii="Cambria" w:hAnsi="Cambria"/>
                <w:b/>
                <w:bCs/>
                <w:sz w:val="20"/>
              </w:rPr>
              <w:t>935</w:t>
            </w:r>
          </w:p>
        </w:tc>
      </w:tr>
      <w:tr w:rsidR="0076458B" w:rsidRPr="0081499D" w14:paraId="45596CEC" w14:textId="77777777" w:rsidTr="0076458B">
        <w:trPr>
          <w:trHeight w:val="270"/>
        </w:trPr>
        <w:tc>
          <w:tcPr>
            <w:tcW w:w="4534" w:type="dxa"/>
            <w:shd w:val="clear" w:color="auto" w:fill="auto"/>
            <w:noWrap/>
            <w:vAlign w:val="bottom"/>
          </w:tcPr>
          <w:p w14:paraId="149043C0" w14:textId="1F65D487" w:rsidR="0076458B" w:rsidRPr="00E17C91" w:rsidRDefault="0076458B" w:rsidP="0076458B">
            <w:pPr>
              <w:jc w:val="left"/>
              <w:rPr>
                <w:rFonts w:ascii="Cambria" w:hAnsi="Cambria"/>
                <w:sz w:val="20"/>
              </w:rPr>
            </w:pPr>
            <w:r w:rsidRPr="00E17C91">
              <w:rPr>
                <w:rFonts w:ascii="Cambria" w:hAnsi="Cambria"/>
                <w:sz w:val="20"/>
              </w:rPr>
              <w:t>Dotac</w:t>
            </w:r>
            <w:r w:rsidR="00894F68">
              <w:rPr>
                <w:rFonts w:ascii="Cambria" w:hAnsi="Cambria"/>
                <w:sz w:val="20"/>
              </w:rPr>
              <w:t>ión suplementaria ejercicio 20</w:t>
            </w:r>
            <w:r w:rsidR="009A33D2">
              <w:rPr>
                <w:rFonts w:ascii="Cambria" w:hAnsi="Cambria"/>
                <w:sz w:val="20"/>
              </w:rPr>
              <w:t>20</w:t>
            </w:r>
            <w:r w:rsidRPr="00E17C91">
              <w:rPr>
                <w:rFonts w:ascii="Cambria" w:hAnsi="Cambria"/>
                <w:sz w:val="20"/>
              </w:rPr>
              <w:t xml:space="preserve"> (Nota 11)</w:t>
            </w:r>
          </w:p>
        </w:tc>
        <w:tc>
          <w:tcPr>
            <w:tcW w:w="784" w:type="dxa"/>
            <w:shd w:val="clear" w:color="auto" w:fill="auto"/>
            <w:noWrap/>
            <w:vAlign w:val="bottom"/>
          </w:tcPr>
          <w:p w14:paraId="7D83D398" w14:textId="686611D6" w:rsidR="0076458B" w:rsidRPr="003B41E8" w:rsidRDefault="009A33D2" w:rsidP="009A33D2">
            <w:pPr>
              <w:jc w:val="right"/>
              <w:rPr>
                <w:rFonts w:ascii="Cambria" w:hAnsi="Cambria"/>
                <w:bCs/>
                <w:sz w:val="20"/>
              </w:rPr>
            </w:pPr>
            <w:r w:rsidRPr="003B41E8">
              <w:rPr>
                <w:rFonts w:ascii="Cambria" w:hAnsi="Cambria"/>
                <w:bCs/>
                <w:sz w:val="20"/>
              </w:rPr>
              <w:t>2</w:t>
            </w:r>
            <w:r w:rsidR="00825DAD">
              <w:rPr>
                <w:rFonts w:ascii="Cambria" w:hAnsi="Cambria"/>
                <w:bCs/>
                <w:sz w:val="20"/>
              </w:rPr>
              <w:t>1</w:t>
            </w:r>
          </w:p>
        </w:tc>
      </w:tr>
      <w:tr w:rsidR="0076458B" w:rsidRPr="0081499D" w14:paraId="4E84E98B" w14:textId="77777777" w:rsidTr="0076458B">
        <w:trPr>
          <w:trHeight w:val="270"/>
        </w:trPr>
        <w:tc>
          <w:tcPr>
            <w:tcW w:w="4534" w:type="dxa"/>
            <w:shd w:val="clear" w:color="auto" w:fill="auto"/>
            <w:noWrap/>
            <w:vAlign w:val="bottom"/>
          </w:tcPr>
          <w:p w14:paraId="12B47992" w14:textId="183C262E" w:rsidR="0076458B" w:rsidRPr="00E17C91" w:rsidRDefault="0076458B" w:rsidP="0076458B">
            <w:pPr>
              <w:jc w:val="left"/>
              <w:rPr>
                <w:rFonts w:ascii="Cambria" w:hAnsi="Cambria"/>
                <w:sz w:val="20"/>
              </w:rPr>
            </w:pPr>
            <w:r w:rsidRPr="00E17C91">
              <w:rPr>
                <w:rFonts w:ascii="Cambria" w:hAnsi="Cambria"/>
                <w:sz w:val="20"/>
              </w:rPr>
              <w:t>Apl</w:t>
            </w:r>
            <w:r w:rsidR="00894F68">
              <w:rPr>
                <w:rFonts w:ascii="Cambria" w:hAnsi="Cambria"/>
                <w:sz w:val="20"/>
              </w:rPr>
              <w:t>icación provisión ejercicio 20</w:t>
            </w:r>
            <w:r w:rsidR="009A33D2">
              <w:rPr>
                <w:rFonts w:ascii="Cambria" w:hAnsi="Cambria"/>
                <w:sz w:val="20"/>
              </w:rPr>
              <w:t>20</w:t>
            </w:r>
            <w:r w:rsidRPr="00E17C91">
              <w:rPr>
                <w:rFonts w:ascii="Cambria" w:hAnsi="Cambria"/>
                <w:sz w:val="20"/>
              </w:rPr>
              <w:t xml:space="preserve"> (Nota 11)</w:t>
            </w:r>
          </w:p>
        </w:tc>
        <w:tc>
          <w:tcPr>
            <w:tcW w:w="784" w:type="dxa"/>
            <w:shd w:val="clear" w:color="auto" w:fill="auto"/>
            <w:noWrap/>
            <w:vAlign w:val="bottom"/>
          </w:tcPr>
          <w:p w14:paraId="30A895BB" w14:textId="71EB2F41" w:rsidR="0076458B" w:rsidRPr="003B41E8" w:rsidRDefault="00894F68" w:rsidP="00E17C91">
            <w:pPr>
              <w:jc w:val="right"/>
              <w:rPr>
                <w:rFonts w:ascii="Cambria" w:hAnsi="Cambria"/>
                <w:bCs/>
                <w:sz w:val="20"/>
              </w:rPr>
            </w:pPr>
            <w:r w:rsidRPr="003B41E8">
              <w:rPr>
                <w:rFonts w:ascii="Cambria" w:hAnsi="Cambria"/>
                <w:bCs/>
                <w:sz w:val="20"/>
              </w:rPr>
              <w:t>(2</w:t>
            </w:r>
            <w:r w:rsidR="009A33D2" w:rsidRPr="003B41E8">
              <w:rPr>
                <w:rFonts w:ascii="Cambria" w:hAnsi="Cambria"/>
                <w:bCs/>
                <w:sz w:val="20"/>
              </w:rPr>
              <w:t>36</w:t>
            </w:r>
            <w:r w:rsidRPr="003B41E8">
              <w:rPr>
                <w:rFonts w:ascii="Cambria" w:hAnsi="Cambria"/>
                <w:bCs/>
                <w:sz w:val="20"/>
              </w:rPr>
              <w:t>)</w:t>
            </w:r>
          </w:p>
        </w:tc>
      </w:tr>
      <w:tr w:rsidR="0076458B" w:rsidRPr="0081499D" w14:paraId="3429D09C" w14:textId="77777777" w:rsidTr="0076458B">
        <w:trPr>
          <w:trHeight w:val="270"/>
        </w:trPr>
        <w:tc>
          <w:tcPr>
            <w:tcW w:w="4534" w:type="dxa"/>
            <w:shd w:val="clear" w:color="auto" w:fill="auto"/>
            <w:noWrap/>
            <w:vAlign w:val="center"/>
          </w:tcPr>
          <w:p w14:paraId="5C0065B1" w14:textId="6E49745F" w:rsidR="0076458B" w:rsidRPr="00E17C91" w:rsidRDefault="0076458B" w:rsidP="0076458B">
            <w:pPr>
              <w:jc w:val="left"/>
              <w:rPr>
                <w:rFonts w:ascii="Cambria" w:hAnsi="Cambria"/>
                <w:b/>
                <w:bCs/>
                <w:sz w:val="20"/>
              </w:rPr>
            </w:pPr>
            <w:r w:rsidRPr="00E17C91">
              <w:rPr>
                <w:rFonts w:ascii="Cambria" w:hAnsi="Cambria"/>
                <w:b/>
                <w:bCs/>
                <w:sz w:val="20"/>
              </w:rPr>
              <w:t>Sal</w:t>
            </w:r>
            <w:r w:rsidR="00EC6F0D" w:rsidRPr="00E17C91">
              <w:rPr>
                <w:rFonts w:ascii="Cambria" w:hAnsi="Cambria"/>
                <w:b/>
                <w:bCs/>
                <w:sz w:val="20"/>
              </w:rPr>
              <w:t>do final 31.12.20</w:t>
            </w:r>
            <w:r w:rsidR="00825DAD">
              <w:rPr>
                <w:rFonts w:ascii="Cambria" w:hAnsi="Cambria"/>
                <w:b/>
                <w:bCs/>
                <w:sz w:val="20"/>
              </w:rPr>
              <w:t>20</w:t>
            </w:r>
          </w:p>
        </w:tc>
        <w:tc>
          <w:tcPr>
            <w:tcW w:w="784" w:type="dxa"/>
            <w:shd w:val="clear" w:color="auto" w:fill="auto"/>
            <w:noWrap/>
            <w:vAlign w:val="center"/>
          </w:tcPr>
          <w:p w14:paraId="164A1C3B" w14:textId="5E0B753A" w:rsidR="0076458B" w:rsidRPr="003B41E8" w:rsidRDefault="009A33D2" w:rsidP="00247716">
            <w:pPr>
              <w:jc w:val="right"/>
              <w:rPr>
                <w:rFonts w:ascii="Cambria" w:hAnsi="Cambria"/>
                <w:b/>
                <w:bCs/>
                <w:sz w:val="20"/>
              </w:rPr>
            </w:pPr>
            <w:r w:rsidRPr="003B41E8">
              <w:rPr>
                <w:rFonts w:ascii="Cambria" w:hAnsi="Cambria"/>
                <w:b/>
                <w:bCs/>
                <w:sz w:val="20"/>
              </w:rPr>
              <w:t>72</w:t>
            </w:r>
            <w:r w:rsidR="00825DAD">
              <w:rPr>
                <w:rFonts w:ascii="Cambria" w:hAnsi="Cambria"/>
                <w:b/>
                <w:bCs/>
                <w:sz w:val="20"/>
              </w:rPr>
              <w:t>0</w:t>
            </w:r>
          </w:p>
        </w:tc>
      </w:tr>
    </w:tbl>
    <w:p w14:paraId="4334CDF5" w14:textId="77777777" w:rsidR="001B120F" w:rsidRPr="00C407D3" w:rsidRDefault="001B120F" w:rsidP="00C32165">
      <w:pPr>
        <w:pStyle w:val="Ttulo1a"/>
        <w:ind w:left="567"/>
        <w:rPr>
          <w:rFonts w:ascii="Cambria" w:hAnsi="Cambria"/>
          <w:sz w:val="24"/>
          <w:szCs w:val="24"/>
          <w:highlight w:val="yellow"/>
        </w:rPr>
      </w:pPr>
    </w:p>
    <w:p w14:paraId="5BCE0F50" w14:textId="77777777" w:rsidR="00247716" w:rsidRPr="00C407D3" w:rsidRDefault="00247716" w:rsidP="00247716">
      <w:pPr>
        <w:rPr>
          <w:highlight w:val="yellow"/>
        </w:rPr>
      </w:pPr>
    </w:p>
    <w:tbl>
      <w:tblPr>
        <w:tblW w:w="5318" w:type="dxa"/>
        <w:tblInd w:w="1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784"/>
      </w:tblGrid>
      <w:tr w:rsidR="009A33D2" w:rsidRPr="0081499D" w14:paraId="46AF0B9F" w14:textId="77777777" w:rsidTr="00CC701A">
        <w:trPr>
          <w:trHeight w:val="270"/>
        </w:trPr>
        <w:tc>
          <w:tcPr>
            <w:tcW w:w="4534" w:type="dxa"/>
            <w:shd w:val="clear" w:color="auto" w:fill="auto"/>
            <w:noWrap/>
            <w:vAlign w:val="center"/>
          </w:tcPr>
          <w:p w14:paraId="0B2E4BB4" w14:textId="586CD9EA" w:rsidR="009A33D2" w:rsidRPr="00E17C91" w:rsidRDefault="009A33D2" w:rsidP="009A33D2">
            <w:pPr>
              <w:jc w:val="left"/>
              <w:rPr>
                <w:rFonts w:ascii="Cambria" w:hAnsi="Cambria"/>
                <w:b/>
                <w:bCs/>
                <w:sz w:val="20"/>
              </w:rPr>
            </w:pPr>
            <w:r>
              <w:rPr>
                <w:rFonts w:ascii="Cambria" w:hAnsi="Cambria"/>
                <w:b/>
                <w:bCs/>
                <w:sz w:val="20"/>
              </w:rPr>
              <w:t>Saldo final 31.12.2018</w:t>
            </w:r>
          </w:p>
        </w:tc>
        <w:tc>
          <w:tcPr>
            <w:tcW w:w="784" w:type="dxa"/>
            <w:shd w:val="clear" w:color="auto" w:fill="auto"/>
            <w:noWrap/>
            <w:vAlign w:val="center"/>
          </w:tcPr>
          <w:p w14:paraId="0A1AF17D" w14:textId="48D19B72" w:rsidR="009A33D2" w:rsidRPr="00E17C91" w:rsidRDefault="009A33D2" w:rsidP="009A33D2">
            <w:pPr>
              <w:jc w:val="right"/>
              <w:rPr>
                <w:rFonts w:ascii="Cambria" w:hAnsi="Cambria"/>
                <w:b/>
                <w:bCs/>
                <w:sz w:val="20"/>
              </w:rPr>
            </w:pPr>
            <w:r w:rsidRPr="00E17C91">
              <w:rPr>
                <w:rFonts w:ascii="Cambria" w:hAnsi="Cambria"/>
                <w:b/>
                <w:bCs/>
                <w:sz w:val="20"/>
              </w:rPr>
              <w:t>1.1</w:t>
            </w:r>
            <w:r>
              <w:rPr>
                <w:rFonts w:ascii="Cambria" w:hAnsi="Cambria"/>
                <w:b/>
                <w:bCs/>
                <w:sz w:val="20"/>
              </w:rPr>
              <w:t>60</w:t>
            </w:r>
          </w:p>
        </w:tc>
      </w:tr>
      <w:tr w:rsidR="009A33D2" w:rsidRPr="0081499D" w14:paraId="6114499D" w14:textId="77777777" w:rsidTr="00CC701A">
        <w:trPr>
          <w:trHeight w:val="270"/>
        </w:trPr>
        <w:tc>
          <w:tcPr>
            <w:tcW w:w="4534" w:type="dxa"/>
            <w:shd w:val="clear" w:color="auto" w:fill="auto"/>
            <w:noWrap/>
            <w:vAlign w:val="bottom"/>
          </w:tcPr>
          <w:p w14:paraId="445DA9FA" w14:textId="7524CFCB" w:rsidR="009A33D2" w:rsidRPr="00E17C91" w:rsidRDefault="009A33D2" w:rsidP="009A33D2">
            <w:pPr>
              <w:jc w:val="left"/>
              <w:rPr>
                <w:rFonts w:ascii="Cambria" w:hAnsi="Cambria"/>
                <w:sz w:val="20"/>
              </w:rPr>
            </w:pPr>
            <w:r w:rsidRPr="00E17C91">
              <w:rPr>
                <w:rFonts w:ascii="Cambria" w:hAnsi="Cambria"/>
                <w:sz w:val="20"/>
              </w:rPr>
              <w:t>Dotac</w:t>
            </w:r>
            <w:r>
              <w:rPr>
                <w:rFonts w:ascii="Cambria" w:hAnsi="Cambria"/>
                <w:sz w:val="20"/>
              </w:rPr>
              <w:t>ión suplementaria ejercicio 2019</w:t>
            </w:r>
            <w:r w:rsidRPr="00E17C91">
              <w:rPr>
                <w:rFonts w:ascii="Cambria" w:hAnsi="Cambria"/>
                <w:sz w:val="20"/>
              </w:rPr>
              <w:t xml:space="preserve"> (Nota 11)</w:t>
            </w:r>
          </w:p>
        </w:tc>
        <w:tc>
          <w:tcPr>
            <w:tcW w:w="784" w:type="dxa"/>
            <w:shd w:val="clear" w:color="auto" w:fill="auto"/>
            <w:noWrap/>
            <w:vAlign w:val="bottom"/>
          </w:tcPr>
          <w:p w14:paraId="584EC624" w14:textId="03A1014E" w:rsidR="009A33D2" w:rsidRPr="00E17C91" w:rsidRDefault="009A33D2" w:rsidP="009A33D2">
            <w:pPr>
              <w:jc w:val="right"/>
              <w:rPr>
                <w:rFonts w:ascii="Cambria" w:hAnsi="Cambria"/>
                <w:bCs/>
                <w:sz w:val="20"/>
              </w:rPr>
            </w:pPr>
            <w:r>
              <w:rPr>
                <w:rFonts w:ascii="Cambria" w:hAnsi="Cambria"/>
                <w:bCs/>
                <w:sz w:val="20"/>
              </w:rPr>
              <w:t>-</w:t>
            </w:r>
          </w:p>
        </w:tc>
      </w:tr>
      <w:tr w:rsidR="009A33D2" w:rsidRPr="0081499D" w14:paraId="7786B1D9" w14:textId="77777777" w:rsidTr="00CC701A">
        <w:trPr>
          <w:trHeight w:val="270"/>
        </w:trPr>
        <w:tc>
          <w:tcPr>
            <w:tcW w:w="4534" w:type="dxa"/>
            <w:shd w:val="clear" w:color="auto" w:fill="auto"/>
            <w:noWrap/>
            <w:vAlign w:val="bottom"/>
          </w:tcPr>
          <w:p w14:paraId="6258F382" w14:textId="0A78BF5D" w:rsidR="009A33D2" w:rsidRPr="00E17C91" w:rsidRDefault="009A33D2" w:rsidP="009A33D2">
            <w:pPr>
              <w:jc w:val="left"/>
              <w:rPr>
                <w:rFonts w:ascii="Cambria" w:hAnsi="Cambria"/>
                <w:sz w:val="20"/>
              </w:rPr>
            </w:pPr>
            <w:r w:rsidRPr="00E17C91">
              <w:rPr>
                <w:rFonts w:ascii="Cambria" w:hAnsi="Cambria"/>
                <w:sz w:val="20"/>
              </w:rPr>
              <w:t>Apl</w:t>
            </w:r>
            <w:r>
              <w:rPr>
                <w:rFonts w:ascii="Cambria" w:hAnsi="Cambria"/>
                <w:sz w:val="20"/>
              </w:rPr>
              <w:t>icación provisión ejercicio 2019</w:t>
            </w:r>
            <w:r w:rsidRPr="00E17C91">
              <w:rPr>
                <w:rFonts w:ascii="Cambria" w:hAnsi="Cambria"/>
                <w:sz w:val="20"/>
              </w:rPr>
              <w:t xml:space="preserve"> (Nota 11)</w:t>
            </w:r>
          </w:p>
        </w:tc>
        <w:tc>
          <w:tcPr>
            <w:tcW w:w="784" w:type="dxa"/>
            <w:shd w:val="clear" w:color="auto" w:fill="auto"/>
            <w:noWrap/>
            <w:vAlign w:val="bottom"/>
          </w:tcPr>
          <w:p w14:paraId="0982BC83" w14:textId="47C6DE80" w:rsidR="009A33D2" w:rsidRPr="00E17C91" w:rsidRDefault="009A33D2" w:rsidP="009A33D2">
            <w:pPr>
              <w:jc w:val="right"/>
              <w:rPr>
                <w:rFonts w:ascii="Cambria" w:hAnsi="Cambria"/>
                <w:bCs/>
                <w:sz w:val="20"/>
              </w:rPr>
            </w:pPr>
            <w:r>
              <w:rPr>
                <w:rFonts w:ascii="Cambria" w:hAnsi="Cambria"/>
                <w:bCs/>
                <w:sz w:val="20"/>
              </w:rPr>
              <w:t>(225)</w:t>
            </w:r>
          </w:p>
        </w:tc>
      </w:tr>
      <w:tr w:rsidR="009A33D2" w:rsidRPr="00F8465B" w14:paraId="49729618" w14:textId="77777777" w:rsidTr="00CC701A">
        <w:trPr>
          <w:trHeight w:val="270"/>
        </w:trPr>
        <w:tc>
          <w:tcPr>
            <w:tcW w:w="4534" w:type="dxa"/>
            <w:shd w:val="clear" w:color="auto" w:fill="auto"/>
            <w:noWrap/>
            <w:vAlign w:val="center"/>
          </w:tcPr>
          <w:p w14:paraId="0561BDE2" w14:textId="086C94F5" w:rsidR="009A33D2" w:rsidRPr="00E17C91" w:rsidRDefault="009A33D2" w:rsidP="009A33D2">
            <w:pPr>
              <w:jc w:val="left"/>
              <w:rPr>
                <w:rFonts w:ascii="Cambria" w:hAnsi="Cambria"/>
                <w:b/>
                <w:bCs/>
                <w:sz w:val="20"/>
              </w:rPr>
            </w:pPr>
            <w:r w:rsidRPr="00E17C91">
              <w:rPr>
                <w:rFonts w:ascii="Cambria" w:hAnsi="Cambria"/>
                <w:b/>
                <w:bCs/>
                <w:sz w:val="20"/>
              </w:rPr>
              <w:t>Saldo final 31.12.201</w:t>
            </w:r>
            <w:r>
              <w:rPr>
                <w:rFonts w:ascii="Cambria" w:hAnsi="Cambria"/>
                <w:b/>
                <w:bCs/>
                <w:sz w:val="20"/>
              </w:rPr>
              <w:t>9</w:t>
            </w:r>
          </w:p>
        </w:tc>
        <w:tc>
          <w:tcPr>
            <w:tcW w:w="784" w:type="dxa"/>
            <w:shd w:val="clear" w:color="auto" w:fill="auto"/>
            <w:noWrap/>
            <w:vAlign w:val="center"/>
          </w:tcPr>
          <w:p w14:paraId="11BE37E2" w14:textId="06FC37B6" w:rsidR="009A33D2" w:rsidRPr="00E17C91" w:rsidRDefault="009A33D2" w:rsidP="009A33D2">
            <w:pPr>
              <w:jc w:val="right"/>
              <w:rPr>
                <w:rFonts w:ascii="Cambria" w:hAnsi="Cambria"/>
                <w:b/>
                <w:bCs/>
                <w:sz w:val="20"/>
              </w:rPr>
            </w:pPr>
            <w:r>
              <w:rPr>
                <w:rFonts w:ascii="Cambria" w:hAnsi="Cambria"/>
                <w:b/>
                <w:bCs/>
                <w:sz w:val="20"/>
              </w:rPr>
              <w:t>935</w:t>
            </w:r>
          </w:p>
        </w:tc>
      </w:tr>
    </w:tbl>
    <w:p w14:paraId="4BF4EB03" w14:textId="77777777" w:rsidR="00232A5F" w:rsidRDefault="00232A5F" w:rsidP="00C32165">
      <w:pPr>
        <w:pStyle w:val="Ttulo1a"/>
        <w:ind w:left="567"/>
        <w:rPr>
          <w:rFonts w:ascii="Cambria" w:hAnsi="Cambria"/>
          <w:sz w:val="24"/>
          <w:szCs w:val="24"/>
        </w:rPr>
      </w:pPr>
    </w:p>
    <w:p w14:paraId="0DE8B932" w14:textId="77777777" w:rsidR="00A20CB6" w:rsidRDefault="00A20CB6" w:rsidP="00A56B07"/>
    <w:p w14:paraId="33B37764" w14:textId="77777777" w:rsidR="0025382F" w:rsidRPr="00D917F0" w:rsidRDefault="0025382F" w:rsidP="00C32165">
      <w:pPr>
        <w:pStyle w:val="Ttulo1a"/>
        <w:ind w:left="567"/>
        <w:rPr>
          <w:rFonts w:ascii="Cambria" w:hAnsi="Cambria"/>
          <w:sz w:val="24"/>
          <w:szCs w:val="24"/>
        </w:rPr>
      </w:pPr>
      <w:r w:rsidRPr="00D917F0">
        <w:rPr>
          <w:rFonts w:ascii="Cambria" w:hAnsi="Cambria"/>
          <w:sz w:val="24"/>
          <w:szCs w:val="24"/>
        </w:rPr>
        <w:t xml:space="preserve">Adicionalmente a esta provisión, se mantiene un aval por importe de </w:t>
      </w:r>
      <w:smartTag w:uri="urn:schemas-microsoft-com:office:smarttags" w:element="metricconverter">
        <w:smartTagPr>
          <w:attr w:name="ProductID" w:val="2.327 miles"/>
        </w:smartTagPr>
        <w:r w:rsidRPr="00D917F0">
          <w:rPr>
            <w:rFonts w:ascii="Cambria" w:hAnsi="Cambria"/>
            <w:sz w:val="24"/>
            <w:szCs w:val="24"/>
          </w:rPr>
          <w:t>2.</w:t>
        </w:r>
        <w:r w:rsidR="00DB5545" w:rsidRPr="00D917F0">
          <w:rPr>
            <w:rFonts w:ascii="Cambria" w:hAnsi="Cambria"/>
            <w:sz w:val="24"/>
            <w:szCs w:val="24"/>
          </w:rPr>
          <w:t>3</w:t>
        </w:r>
        <w:r w:rsidRPr="00D917F0">
          <w:rPr>
            <w:rFonts w:ascii="Cambria" w:hAnsi="Cambria"/>
            <w:sz w:val="24"/>
            <w:szCs w:val="24"/>
          </w:rPr>
          <w:t>27 miles</w:t>
        </w:r>
      </w:smartTag>
      <w:r w:rsidRPr="00D917F0">
        <w:rPr>
          <w:rFonts w:ascii="Cambria" w:hAnsi="Cambria"/>
          <w:sz w:val="24"/>
          <w:szCs w:val="24"/>
        </w:rPr>
        <w:t xml:space="preserve"> de euros ante la Junta de Andalucía, con el que se garantiza que se van a realizar todos los trabajos previstos en el proyecto de restauración.</w:t>
      </w:r>
    </w:p>
    <w:p w14:paraId="06F7FB24" w14:textId="77777777" w:rsidR="00BC0DEC" w:rsidRPr="00D917F0" w:rsidRDefault="00BC0DEC" w:rsidP="00C32165">
      <w:pPr>
        <w:pStyle w:val="Ttulo1a"/>
        <w:ind w:left="567"/>
        <w:rPr>
          <w:rFonts w:ascii="Cambria" w:hAnsi="Cambria"/>
          <w:sz w:val="24"/>
          <w:szCs w:val="24"/>
        </w:rPr>
      </w:pPr>
    </w:p>
    <w:p w14:paraId="726A5650" w14:textId="77777777" w:rsidR="007D6694" w:rsidRDefault="00BC0DEC" w:rsidP="00C32165">
      <w:pPr>
        <w:pStyle w:val="Ttulo1a"/>
        <w:ind w:left="567"/>
        <w:rPr>
          <w:rFonts w:ascii="Cambria" w:hAnsi="Cambria"/>
          <w:sz w:val="24"/>
          <w:szCs w:val="24"/>
        </w:rPr>
      </w:pPr>
      <w:r w:rsidRPr="00D917F0">
        <w:rPr>
          <w:rFonts w:ascii="Cambria" w:hAnsi="Cambria"/>
          <w:sz w:val="24"/>
          <w:szCs w:val="24"/>
        </w:rPr>
        <w:t>D</w:t>
      </w:r>
      <w:r w:rsidR="0025382F" w:rsidRPr="00D917F0">
        <w:rPr>
          <w:rFonts w:ascii="Cambria" w:hAnsi="Cambria"/>
          <w:sz w:val="24"/>
          <w:szCs w:val="24"/>
        </w:rPr>
        <w:t>urante el ejercicio no se han obtenido subvenciones por los trabajos de restauración realizados.</w:t>
      </w:r>
      <w:r w:rsidR="00980CD9" w:rsidRPr="00D917F0">
        <w:rPr>
          <w:rFonts w:ascii="Cambria" w:hAnsi="Cambria"/>
          <w:sz w:val="24"/>
          <w:szCs w:val="24"/>
        </w:rPr>
        <w:t xml:space="preserve"> </w:t>
      </w:r>
      <w:r w:rsidR="007F5FAA" w:rsidRPr="00D917F0">
        <w:rPr>
          <w:rFonts w:ascii="Cambria" w:hAnsi="Cambria"/>
          <w:sz w:val="24"/>
          <w:szCs w:val="24"/>
        </w:rPr>
        <w:t>N</w:t>
      </w:r>
      <w:r w:rsidR="0025382F" w:rsidRPr="00D917F0">
        <w:rPr>
          <w:rFonts w:ascii="Cambria" w:hAnsi="Cambria"/>
          <w:sz w:val="24"/>
          <w:szCs w:val="24"/>
        </w:rPr>
        <w:t xml:space="preserve">o existe ningún tipo de contingencia que pudiera originar eventuales efectos negativos en el patrimonio y en la cuenta de resultados de la </w:t>
      </w:r>
      <w:r w:rsidR="00980CD9" w:rsidRPr="00D917F0">
        <w:rPr>
          <w:rFonts w:ascii="Cambria" w:hAnsi="Cambria"/>
          <w:sz w:val="24"/>
          <w:szCs w:val="24"/>
        </w:rPr>
        <w:t>S</w:t>
      </w:r>
      <w:r w:rsidR="0025382F" w:rsidRPr="00D917F0">
        <w:rPr>
          <w:rFonts w:ascii="Cambria" w:hAnsi="Cambria"/>
          <w:sz w:val="24"/>
          <w:szCs w:val="24"/>
        </w:rPr>
        <w:t>ociedad.</w:t>
      </w:r>
      <w:r w:rsidR="0025382F" w:rsidRPr="00F8465B">
        <w:rPr>
          <w:rFonts w:ascii="Cambria" w:hAnsi="Cambria"/>
          <w:sz w:val="24"/>
          <w:szCs w:val="24"/>
        </w:rPr>
        <w:t xml:space="preserve"> </w:t>
      </w:r>
    </w:p>
    <w:p w14:paraId="747E2AC7" w14:textId="2E63533D" w:rsidR="005726A8" w:rsidRDefault="005726A8">
      <w:pPr>
        <w:keepLines w:val="0"/>
        <w:widowControl/>
        <w:jc w:val="left"/>
      </w:pPr>
      <w:r>
        <w:br w:type="page"/>
      </w:r>
    </w:p>
    <w:p w14:paraId="337D10EB" w14:textId="77777777" w:rsidR="00247716" w:rsidRDefault="00247716" w:rsidP="00247716"/>
    <w:p w14:paraId="273C0DE7" w14:textId="77777777" w:rsidR="00915BF9" w:rsidRPr="00F8465B" w:rsidRDefault="002C25AE" w:rsidP="00247716">
      <w:pPr>
        <w:pStyle w:val="Ttulo2"/>
        <w:keepNext/>
        <w:ind w:left="567"/>
        <w:rPr>
          <w:rFonts w:ascii="Cambria" w:hAnsi="Cambria"/>
          <w:sz w:val="24"/>
          <w:szCs w:val="24"/>
        </w:rPr>
      </w:pPr>
      <w:bookmarkStart w:id="23" w:name="_Hlk64034821"/>
      <w:r w:rsidRPr="00F8465B">
        <w:rPr>
          <w:rFonts w:ascii="Cambria" w:hAnsi="Cambria"/>
          <w:sz w:val="24"/>
          <w:szCs w:val="24"/>
        </w:rPr>
        <w:t>1</w:t>
      </w:r>
      <w:r w:rsidR="004237E5" w:rsidRPr="00F8465B">
        <w:rPr>
          <w:rFonts w:ascii="Cambria" w:hAnsi="Cambria"/>
          <w:sz w:val="24"/>
          <w:szCs w:val="24"/>
        </w:rPr>
        <w:t>4</w:t>
      </w:r>
      <w:r w:rsidR="00C2020B" w:rsidRPr="00F8465B">
        <w:rPr>
          <w:rFonts w:ascii="Cambria" w:hAnsi="Cambria"/>
          <w:sz w:val="24"/>
          <w:szCs w:val="24"/>
        </w:rPr>
        <w:t xml:space="preserve">.2 </w:t>
      </w:r>
      <w:r w:rsidR="00915BF9" w:rsidRPr="00F8465B">
        <w:rPr>
          <w:rFonts w:ascii="Cambria" w:hAnsi="Cambria"/>
          <w:sz w:val="24"/>
          <w:szCs w:val="24"/>
        </w:rPr>
        <w:t xml:space="preserve">Personal </w:t>
      </w:r>
    </w:p>
    <w:p w14:paraId="45EE2944" w14:textId="77777777" w:rsidR="00915BF9" w:rsidRPr="00F8465B" w:rsidRDefault="00915BF9" w:rsidP="00C32165">
      <w:pPr>
        <w:pStyle w:val="Ttulo1a"/>
        <w:ind w:left="567"/>
        <w:rPr>
          <w:rFonts w:ascii="Cambria" w:hAnsi="Cambria"/>
          <w:sz w:val="24"/>
          <w:szCs w:val="24"/>
        </w:rPr>
      </w:pPr>
    </w:p>
    <w:p w14:paraId="5CB1E114" w14:textId="1F9358C6" w:rsidR="00C43D60" w:rsidRPr="00F8465B" w:rsidRDefault="008D6CD7" w:rsidP="002D6127">
      <w:pPr>
        <w:pStyle w:val="Ttulo1a"/>
        <w:ind w:left="567"/>
        <w:rPr>
          <w:rFonts w:ascii="Cambria" w:hAnsi="Cambria"/>
          <w:sz w:val="24"/>
          <w:szCs w:val="24"/>
        </w:rPr>
      </w:pPr>
      <w:r w:rsidRPr="00F8465B">
        <w:rPr>
          <w:rFonts w:ascii="Cambria" w:hAnsi="Cambria"/>
          <w:sz w:val="24"/>
          <w:szCs w:val="24"/>
        </w:rPr>
        <w:t>El número medio de personas empleadas dur</w:t>
      </w:r>
      <w:r w:rsidRPr="00B82EA9">
        <w:rPr>
          <w:rFonts w:ascii="Cambria" w:hAnsi="Cambria"/>
          <w:sz w:val="24"/>
          <w:szCs w:val="24"/>
        </w:rPr>
        <w:t xml:space="preserve">ante </w:t>
      </w:r>
      <w:r w:rsidR="00C2020B" w:rsidRPr="00B82EA9">
        <w:rPr>
          <w:rFonts w:ascii="Cambria" w:hAnsi="Cambria"/>
          <w:sz w:val="24"/>
          <w:szCs w:val="24"/>
        </w:rPr>
        <w:t xml:space="preserve">los ejercicios </w:t>
      </w:r>
      <w:r w:rsidRPr="00B82EA9">
        <w:rPr>
          <w:rFonts w:ascii="Cambria" w:hAnsi="Cambria"/>
          <w:sz w:val="24"/>
          <w:szCs w:val="24"/>
        </w:rPr>
        <w:t>20</w:t>
      </w:r>
      <w:r w:rsidR="009A33D2">
        <w:rPr>
          <w:rFonts w:ascii="Cambria" w:hAnsi="Cambria"/>
          <w:sz w:val="24"/>
          <w:szCs w:val="24"/>
        </w:rPr>
        <w:t>20</w:t>
      </w:r>
      <w:r w:rsidR="00D505EB" w:rsidRPr="00B82EA9">
        <w:rPr>
          <w:rFonts w:ascii="Cambria" w:hAnsi="Cambria"/>
          <w:sz w:val="24"/>
          <w:szCs w:val="24"/>
        </w:rPr>
        <w:t xml:space="preserve"> y 201</w:t>
      </w:r>
      <w:r w:rsidR="009A33D2">
        <w:rPr>
          <w:rFonts w:ascii="Cambria" w:hAnsi="Cambria"/>
          <w:sz w:val="24"/>
          <w:szCs w:val="24"/>
        </w:rPr>
        <w:t>9</w:t>
      </w:r>
      <w:r w:rsidRPr="00B82EA9">
        <w:rPr>
          <w:rFonts w:ascii="Cambria" w:hAnsi="Cambria"/>
          <w:sz w:val="24"/>
          <w:szCs w:val="24"/>
        </w:rPr>
        <w:t>, detallado por categorías, es el siguiente:</w:t>
      </w:r>
    </w:p>
    <w:p w14:paraId="2F14B221" w14:textId="77777777" w:rsidR="007F5FAA" w:rsidRPr="00F8465B" w:rsidRDefault="007F5FAA" w:rsidP="00AD73A3">
      <w:pPr>
        <w:ind w:left="426"/>
        <w:rPr>
          <w:rFonts w:ascii="Cambria" w:hAnsi="Cambria"/>
          <w:sz w:val="24"/>
          <w:szCs w:val="24"/>
        </w:rPr>
      </w:pPr>
    </w:p>
    <w:tbl>
      <w:tblPr>
        <w:tblW w:w="7778" w:type="dxa"/>
        <w:jc w:val="center"/>
        <w:tblCellMar>
          <w:left w:w="70" w:type="dxa"/>
          <w:right w:w="70" w:type="dxa"/>
        </w:tblCellMar>
        <w:tblLook w:val="04A0" w:firstRow="1" w:lastRow="0" w:firstColumn="1" w:lastColumn="0" w:noHBand="0" w:noVBand="1"/>
      </w:tblPr>
      <w:tblGrid>
        <w:gridCol w:w="4698"/>
        <w:gridCol w:w="1540"/>
        <w:gridCol w:w="1540"/>
      </w:tblGrid>
      <w:tr w:rsidR="009A33D2" w:rsidRPr="00F8465B" w14:paraId="60625BBE" w14:textId="77777777" w:rsidTr="009A33D2">
        <w:trPr>
          <w:trHeight w:val="255"/>
          <w:jc w:val="center"/>
        </w:trPr>
        <w:tc>
          <w:tcPr>
            <w:tcW w:w="4698" w:type="dxa"/>
            <w:tcBorders>
              <w:top w:val="single" w:sz="4" w:space="0" w:color="auto"/>
              <w:left w:val="single" w:sz="4" w:space="0" w:color="auto"/>
              <w:bottom w:val="single" w:sz="4" w:space="0" w:color="auto"/>
              <w:right w:val="single" w:sz="4" w:space="0" w:color="auto"/>
            </w:tcBorders>
            <w:shd w:val="clear" w:color="000000" w:fill="FFFFFF"/>
            <w:vAlign w:val="center"/>
          </w:tcPr>
          <w:p w14:paraId="48026B1D" w14:textId="77777777" w:rsidR="009A33D2" w:rsidRPr="00F8465B" w:rsidRDefault="009A33D2" w:rsidP="009A33D2">
            <w:pPr>
              <w:keepLines w:val="0"/>
              <w:widowControl/>
              <w:jc w:val="center"/>
              <w:rPr>
                <w:rFonts w:ascii="Cambria" w:hAnsi="Cambria"/>
                <w:b/>
                <w:bCs/>
                <w:sz w:val="20"/>
                <w:lang w:val="es-ES"/>
              </w:rPr>
            </w:pPr>
            <w:r w:rsidRPr="00F8465B">
              <w:rPr>
                <w:rFonts w:ascii="Cambria" w:hAnsi="Cambria"/>
                <w:b/>
                <w:bCs/>
                <w:sz w:val="20"/>
              </w:rPr>
              <w:t>Categoría</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FD40A2F" w14:textId="4999DF0B" w:rsidR="009A33D2" w:rsidRPr="009B51E9" w:rsidRDefault="009A33D2" w:rsidP="009A33D2">
            <w:pPr>
              <w:keepLines w:val="0"/>
              <w:widowControl/>
              <w:jc w:val="center"/>
              <w:rPr>
                <w:rFonts w:ascii="Cambria" w:hAnsi="Cambria"/>
                <w:b/>
                <w:bCs/>
                <w:snapToGrid w:val="0"/>
                <w:sz w:val="20"/>
              </w:rPr>
            </w:pPr>
            <w:r w:rsidRPr="009B51E9">
              <w:rPr>
                <w:rFonts w:ascii="Cambria" w:hAnsi="Cambria"/>
                <w:b/>
                <w:bCs/>
                <w:snapToGrid w:val="0"/>
                <w:sz w:val="20"/>
              </w:rPr>
              <w:t>2020</w:t>
            </w:r>
          </w:p>
        </w:tc>
        <w:tc>
          <w:tcPr>
            <w:tcW w:w="1540" w:type="dxa"/>
            <w:tcBorders>
              <w:top w:val="single" w:sz="4" w:space="0" w:color="auto"/>
              <w:left w:val="single" w:sz="4" w:space="0" w:color="auto"/>
              <w:bottom w:val="single" w:sz="4" w:space="0" w:color="auto"/>
              <w:right w:val="single" w:sz="4" w:space="0" w:color="auto"/>
            </w:tcBorders>
            <w:shd w:val="clear" w:color="000000" w:fill="FFFFFF"/>
          </w:tcPr>
          <w:p w14:paraId="23A3AF98" w14:textId="31FA3EBB" w:rsidR="009A33D2" w:rsidRPr="00D25BFC" w:rsidRDefault="009A33D2" w:rsidP="009A33D2">
            <w:pPr>
              <w:keepLines w:val="0"/>
              <w:widowControl/>
              <w:jc w:val="center"/>
              <w:rPr>
                <w:rFonts w:ascii="Cambria" w:hAnsi="Cambria"/>
                <w:b/>
                <w:bCs/>
                <w:snapToGrid w:val="0"/>
                <w:sz w:val="20"/>
              </w:rPr>
            </w:pPr>
            <w:r w:rsidRPr="00B50675">
              <w:rPr>
                <w:rFonts w:ascii="Cambria" w:hAnsi="Cambria"/>
                <w:b/>
                <w:bCs/>
                <w:snapToGrid w:val="0"/>
                <w:sz w:val="20"/>
              </w:rPr>
              <w:t>2019</w:t>
            </w:r>
          </w:p>
        </w:tc>
      </w:tr>
      <w:tr w:rsidR="009B51E9" w:rsidRPr="00F8465B" w14:paraId="74BEABCA" w14:textId="77777777" w:rsidTr="009A33D2">
        <w:trPr>
          <w:trHeight w:val="255"/>
          <w:jc w:val="center"/>
        </w:trPr>
        <w:tc>
          <w:tcPr>
            <w:tcW w:w="4698" w:type="dxa"/>
            <w:tcBorders>
              <w:top w:val="single" w:sz="4" w:space="0" w:color="auto"/>
              <w:left w:val="single" w:sz="4" w:space="0" w:color="auto"/>
              <w:bottom w:val="nil"/>
              <w:right w:val="single" w:sz="4" w:space="0" w:color="auto"/>
            </w:tcBorders>
            <w:shd w:val="clear" w:color="000000" w:fill="FFFFFF"/>
            <w:vAlign w:val="bottom"/>
          </w:tcPr>
          <w:p w14:paraId="38667F03" w14:textId="77777777" w:rsidR="009B51E9" w:rsidRPr="00F8465B" w:rsidRDefault="009B51E9" w:rsidP="009B51E9">
            <w:pPr>
              <w:keepLines w:val="0"/>
              <w:widowControl/>
              <w:jc w:val="left"/>
              <w:rPr>
                <w:rFonts w:ascii="Cambria" w:hAnsi="Cambria"/>
                <w:sz w:val="20"/>
                <w:lang w:val="es-ES"/>
              </w:rPr>
            </w:pPr>
            <w:r w:rsidRPr="00F8465B">
              <w:rPr>
                <w:rFonts w:ascii="Cambria" w:hAnsi="Cambria"/>
                <w:sz w:val="20"/>
              </w:rPr>
              <w:t>Directores y jefes de departamento</w:t>
            </w:r>
          </w:p>
        </w:tc>
        <w:tc>
          <w:tcPr>
            <w:tcW w:w="1540" w:type="dxa"/>
            <w:tcBorders>
              <w:top w:val="single" w:sz="4" w:space="0" w:color="auto"/>
              <w:left w:val="single" w:sz="4" w:space="0" w:color="auto"/>
              <w:bottom w:val="nil"/>
              <w:right w:val="single" w:sz="4" w:space="0" w:color="auto"/>
            </w:tcBorders>
            <w:shd w:val="clear" w:color="auto" w:fill="FFFFFF" w:themeFill="background1"/>
          </w:tcPr>
          <w:p w14:paraId="4F235AA6" w14:textId="1D0C4486" w:rsidR="009B51E9" w:rsidRPr="009B51E9" w:rsidRDefault="009B51E9" w:rsidP="009B51E9">
            <w:pPr>
              <w:keepLines w:val="0"/>
              <w:widowControl/>
              <w:jc w:val="center"/>
              <w:rPr>
                <w:rFonts w:ascii="Cambria" w:hAnsi="Cambria"/>
                <w:bCs/>
                <w:sz w:val="20"/>
              </w:rPr>
            </w:pPr>
            <w:r w:rsidRPr="009B51E9">
              <w:rPr>
                <w:rFonts w:ascii="Cambria" w:hAnsi="Cambria"/>
                <w:sz w:val="20"/>
              </w:rPr>
              <w:t>4</w:t>
            </w:r>
          </w:p>
        </w:tc>
        <w:tc>
          <w:tcPr>
            <w:tcW w:w="1540" w:type="dxa"/>
            <w:tcBorders>
              <w:top w:val="single" w:sz="4" w:space="0" w:color="auto"/>
              <w:left w:val="single" w:sz="4" w:space="0" w:color="auto"/>
              <w:bottom w:val="nil"/>
              <w:right w:val="single" w:sz="4" w:space="0" w:color="auto"/>
            </w:tcBorders>
            <w:shd w:val="clear" w:color="000000" w:fill="FFFFFF"/>
          </w:tcPr>
          <w:p w14:paraId="23CC4A13" w14:textId="6845470D" w:rsidR="009B51E9" w:rsidRDefault="009B51E9" w:rsidP="009B51E9">
            <w:pPr>
              <w:keepLines w:val="0"/>
              <w:widowControl/>
              <w:jc w:val="center"/>
              <w:rPr>
                <w:rFonts w:ascii="Cambria" w:hAnsi="Cambria"/>
                <w:bCs/>
                <w:sz w:val="20"/>
              </w:rPr>
            </w:pPr>
            <w:r w:rsidRPr="00B50675">
              <w:rPr>
                <w:rFonts w:ascii="Cambria" w:hAnsi="Cambria"/>
                <w:bCs/>
                <w:sz w:val="20"/>
              </w:rPr>
              <w:t>4</w:t>
            </w:r>
          </w:p>
        </w:tc>
      </w:tr>
      <w:tr w:rsidR="009B51E9" w:rsidRPr="00F8465B" w14:paraId="74DB2A9E" w14:textId="77777777" w:rsidTr="009A33D2">
        <w:trPr>
          <w:trHeight w:val="255"/>
          <w:jc w:val="center"/>
        </w:trPr>
        <w:tc>
          <w:tcPr>
            <w:tcW w:w="4698" w:type="dxa"/>
            <w:tcBorders>
              <w:top w:val="nil"/>
              <w:left w:val="single" w:sz="4" w:space="0" w:color="auto"/>
              <w:bottom w:val="nil"/>
              <w:right w:val="single" w:sz="4" w:space="0" w:color="auto"/>
            </w:tcBorders>
            <w:shd w:val="clear" w:color="000000" w:fill="FFFFFF"/>
            <w:vAlign w:val="bottom"/>
          </w:tcPr>
          <w:p w14:paraId="51D161AA" w14:textId="77777777" w:rsidR="009B51E9" w:rsidRPr="00F8465B" w:rsidRDefault="009B51E9" w:rsidP="009B51E9">
            <w:pPr>
              <w:keepLines w:val="0"/>
              <w:widowControl/>
              <w:jc w:val="left"/>
              <w:rPr>
                <w:rFonts w:ascii="Cambria" w:hAnsi="Cambria"/>
                <w:sz w:val="20"/>
                <w:lang w:val="es-ES"/>
              </w:rPr>
            </w:pPr>
            <w:r w:rsidRPr="00F8465B">
              <w:rPr>
                <w:rFonts w:ascii="Cambria" w:hAnsi="Cambria"/>
                <w:sz w:val="20"/>
              </w:rPr>
              <w:t>Técnicos</w:t>
            </w:r>
          </w:p>
        </w:tc>
        <w:tc>
          <w:tcPr>
            <w:tcW w:w="1540" w:type="dxa"/>
            <w:tcBorders>
              <w:top w:val="nil"/>
              <w:left w:val="single" w:sz="4" w:space="0" w:color="auto"/>
              <w:bottom w:val="nil"/>
              <w:right w:val="single" w:sz="4" w:space="0" w:color="auto"/>
            </w:tcBorders>
            <w:shd w:val="clear" w:color="auto" w:fill="FFFFFF" w:themeFill="background1"/>
          </w:tcPr>
          <w:p w14:paraId="689C8535" w14:textId="6C52DE45" w:rsidR="009B51E9" w:rsidRPr="009B51E9" w:rsidRDefault="009B51E9" w:rsidP="009B51E9">
            <w:pPr>
              <w:keepLines w:val="0"/>
              <w:widowControl/>
              <w:jc w:val="center"/>
              <w:rPr>
                <w:rFonts w:ascii="Cambria" w:hAnsi="Cambria"/>
                <w:bCs/>
                <w:sz w:val="20"/>
              </w:rPr>
            </w:pPr>
            <w:r w:rsidRPr="009B51E9">
              <w:rPr>
                <w:rFonts w:ascii="Cambria" w:hAnsi="Cambria"/>
                <w:sz w:val="20"/>
              </w:rPr>
              <w:t>9,32</w:t>
            </w:r>
          </w:p>
        </w:tc>
        <w:tc>
          <w:tcPr>
            <w:tcW w:w="1540" w:type="dxa"/>
            <w:tcBorders>
              <w:top w:val="nil"/>
              <w:left w:val="single" w:sz="4" w:space="0" w:color="auto"/>
              <w:bottom w:val="nil"/>
              <w:right w:val="single" w:sz="4" w:space="0" w:color="auto"/>
            </w:tcBorders>
            <w:shd w:val="clear" w:color="000000" w:fill="FFFFFF"/>
          </w:tcPr>
          <w:p w14:paraId="64D0370B" w14:textId="44C3A3A0" w:rsidR="009B51E9" w:rsidRDefault="009B51E9" w:rsidP="009B51E9">
            <w:pPr>
              <w:keepLines w:val="0"/>
              <w:widowControl/>
              <w:jc w:val="center"/>
              <w:rPr>
                <w:rFonts w:ascii="Cambria" w:hAnsi="Cambria"/>
                <w:bCs/>
                <w:sz w:val="20"/>
              </w:rPr>
            </w:pPr>
            <w:r w:rsidRPr="00B50675">
              <w:rPr>
                <w:rFonts w:ascii="Cambria" w:hAnsi="Cambria"/>
                <w:bCs/>
                <w:sz w:val="20"/>
              </w:rPr>
              <w:t>8,67</w:t>
            </w:r>
          </w:p>
        </w:tc>
      </w:tr>
      <w:tr w:rsidR="009B51E9" w:rsidRPr="00F8465B" w14:paraId="0FC45FB6" w14:textId="77777777" w:rsidTr="009A33D2">
        <w:trPr>
          <w:trHeight w:val="255"/>
          <w:jc w:val="center"/>
        </w:trPr>
        <w:tc>
          <w:tcPr>
            <w:tcW w:w="4698" w:type="dxa"/>
            <w:tcBorders>
              <w:top w:val="nil"/>
              <w:left w:val="single" w:sz="4" w:space="0" w:color="auto"/>
              <w:bottom w:val="single" w:sz="4" w:space="0" w:color="auto"/>
              <w:right w:val="single" w:sz="4" w:space="0" w:color="auto"/>
            </w:tcBorders>
            <w:shd w:val="clear" w:color="000000" w:fill="FFFFFF"/>
            <w:vAlign w:val="bottom"/>
          </w:tcPr>
          <w:p w14:paraId="16FEF7C5" w14:textId="77777777" w:rsidR="009B51E9" w:rsidRPr="00F8465B" w:rsidRDefault="009B51E9" w:rsidP="009B51E9">
            <w:pPr>
              <w:keepLines w:val="0"/>
              <w:widowControl/>
              <w:jc w:val="left"/>
              <w:rPr>
                <w:rFonts w:ascii="Cambria" w:hAnsi="Cambria"/>
                <w:sz w:val="20"/>
                <w:lang w:val="es-ES"/>
              </w:rPr>
            </w:pPr>
            <w:r w:rsidRPr="00F8465B">
              <w:rPr>
                <w:rFonts w:ascii="Cambria" w:hAnsi="Cambria"/>
                <w:sz w:val="20"/>
              </w:rPr>
              <w:t>Administrativos</w:t>
            </w:r>
          </w:p>
        </w:tc>
        <w:tc>
          <w:tcPr>
            <w:tcW w:w="1540" w:type="dxa"/>
            <w:tcBorders>
              <w:top w:val="nil"/>
              <w:left w:val="single" w:sz="4" w:space="0" w:color="auto"/>
              <w:bottom w:val="single" w:sz="4" w:space="0" w:color="auto"/>
              <w:right w:val="single" w:sz="4" w:space="0" w:color="auto"/>
            </w:tcBorders>
            <w:shd w:val="clear" w:color="auto" w:fill="FFFFFF" w:themeFill="background1"/>
          </w:tcPr>
          <w:p w14:paraId="4E740A85" w14:textId="44C8A4F4" w:rsidR="009B51E9" w:rsidRPr="009B51E9" w:rsidRDefault="009B51E9" w:rsidP="009B51E9">
            <w:pPr>
              <w:keepLines w:val="0"/>
              <w:widowControl/>
              <w:jc w:val="center"/>
              <w:rPr>
                <w:rFonts w:ascii="Cambria" w:hAnsi="Cambria"/>
                <w:bCs/>
                <w:sz w:val="20"/>
              </w:rPr>
            </w:pPr>
            <w:r w:rsidRPr="009B51E9">
              <w:rPr>
                <w:rFonts w:ascii="Cambria" w:hAnsi="Cambria"/>
                <w:sz w:val="20"/>
              </w:rPr>
              <w:t>8,75</w:t>
            </w:r>
          </w:p>
        </w:tc>
        <w:tc>
          <w:tcPr>
            <w:tcW w:w="1540" w:type="dxa"/>
            <w:tcBorders>
              <w:top w:val="nil"/>
              <w:left w:val="single" w:sz="4" w:space="0" w:color="auto"/>
              <w:bottom w:val="single" w:sz="4" w:space="0" w:color="auto"/>
              <w:right w:val="single" w:sz="4" w:space="0" w:color="auto"/>
            </w:tcBorders>
            <w:shd w:val="clear" w:color="000000" w:fill="FFFFFF"/>
          </w:tcPr>
          <w:p w14:paraId="024C93CB" w14:textId="20690C2A" w:rsidR="009B51E9" w:rsidRDefault="009B51E9" w:rsidP="009B51E9">
            <w:pPr>
              <w:keepLines w:val="0"/>
              <w:widowControl/>
              <w:jc w:val="center"/>
              <w:rPr>
                <w:rFonts w:ascii="Cambria" w:hAnsi="Cambria"/>
                <w:bCs/>
                <w:sz w:val="20"/>
              </w:rPr>
            </w:pPr>
            <w:r w:rsidRPr="00B50675">
              <w:rPr>
                <w:rFonts w:ascii="Cambria" w:hAnsi="Cambria"/>
                <w:bCs/>
                <w:sz w:val="20"/>
              </w:rPr>
              <w:t>8,67</w:t>
            </w:r>
          </w:p>
        </w:tc>
      </w:tr>
      <w:tr w:rsidR="009B51E9" w:rsidRPr="00F8465B" w14:paraId="5579DB87" w14:textId="77777777" w:rsidTr="009A33D2">
        <w:trPr>
          <w:trHeight w:val="255"/>
          <w:jc w:val="center"/>
        </w:trPr>
        <w:tc>
          <w:tcPr>
            <w:tcW w:w="4698" w:type="dxa"/>
            <w:tcBorders>
              <w:top w:val="single" w:sz="4" w:space="0" w:color="auto"/>
              <w:left w:val="single" w:sz="4" w:space="0" w:color="auto"/>
              <w:bottom w:val="single" w:sz="4" w:space="0" w:color="auto"/>
              <w:right w:val="single" w:sz="4" w:space="0" w:color="auto"/>
            </w:tcBorders>
            <w:shd w:val="clear" w:color="000000" w:fill="FFFFFF"/>
            <w:vAlign w:val="center"/>
          </w:tcPr>
          <w:p w14:paraId="7B9894A4" w14:textId="77777777" w:rsidR="009B51E9" w:rsidRPr="00F8465B" w:rsidRDefault="009B51E9" w:rsidP="009B51E9">
            <w:pPr>
              <w:keepLines w:val="0"/>
              <w:widowControl/>
              <w:jc w:val="left"/>
              <w:rPr>
                <w:rFonts w:ascii="Cambria" w:hAnsi="Cambria"/>
                <w:b/>
                <w:bCs/>
                <w:sz w:val="20"/>
                <w:lang w:val="es-ES"/>
              </w:rPr>
            </w:pPr>
            <w:r w:rsidRPr="00F8465B">
              <w:rPr>
                <w:rFonts w:ascii="Cambria" w:hAnsi="Cambria"/>
                <w:b/>
                <w:bCs/>
                <w:sz w:val="20"/>
              </w:rPr>
              <w:t>TOTAL PLANTILLA MEDIA</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78B5B61" w14:textId="50D021D4" w:rsidR="009B51E9" w:rsidRPr="009B51E9" w:rsidRDefault="009B51E9" w:rsidP="009B51E9">
            <w:pPr>
              <w:keepLines w:val="0"/>
              <w:widowControl/>
              <w:jc w:val="center"/>
              <w:rPr>
                <w:rFonts w:ascii="Cambria" w:hAnsi="Cambria"/>
                <w:b/>
                <w:bCs/>
                <w:sz w:val="20"/>
              </w:rPr>
            </w:pPr>
            <w:r w:rsidRPr="009B51E9">
              <w:rPr>
                <w:rFonts w:ascii="Cambria" w:hAnsi="Cambria"/>
                <w:b/>
                <w:bCs/>
                <w:sz w:val="20"/>
              </w:rPr>
              <w:t>22,07</w:t>
            </w:r>
          </w:p>
        </w:tc>
        <w:tc>
          <w:tcPr>
            <w:tcW w:w="1540" w:type="dxa"/>
            <w:tcBorders>
              <w:top w:val="single" w:sz="4" w:space="0" w:color="auto"/>
              <w:left w:val="single" w:sz="4" w:space="0" w:color="auto"/>
              <w:bottom w:val="single" w:sz="4" w:space="0" w:color="auto"/>
              <w:right w:val="single" w:sz="4" w:space="0" w:color="auto"/>
            </w:tcBorders>
            <w:shd w:val="clear" w:color="000000" w:fill="FFFFFF"/>
          </w:tcPr>
          <w:p w14:paraId="64564680" w14:textId="79047554" w:rsidR="009B51E9" w:rsidRPr="009E3760" w:rsidRDefault="009B51E9" w:rsidP="009B51E9">
            <w:pPr>
              <w:keepLines w:val="0"/>
              <w:widowControl/>
              <w:jc w:val="center"/>
              <w:rPr>
                <w:rFonts w:ascii="Cambria" w:hAnsi="Cambria"/>
                <w:b/>
                <w:bCs/>
                <w:sz w:val="20"/>
              </w:rPr>
            </w:pPr>
            <w:r w:rsidRPr="00B50675">
              <w:rPr>
                <w:rFonts w:ascii="Cambria" w:hAnsi="Cambria"/>
                <w:b/>
                <w:bCs/>
                <w:sz w:val="20"/>
              </w:rPr>
              <w:t>21,34</w:t>
            </w:r>
          </w:p>
        </w:tc>
      </w:tr>
    </w:tbl>
    <w:p w14:paraId="3EE7A621" w14:textId="77777777" w:rsidR="00C33420" w:rsidRPr="00F8465B" w:rsidRDefault="00C33420" w:rsidP="00C32165">
      <w:pPr>
        <w:pStyle w:val="Ttulo1a"/>
        <w:ind w:left="567"/>
        <w:rPr>
          <w:rFonts w:ascii="Cambria" w:hAnsi="Cambria"/>
          <w:sz w:val="24"/>
          <w:szCs w:val="24"/>
        </w:rPr>
      </w:pPr>
    </w:p>
    <w:p w14:paraId="57DD22E4" w14:textId="48067665" w:rsidR="00205456" w:rsidRPr="00F8465B" w:rsidRDefault="00205456" w:rsidP="00C32165">
      <w:pPr>
        <w:pStyle w:val="Ttulo1a"/>
        <w:ind w:left="567"/>
        <w:rPr>
          <w:rFonts w:ascii="Cambria" w:hAnsi="Cambria"/>
          <w:sz w:val="24"/>
          <w:szCs w:val="24"/>
        </w:rPr>
      </w:pPr>
      <w:r w:rsidRPr="00F8465B">
        <w:rPr>
          <w:rFonts w:ascii="Cambria" w:hAnsi="Cambria"/>
          <w:sz w:val="24"/>
          <w:szCs w:val="24"/>
        </w:rPr>
        <w:t xml:space="preserve">La plantilla media incluye el </w:t>
      </w:r>
      <w:r w:rsidRPr="002C1319">
        <w:rPr>
          <w:rFonts w:ascii="Cambria" w:hAnsi="Cambria"/>
          <w:sz w:val="24"/>
          <w:szCs w:val="24"/>
        </w:rPr>
        <w:t>efecto de</w:t>
      </w:r>
      <w:r w:rsidR="002C1319" w:rsidRPr="002C1319">
        <w:rPr>
          <w:rFonts w:ascii="Cambria" w:hAnsi="Cambria"/>
          <w:sz w:val="24"/>
          <w:szCs w:val="24"/>
        </w:rPr>
        <w:t xml:space="preserve"> cuatro</w:t>
      </w:r>
      <w:r w:rsidRPr="002C1319">
        <w:rPr>
          <w:rFonts w:ascii="Cambria" w:hAnsi="Cambria"/>
          <w:sz w:val="24"/>
          <w:szCs w:val="24"/>
        </w:rPr>
        <w:t xml:space="preserve"> jornadas reducidas</w:t>
      </w:r>
      <w:r w:rsidRPr="00D917F0">
        <w:rPr>
          <w:rFonts w:ascii="Cambria" w:hAnsi="Cambria"/>
          <w:sz w:val="24"/>
          <w:szCs w:val="24"/>
        </w:rPr>
        <w:t>.</w:t>
      </w:r>
    </w:p>
    <w:p w14:paraId="59907C0A" w14:textId="77777777" w:rsidR="00DD4B71" w:rsidRPr="00F8465B" w:rsidRDefault="00DD4B71" w:rsidP="00DD4B71"/>
    <w:p w14:paraId="16F3651A" w14:textId="1423418C" w:rsidR="00DD4B71" w:rsidRPr="00F8465B" w:rsidRDefault="00DD4B71" w:rsidP="00DD4B71">
      <w:pPr>
        <w:pStyle w:val="Ttulo1a"/>
        <w:ind w:left="567"/>
        <w:rPr>
          <w:rFonts w:ascii="Cambria" w:hAnsi="Cambria"/>
          <w:sz w:val="24"/>
          <w:szCs w:val="24"/>
        </w:rPr>
      </w:pPr>
      <w:r w:rsidRPr="00F8465B">
        <w:rPr>
          <w:rFonts w:ascii="Cambria" w:hAnsi="Cambria"/>
          <w:sz w:val="24"/>
          <w:szCs w:val="24"/>
        </w:rPr>
        <w:t>La Sociedad no ha empleado a personas con discapacidad en el ejercic</w:t>
      </w:r>
      <w:r w:rsidR="00B82EA9">
        <w:rPr>
          <w:rFonts w:ascii="Cambria" w:hAnsi="Cambria"/>
          <w:sz w:val="24"/>
          <w:szCs w:val="24"/>
        </w:rPr>
        <w:t>io 20</w:t>
      </w:r>
      <w:r w:rsidR="009A33D2">
        <w:rPr>
          <w:rFonts w:ascii="Cambria" w:hAnsi="Cambria"/>
          <w:sz w:val="24"/>
          <w:szCs w:val="24"/>
        </w:rPr>
        <w:t>20</w:t>
      </w:r>
      <w:r w:rsidR="00B82EA9">
        <w:rPr>
          <w:rFonts w:ascii="Cambria" w:hAnsi="Cambria"/>
          <w:sz w:val="24"/>
          <w:szCs w:val="24"/>
        </w:rPr>
        <w:t>.</w:t>
      </w:r>
    </w:p>
    <w:p w14:paraId="77C07C6C" w14:textId="77777777" w:rsidR="00D25BFC" w:rsidRDefault="00D25BFC" w:rsidP="00C32165">
      <w:pPr>
        <w:pStyle w:val="Ttulo1a"/>
        <w:ind w:left="567"/>
        <w:rPr>
          <w:rFonts w:ascii="Cambria" w:hAnsi="Cambria"/>
          <w:sz w:val="24"/>
          <w:szCs w:val="24"/>
        </w:rPr>
      </w:pPr>
    </w:p>
    <w:p w14:paraId="2E722DF3" w14:textId="4B39AFBC" w:rsidR="00F94250" w:rsidRDefault="008D6CD7" w:rsidP="00C32165">
      <w:pPr>
        <w:pStyle w:val="Ttulo1a"/>
        <w:ind w:left="567"/>
        <w:rPr>
          <w:rFonts w:ascii="Cambria" w:hAnsi="Cambria"/>
          <w:sz w:val="24"/>
          <w:szCs w:val="24"/>
        </w:rPr>
      </w:pPr>
      <w:r w:rsidRPr="00F8465B">
        <w:rPr>
          <w:rFonts w:ascii="Cambria" w:hAnsi="Cambria"/>
          <w:sz w:val="24"/>
          <w:szCs w:val="24"/>
        </w:rPr>
        <w:t xml:space="preserve">Asimismo, la distribución por sexos al término </w:t>
      </w:r>
      <w:r w:rsidR="00A23300">
        <w:rPr>
          <w:rFonts w:ascii="Cambria" w:hAnsi="Cambria"/>
          <w:sz w:val="24"/>
          <w:szCs w:val="24"/>
        </w:rPr>
        <w:t>de los ejercicios</w:t>
      </w:r>
      <w:r w:rsidRPr="00F8465B">
        <w:rPr>
          <w:rFonts w:ascii="Cambria" w:hAnsi="Cambria"/>
          <w:sz w:val="24"/>
          <w:szCs w:val="24"/>
        </w:rPr>
        <w:t xml:space="preserve"> </w:t>
      </w:r>
      <w:r w:rsidR="005362FF" w:rsidRPr="00F8465B">
        <w:rPr>
          <w:rFonts w:ascii="Cambria" w:hAnsi="Cambria"/>
          <w:sz w:val="24"/>
          <w:szCs w:val="24"/>
        </w:rPr>
        <w:t>20</w:t>
      </w:r>
      <w:r w:rsidR="009A33D2">
        <w:rPr>
          <w:rFonts w:ascii="Cambria" w:hAnsi="Cambria"/>
          <w:sz w:val="24"/>
          <w:szCs w:val="24"/>
        </w:rPr>
        <w:t>20</w:t>
      </w:r>
      <w:r w:rsidR="00CF26A0" w:rsidRPr="00F8465B">
        <w:rPr>
          <w:rFonts w:ascii="Cambria" w:hAnsi="Cambria"/>
          <w:sz w:val="24"/>
          <w:szCs w:val="24"/>
        </w:rPr>
        <w:t xml:space="preserve"> y 20</w:t>
      </w:r>
      <w:r w:rsidR="00D7436F" w:rsidRPr="00F8465B">
        <w:rPr>
          <w:rFonts w:ascii="Cambria" w:hAnsi="Cambria"/>
          <w:sz w:val="24"/>
          <w:szCs w:val="24"/>
        </w:rPr>
        <w:t>1</w:t>
      </w:r>
      <w:r w:rsidR="009A33D2">
        <w:rPr>
          <w:rFonts w:ascii="Cambria" w:hAnsi="Cambria"/>
          <w:sz w:val="24"/>
          <w:szCs w:val="24"/>
        </w:rPr>
        <w:t>9</w:t>
      </w:r>
      <w:r w:rsidR="008F517D" w:rsidRPr="00F8465B">
        <w:rPr>
          <w:rFonts w:ascii="Cambria" w:hAnsi="Cambria"/>
          <w:sz w:val="24"/>
          <w:szCs w:val="24"/>
        </w:rPr>
        <w:t>,</w:t>
      </w:r>
      <w:r w:rsidR="00D25BFC">
        <w:rPr>
          <w:rFonts w:ascii="Cambria" w:hAnsi="Cambria"/>
          <w:sz w:val="24"/>
          <w:szCs w:val="24"/>
        </w:rPr>
        <w:t xml:space="preserve"> detallada</w:t>
      </w:r>
      <w:r w:rsidRPr="00F8465B">
        <w:rPr>
          <w:rFonts w:ascii="Cambria" w:hAnsi="Cambria"/>
          <w:sz w:val="24"/>
          <w:szCs w:val="24"/>
        </w:rPr>
        <w:t xml:space="preserve"> por categorías, es </w:t>
      </w:r>
      <w:r w:rsidR="002A2E51" w:rsidRPr="00F8465B">
        <w:rPr>
          <w:rFonts w:ascii="Cambria" w:hAnsi="Cambria"/>
          <w:sz w:val="24"/>
          <w:szCs w:val="24"/>
        </w:rPr>
        <w:t>la</w:t>
      </w:r>
      <w:r w:rsidRPr="00F8465B">
        <w:rPr>
          <w:rFonts w:ascii="Cambria" w:hAnsi="Cambria"/>
          <w:sz w:val="24"/>
          <w:szCs w:val="24"/>
        </w:rPr>
        <w:t xml:space="preserve"> siguiente</w:t>
      </w:r>
      <w:r w:rsidR="00C5324E" w:rsidRPr="00F8465B">
        <w:rPr>
          <w:rFonts w:ascii="Cambria" w:hAnsi="Cambria"/>
          <w:sz w:val="24"/>
          <w:szCs w:val="24"/>
        </w:rPr>
        <w:t>:</w:t>
      </w:r>
    </w:p>
    <w:p w14:paraId="6D59A0B6" w14:textId="77777777" w:rsidR="002F121C" w:rsidRPr="00C407D3" w:rsidRDefault="002F121C" w:rsidP="00C407D3"/>
    <w:p w14:paraId="2277535D" w14:textId="0FB58443" w:rsidR="002F121C" w:rsidRPr="00F8465B" w:rsidRDefault="002F121C" w:rsidP="002F121C">
      <w:pPr>
        <w:ind w:left="567"/>
        <w:rPr>
          <w:rFonts w:ascii="Cambria" w:hAnsi="Cambria"/>
          <w:b/>
          <w:sz w:val="24"/>
          <w:szCs w:val="24"/>
          <w:u w:val="single"/>
        </w:rPr>
      </w:pPr>
      <w:r w:rsidRPr="00F8465B">
        <w:rPr>
          <w:rFonts w:ascii="Cambria" w:hAnsi="Cambria"/>
          <w:b/>
          <w:sz w:val="24"/>
          <w:szCs w:val="24"/>
          <w:u w:val="single"/>
        </w:rPr>
        <w:t xml:space="preserve">Ejercicio </w:t>
      </w:r>
      <w:r w:rsidR="00D917F0">
        <w:rPr>
          <w:rFonts w:ascii="Cambria" w:hAnsi="Cambria"/>
          <w:b/>
          <w:sz w:val="24"/>
          <w:szCs w:val="24"/>
          <w:u w:val="single"/>
        </w:rPr>
        <w:t>20</w:t>
      </w:r>
      <w:r w:rsidR="009A33D2">
        <w:rPr>
          <w:rFonts w:ascii="Cambria" w:hAnsi="Cambria"/>
          <w:b/>
          <w:sz w:val="24"/>
          <w:szCs w:val="24"/>
          <w:u w:val="single"/>
        </w:rPr>
        <w:t>20</w:t>
      </w:r>
      <w:r w:rsidRPr="00F8465B">
        <w:rPr>
          <w:rFonts w:ascii="Cambria" w:hAnsi="Cambria"/>
          <w:b/>
          <w:sz w:val="24"/>
          <w:szCs w:val="24"/>
          <w:u w:val="single"/>
        </w:rPr>
        <w:t xml:space="preserve"> </w:t>
      </w:r>
    </w:p>
    <w:p w14:paraId="56C5EA54" w14:textId="77777777" w:rsidR="002F121C" w:rsidRDefault="002F121C" w:rsidP="002F121C">
      <w:pPr>
        <w:ind w:left="426"/>
        <w:rPr>
          <w:rFonts w:ascii="Cambria" w:hAnsi="Cambria"/>
          <w:sz w:val="24"/>
          <w:szCs w:val="24"/>
        </w:rPr>
      </w:pPr>
    </w:p>
    <w:tbl>
      <w:tblPr>
        <w:tblW w:w="7641" w:type="dxa"/>
        <w:jc w:val="center"/>
        <w:tblCellMar>
          <w:left w:w="70" w:type="dxa"/>
          <w:right w:w="70" w:type="dxa"/>
        </w:tblCellMar>
        <w:tblLook w:val="04A0" w:firstRow="1" w:lastRow="0" w:firstColumn="1" w:lastColumn="0" w:noHBand="0" w:noVBand="1"/>
      </w:tblPr>
      <w:tblGrid>
        <w:gridCol w:w="4561"/>
        <w:gridCol w:w="1540"/>
        <w:gridCol w:w="1540"/>
      </w:tblGrid>
      <w:tr w:rsidR="002F121C" w:rsidRPr="00F8465B" w14:paraId="52F78D54" w14:textId="77777777" w:rsidTr="002F121C">
        <w:trPr>
          <w:trHeight w:val="255"/>
          <w:jc w:val="center"/>
        </w:trPr>
        <w:tc>
          <w:tcPr>
            <w:tcW w:w="4561" w:type="dxa"/>
            <w:tcBorders>
              <w:top w:val="single" w:sz="4" w:space="0" w:color="auto"/>
              <w:left w:val="single" w:sz="4" w:space="0" w:color="auto"/>
              <w:bottom w:val="single" w:sz="4" w:space="0" w:color="auto"/>
              <w:right w:val="single" w:sz="4" w:space="0" w:color="auto"/>
            </w:tcBorders>
            <w:shd w:val="clear" w:color="000000" w:fill="FFFFFF"/>
            <w:vAlign w:val="center"/>
          </w:tcPr>
          <w:p w14:paraId="01BB86AA" w14:textId="77777777" w:rsidR="002F121C" w:rsidRPr="00F8465B" w:rsidRDefault="002F121C" w:rsidP="002F121C">
            <w:pPr>
              <w:keepLines w:val="0"/>
              <w:widowControl/>
              <w:jc w:val="center"/>
              <w:rPr>
                <w:rFonts w:ascii="Cambria" w:hAnsi="Cambria"/>
                <w:b/>
                <w:bCs/>
                <w:sz w:val="20"/>
                <w:lang w:val="es-ES"/>
              </w:rPr>
            </w:pPr>
            <w:r w:rsidRPr="00F8465B">
              <w:rPr>
                <w:rFonts w:ascii="Cambria" w:hAnsi="Cambria"/>
                <w:b/>
                <w:bCs/>
                <w:sz w:val="20"/>
              </w:rPr>
              <w:t>Categoría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1229DBB0" w14:textId="77777777" w:rsidR="002F121C" w:rsidRPr="002C1319" w:rsidRDefault="002F121C" w:rsidP="002F121C">
            <w:pPr>
              <w:keepLines w:val="0"/>
              <w:widowControl/>
              <w:jc w:val="center"/>
              <w:rPr>
                <w:rFonts w:ascii="Cambria" w:hAnsi="Cambria"/>
                <w:b/>
                <w:bCs/>
                <w:color w:val="000000"/>
                <w:sz w:val="20"/>
                <w:lang w:val="es-ES"/>
              </w:rPr>
            </w:pPr>
            <w:r w:rsidRPr="002C1319">
              <w:rPr>
                <w:rFonts w:ascii="Cambria" w:hAnsi="Cambria"/>
                <w:b/>
                <w:bCs/>
                <w:color w:val="000000"/>
                <w:sz w:val="20"/>
              </w:rPr>
              <w:t>Hombres</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6ADD9DB1" w14:textId="77777777" w:rsidR="002F121C" w:rsidRPr="002C1319" w:rsidRDefault="002F121C" w:rsidP="002F121C">
            <w:pPr>
              <w:keepLines w:val="0"/>
              <w:widowControl/>
              <w:jc w:val="center"/>
              <w:rPr>
                <w:rFonts w:ascii="Cambria" w:hAnsi="Cambria"/>
                <w:b/>
                <w:bCs/>
                <w:color w:val="000000"/>
                <w:sz w:val="20"/>
                <w:lang w:val="es-ES"/>
              </w:rPr>
            </w:pPr>
            <w:r w:rsidRPr="002C1319">
              <w:rPr>
                <w:rFonts w:ascii="Cambria" w:hAnsi="Cambria"/>
                <w:b/>
                <w:bCs/>
                <w:color w:val="000000"/>
                <w:sz w:val="20"/>
              </w:rPr>
              <w:t>Mujeres</w:t>
            </w:r>
          </w:p>
        </w:tc>
      </w:tr>
      <w:tr w:rsidR="002C1319" w:rsidRPr="00F8465B" w14:paraId="06335877" w14:textId="77777777" w:rsidTr="002F121C">
        <w:trPr>
          <w:trHeight w:val="255"/>
          <w:jc w:val="center"/>
        </w:trPr>
        <w:tc>
          <w:tcPr>
            <w:tcW w:w="4561" w:type="dxa"/>
            <w:tcBorders>
              <w:top w:val="single" w:sz="4" w:space="0" w:color="auto"/>
              <w:left w:val="single" w:sz="4" w:space="0" w:color="auto"/>
              <w:bottom w:val="nil"/>
              <w:right w:val="single" w:sz="4" w:space="0" w:color="auto"/>
            </w:tcBorders>
            <w:shd w:val="clear" w:color="000000" w:fill="FFFFFF"/>
            <w:vAlign w:val="bottom"/>
          </w:tcPr>
          <w:p w14:paraId="7DF5BD6F" w14:textId="77777777" w:rsidR="002C1319" w:rsidRPr="00F8465B" w:rsidRDefault="002C1319" w:rsidP="002C1319">
            <w:pPr>
              <w:keepLines w:val="0"/>
              <w:widowControl/>
              <w:jc w:val="left"/>
              <w:rPr>
                <w:rFonts w:ascii="Cambria" w:hAnsi="Cambria"/>
                <w:sz w:val="20"/>
                <w:lang w:val="es-ES"/>
              </w:rPr>
            </w:pPr>
            <w:r w:rsidRPr="00F8465B">
              <w:rPr>
                <w:rFonts w:ascii="Cambria" w:hAnsi="Cambria"/>
                <w:sz w:val="20"/>
              </w:rPr>
              <w:t xml:space="preserve">Directores y jefes de departamento </w:t>
            </w:r>
          </w:p>
        </w:tc>
        <w:tc>
          <w:tcPr>
            <w:tcW w:w="1540" w:type="dxa"/>
            <w:tcBorders>
              <w:top w:val="single" w:sz="4" w:space="0" w:color="auto"/>
              <w:left w:val="single" w:sz="4" w:space="0" w:color="auto"/>
              <w:bottom w:val="nil"/>
              <w:right w:val="single" w:sz="4" w:space="0" w:color="auto"/>
            </w:tcBorders>
            <w:shd w:val="clear" w:color="000000" w:fill="FFFFFF"/>
            <w:vAlign w:val="bottom"/>
          </w:tcPr>
          <w:p w14:paraId="57713712" w14:textId="00950ECE" w:rsidR="002C1319" w:rsidRPr="002C1319" w:rsidRDefault="002C1319" w:rsidP="002C1319">
            <w:pPr>
              <w:jc w:val="center"/>
              <w:rPr>
                <w:rFonts w:ascii="Cambria" w:hAnsi="Cambria"/>
                <w:sz w:val="20"/>
              </w:rPr>
            </w:pPr>
            <w:r w:rsidRPr="002C1319">
              <w:rPr>
                <w:rFonts w:ascii="Cambria" w:hAnsi="Cambria"/>
                <w:sz w:val="20"/>
              </w:rPr>
              <w:t>4</w:t>
            </w:r>
          </w:p>
        </w:tc>
        <w:tc>
          <w:tcPr>
            <w:tcW w:w="1540" w:type="dxa"/>
            <w:tcBorders>
              <w:top w:val="single" w:sz="4" w:space="0" w:color="auto"/>
              <w:left w:val="single" w:sz="4" w:space="0" w:color="auto"/>
              <w:bottom w:val="nil"/>
              <w:right w:val="single" w:sz="4" w:space="0" w:color="auto"/>
            </w:tcBorders>
            <w:shd w:val="clear" w:color="000000" w:fill="FFFFFF"/>
            <w:vAlign w:val="bottom"/>
          </w:tcPr>
          <w:p w14:paraId="2D5A8F2C" w14:textId="7E6A526C" w:rsidR="002C1319" w:rsidRPr="002C1319" w:rsidRDefault="002C1319" w:rsidP="002C1319">
            <w:pPr>
              <w:jc w:val="center"/>
              <w:rPr>
                <w:rFonts w:ascii="Cambria" w:hAnsi="Cambria"/>
                <w:sz w:val="20"/>
              </w:rPr>
            </w:pPr>
            <w:r>
              <w:rPr>
                <w:rFonts w:ascii="Cambria" w:hAnsi="Cambria"/>
                <w:sz w:val="20"/>
              </w:rPr>
              <w:t>-</w:t>
            </w:r>
          </w:p>
        </w:tc>
      </w:tr>
      <w:tr w:rsidR="002C1319" w:rsidRPr="00F8465B" w14:paraId="640FB413" w14:textId="77777777" w:rsidTr="002F121C">
        <w:trPr>
          <w:trHeight w:val="255"/>
          <w:jc w:val="center"/>
        </w:trPr>
        <w:tc>
          <w:tcPr>
            <w:tcW w:w="4561" w:type="dxa"/>
            <w:tcBorders>
              <w:top w:val="nil"/>
              <w:left w:val="single" w:sz="4" w:space="0" w:color="auto"/>
              <w:bottom w:val="nil"/>
              <w:right w:val="single" w:sz="4" w:space="0" w:color="auto"/>
            </w:tcBorders>
            <w:shd w:val="clear" w:color="000000" w:fill="FFFFFF"/>
            <w:vAlign w:val="bottom"/>
          </w:tcPr>
          <w:p w14:paraId="7AD579A9" w14:textId="77777777" w:rsidR="002C1319" w:rsidRPr="00F8465B" w:rsidRDefault="002C1319" w:rsidP="002C1319">
            <w:pPr>
              <w:keepLines w:val="0"/>
              <w:widowControl/>
              <w:jc w:val="left"/>
              <w:rPr>
                <w:rFonts w:ascii="Cambria" w:hAnsi="Cambria"/>
                <w:sz w:val="20"/>
                <w:lang w:val="es-ES"/>
              </w:rPr>
            </w:pPr>
            <w:r w:rsidRPr="00F8465B">
              <w:rPr>
                <w:rFonts w:ascii="Cambria" w:hAnsi="Cambria"/>
                <w:sz w:val="20"/>
              </w:rPr>
              <w:t>Técnicos</w:t>
            </w:r>
          </w:p>
        </w:tc>
        <w:tc>
          <w:tcPr>
            <w:tcW w:w="1540" w:type="dxa"/>
            <w:tcBorders>
              <w:top w:val="nil"/>
              <w:left w:val="single" w:sz="4" w:space="0" w:color="auto"/>
              <w:bottom w:val="nil"/>
              <w:right w:val="single" w:sz="4" w:space="0" w:color="auto"/>
            </w:tcBorders>
            <w:shd w:val="clear" w:color="000000" w:fill="FFFFFF"/>
            <w:vAlign w:val="bottom"/>
          </w:tcPr>
          <w:p w14:paraId="6AA93D95" w14:textId="7165AB15" w:rsidR="002C1319" w:rsidRPr="002C1319" w:rsidRDefault="002C1319" w:rsidP="002C1319">
            <w:pPr>
              <w:jc w:val="center"/>
              <w:rPr>
                <w:rFonts w:ascii="Cambria" w:hAnsi="Cambria"/>
                <w:sz w:val="20"/>
              </w:rPr>
            </w:pPr>
            <w:r w:rsidRPr="002C1319">
              <w:rPr>
                <w:rFonts w:ascii="Cambria" w:hAnsi="Cambria"/>
                <w:sz w:val="20"/>
              </w:rPr>
              <w:t>4</w:t>
            </w:r>
          </w:p>
        </w:tc>
        <w:tc>
          <w:tcPr>
            <w:tcW w:w="1540" w:type="dxa"/>
            <w:tcBorders>
              <w:top w:val="nil"/>
              <w:left w:val="single" w:sz="4" w:space="0" w:color="auto"/>
              <w:bottom w:val="nil"/>
              <w:right w:val="single" w:sz="4" w:space="0" w:color="auto"/>
            </w:tcBorders>
            <w:shd w:val="clear" w:color="000000" w:fill="FFFFFF"/>
            <w:vAlign w:val="bottom"/>
          </w:tcPr>
          <w:p w14:paraId="79AC5A43" w14:textId="646131F3" w:rsidR="002C1319" w:rsidRPr="002C1319" w:rsidRDefault="002C1319" w:rsidP="002C1319">
            <w:pPr>
              <w:jc w:val="center"/>
              <w:rPr>
                <w:rFonts w:ascii="Cambria" w:hAnsi="Cambria"/>
                <w:sz w:val="20"/>
              </w:rPr>
            </w:pPr>
            <w:r w:rsidRPr="002C1319">
              <w:rPr>
                <w:rFonts w:ascii="Cambria" w:hAnsi="Cambria"/>
                <w:sz w:val="20"/>
              </w:rPr>
              <w:t>6</w:t>
            </w:r>
          </w:p>
        </w:tc>
      </w:tr>
      <w:tr w:rsidR="002C1319" w:rsidRPr="00F8465B" w14:paraId="1E82B8E4" w14:textId="77777777" w:rsidTr="002F121C">
        <w:trPr>
          <w:trHeight w:val="270"/>
          <w:jc w:val="center"/>
        </w:trPr>
        <w:tc>
          <w:tcPr>
            <w:tcW w:w="4561" w:type="dxa"/>
            <w:tcBorders>
              <w:top w:val="nil"/>
              <w:left w:val="single" w:sz="4" w:space="0" w:color="auto"/>
              <w:bottom w:val="single" w:sz="4" w:space="0" w:color="auto"/>
              <w:right w:val="single" w:sz="4" w:space="0" w:color="auto"/>
            </w:tcBorders>
            <w:shd w:val="clear" w:color="000000" w:fill="FFFFFF"/>
            <w:vAlign w:val="bottom"/>
          </w:tcPr>
          <w:p w14:paraId="497C20EE" w14:textId="77777777" w:rsidR="002C1319" w:rsidRPr="00F8465B" w:rsidRDefault="002C1319" w:rsidP="002C1319">
            <w:pPr>
              <w:keepLines w:val="0"/>
              <w:widowControl/>
              <w:jc w:val="left"/>
              <w:rPr>
                <w:rFonts w:ascii="Cambria" w:hAnsi="Cambria"/>
                <w:sz w:val="20"/>
                <w:lang w:val="es-ES"/>
              </w:rPr>
            </w:pPr>
            <w:r w:rsidRPr="00F8465B">
              <w:rPr>
                <w:rFonts w:ascii="Cambria" w:hAnsi="Cambria"/>
                <w:sz w:val="20"/>
              </w:rPr>
              <w:t>Administrativos</w:t>
            </w:r>
          </w:p>
        </w:tc>
        <w:tc>
          <w:tcPr>
            <w:tcW w:w="1540" w:type="dxa"/>
            <w:tcBorders>
              <w:top w:val="nil"/>
              <w:left w:val="single" w:sz="4" w:space="0" w:color="auto"/>
              <w:bottom w:val="single" w:sz="4" w:space="0" w:color="auto"/>
              <w:right w:val="single" w:sz="4" w:space="0" w:color="auto"/>
            </w:tcBorders>
            <w:shd w:val="clear" w:color="000000" w:fill="FFFFFF"/>
            <w:vAlign w:val="bottom"/>
          </w:tcPr>
          <w:p w14:paraId="3A08371C" w14:textId="7FC61D40" w:rsidR="002C1319" w:rsidRPr="002C1319" w:rsidRDefault="002C1319" w:rsidP="002C1319">
            <w:pPr>
              <w:jc w:val="center"/>
              <w:rPr>
                <w:rFonts w:ascii="Cambria" w:hAnsi="Cambria"/>
                <w:sz w:val="20"/>
              </w:rPr>
            </w:pPr>
            <w:r w:rsidRPr="002C1319">
              <w:rPr>
                <w:rFonts w:ascii="Cambria" w:hAnsi="Cambria"/>
                <w:sz w:val="20"/>
              </w:rPr>
              <w:t>2</w:t>
            </w:r>
          </w:p>
        </w:tc>
        <w:tc>
          <w:tcPr>
            <w:tcW w:w="1540" w:type="dxa"/>
            <w:tcBorders>
              <w:top w:val="nil"/>
              <w:left w:val="single" w:sz="4" w:space="0" w:color="auto"/>
              <w:bottom w:val="single" w:sz="4" w:space="0" w:color="auto"/>
              <w:right w:val="single" w:sz="4" w:space="0" w:color="auto"/>
            </w:tcBorders>
            <w:shd w:val="clear" w:color="000000" w:fill="FFFFFF"/>
            <w:vAlign w:val="bottom"/>
          </w:tcPr>
          <w:p w14:paraId="6836EF2E" w14:textId="6E5D289E" w:rsidR="002C1319" w:rsidRPr="002C1319" w:rsidRDefault="002C1319" w:rsidP="002C1319">
            <w:pPr>
              <w:jc w:val="center"/>
              <w:rPr>
                <w:rFonts w:ascii="Cambria" w:hAnsi="Cambria"/>
                <w:sz w:val="20"/>
              </w:rPr>
            </w:pPr>
            <w:r w:rsidRPr="002C1319">
              <w:rPr>
                <w:rFonts w:ascii="Cambria" w:hAnsi="Cambria"/>
                <w:sz w:val="20"/>
              </w:rPr>
              <w:t>7</w:t>
            </w:r>
          </w:p>
        </w:tc>
      </w:tr>
      <w:tr w:rsidR="002C1319" w:rsidRPr="00F8465B" w14:paraId="59768A88" w14:textId="77777777" w:rsidTr="002F121C">
        <w:trPr>
          <w:trHeight w:val="270"/>
          <w:jc w:val="center"/>
        </w:trPr>
        <w:tc>
          <w:tcPr>
            <w:tcW w:w="4561" w:type="dxa"/>
            <w:tcBorders>
              <w:top w:val="single" w:sz="4" w:space="0" w:color="auto"/>
              <w:left w:val="single" w:sz="4" w:space="0" w:color="auto"/>
              <w:bottom w:val="single" w:sz="4" w:space="0" w:color="auto"/>
              <w:right w:val="single" w:sz="4" w:space="0" w:color="auto"/>
            </w:tcBorders>
            <w:shd w:val="clear" w:color="000000" w:fill="FFFFFF"/>
            <w:vAlign w:val="center"/>
          </w:tcPr>
          <w:p w14:paraId="17FBBC00" w14:textId="77777777" w:rsidR="002C1319" w:rsidRPr="00F8465B" w:rsidRDefault="002C1319" w:rsidP="002C1319">
            <w:pPr>
              <w:keepLines w:val="0"/>
              <w:widowControl/>
              <w:jc w:val="left"/>
              <w:rPr>
                <w:rFonts w:ascii="Cambria" w:hAnsi="Cambria"/>
                <w:b/>
                <w:bCs/>
                <w:sz w:val="20"/>
                <w:lang w:val="es-ES"/>
              </w:rPr>
            </w:pPr>
            <w:r w:rsidRPr="00F8465B">
              <w:rPr>
                <w:rFonts w:ascii="Cambria" w:hAnsi="Cambria"/>
                <w:b/>
                <w:bCs/>
                <w:sz w:val="20"/>
              </w:rPr>
              <w:t>TOTAL PLANTILLA FINAL</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2F68162E" w14:textId="06EC25B8" w:rsidR="002C1319" w:rsidRPr="002C1319" w:rsidRDefault="002C1319" w:rsidP="002C1319">
            <w:pPr>
              <w:jc w:val="center"/>
              <w:rPr>
                <w:rFonts w:ascii="Cambria" w:hAnsi="Cambria"/>
                <w:b/>
                <w:sz w:val="20"/>
              </w:rPr>
            </w:pPr>
            <w:r w:rsidRPr="002C1319">
              <w:rPr>
                <w:rFonts w:ascii="Cambria" w:hAnsi="Cambria"/>
                <w:b/>
                <w:bCs/>
                <w:sz w:val="20"/>
              </w:rPr>
              <w:t>10</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4727B5CE" w14:textId="2C6FC21C" w:rsidR="002C1319" w:rsidRPr="002C1319" w:rsidRDefault="002C1319" w:rsidP="002C1319">
            <w:pPr>
              <w:jc w:val="center"/>
              <w:rPr>
                <w:rFonts w:ascii="Cambria" w:hAnsi="Cambria"/>
                <w:b/>
                <w:sz w:val="20"/>
              </w:rPr>
            </w:pPr>
            <w:r w:rsidRPr="002C1319">
              <w:rPr>
                <w:rFonts w:ascii="Cambria" w:hAnsi="Cambria"/>
                <w:b/>
                <w:bCs/>
                <w:sz w:val="20"/>
              </w:rPr>
              <w:t>13</w:t>
            </w:r>
          </w:p>
        </w:tc>
      </w:tr>
    </w:tbl>
    <w:p w14:paraId="33AD766C" w14:textId="77777777" w:rsidR="00944411" w:rsidRPr="00F8465B" w:rsidRDefault="00944411" w:rsidP="00C32165">
      <w:pPr>
        <w:pStyle w:val="Ttulo1a"/>
        <w:ind w:left="567"/>
        <w:rPr>
          <w:rFonts w:ascii="Cambria" w:hAnsi="Cambria"/>
          <w:sz w:val="24"/>
          <w:szCs w:val="24"/>
        </w:rPr>
      </w:pPr>
    </w:p>
    <w:p w14:paraId="2E37283A" w14:textId="77777777" w:rsidR="009A33D2" w:rsidRPr="00F8465B" w:rsidRDefault="009A33D2" w:rsidP="009A33D2">
      <w:pPr>
        <w:ind w:left="567"/>
        <w:rPr>
          <w:rFonts w:ascii="Cambria" w:hAnsi="Cambria"/>
          <w:b/>
          <w:sz w:val="24"/>
          <w:szCs w:val="24"/>
          <w:u w:val="single"/>
        </w:rPr>
      </w:pPr>
      <w:r w:rsidRPr="00F8465B">
        <w:rPr>
          <w:rFonts w:ascii="Cambria" w:hAnsi="Cambria"/>
          <w:b/>
          <w:sz w:val="24"/>
          <w:szCs w:val="24"/>
          <w:u w:val="single"/>
        </w:rPr>
        <w:t xml:space="preserve">Ejercicio </w:t>
      </w:r>
      <w:r>
        <w:rPr>
          <w:rFonts w:ascii="Cambria" w:hAnsi="Cambria"/>
          <w:b/>
          <w:sz w:val="24"/>
          <w:szCs w:val="24"/>
          <w:u w:val="single"/>
        </w:rPr>
        <w:t>2019</w:t>
      </w:r>
      <w:r w:rsidRPr="00F8465B">
        <w:rPr>
          <w:rFonts w:ascii="Cambria" w:hAnsi="Cambria"/>
          <w:b/>
          <w:sz w:val="24"/>
          <w:szCs w:val="24"/>
          <w:u w:val="single"/>
        </w:rPr>
        <w:t xml:space="preserve"> </w:t>
      </w:r>
    </w:p>
    <w:p w14:paraId="150EF744" w14:textId="77777777" w:rsidR="009A33D2" w:rsidRDefault="009A33D2" w:rsidP="009A33D2">
      <w:pPr>
        <w:ind w:left="426"/>
        <w:rPr>
          <w:rFonts w:ascii="Cambria" w:hAnsi="Cambria"/>
          <w:sz w:val="24"/>
          <w:szCs w:val="24"/>
        </w:rPr>
      </w:pPr>
    </w:p>
    <w:tbl>
      <w:tblPr>
        <w:tblW w:w="7641" w:type="dxa"/>
        <w:jc w:val="center"/>
        <w:tblCellMar>
          <w:left w:w="70" w:type="dxa"/>
          <w:right w:w="70" w:type="dxa"/>
        </w:tblCellMar>
        <w:tblLook w:val="04A0" w:firstRow="1" w:lastRow="0" w:firstColumn="1" w:lastColumn="0" w:noHBand="0" w:noVBand="1"/>
      </w:tblPr>
      <w:tblGrid>
        <w:gridCol w:w="4561"/>
        <w:gridCol w:w="1540"/>
        <w:gridCol w:w="1540"/>
      </w:tblGrid>
      <w:tr w:rsidR="009A33D2" w:rsidRPr="00F8465B" w14:paraId="7E080EC2" w14:textId="77777777" w:rsidTr="000E7CBF">
        <w:trPr>
          <w:trHeight w:val="255"/>
          <w:jc w:val="center"/>
        </w:trPr>
        <w:tc>
          <w:tcPr>
            <w:tcW w:w="4561" w:type="dxa"/>
            <w:tcBorders>
              <w:top w:val="single" w:sz="4" w:space="0" w:color="auto"/>
              <w:left w:val="single" w:sz="4" w:space="0" w:color="auto"/>
              <w:bottom w:val="single" w:sz="4" w:space="0" w:color="auto"/>
              <w:right w:val="single" w:sz="4" w:space="0" w:color="auto"/>
            </w:tcBorders>
            <w:shd w:val="clear" w:color="000000" w:fill="FFFFFF"/>
            <w:vAlign w:val="center"/>
          </w:tcPr>
          <w:p w14:paraId="7A309609" w14:textId="77777777" w:rsidR="009A33D2" w:rsidRPr="00F8465B" w:rsidRDefault="009A33D2" w:rsidP="000E7CBF">
            <w:pPr>
              <w:keepLines w:val="0"/>
              <w:widowControl/>
              <w:jc w:val="center"/>
              <w:rPr>
                <w:rFonts w:ascii="Cambria" w:hAnsi="Cambria"/>
                <w:b/>
                <w:bCs/>
                <w:sz w:val="20"/>
                <w:lang w:val="es-ES"/>
              </w:rPr>
            </w:pPr>
            <w:r w:rsidRPr="00F8465B">
              <w:rPr>
                <w:rFonts w:ascii="Cambria" w:hAnsi="Cambria"/>
                <w:b/>
                <w:bCs/>
                <w:sz w:val="20"/>
              </w:rPr>
              <w:t>Categoría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34F8C929" w14:textId="77777777" w:rsidR="009A33D2" w:rsidRPr="00B50675" w:rsidRDefault="009A33D2" w:rsidP="000E7CBF">
            <w:pPr>
              <w:keepLines w:val="0"/>
              <w:widowControl/>
              <w:jc w:val="center"/>
              <w:rPr>
                <w:rFonts w:ascii="Cambria" w:hAnsi="Cambria"/>
                <w:b/>
                <w:bCs/>
                <w:color w:val="000000"/>
                <w:sz w:val="20"/>
                <w:lang w:val="es-ES"/>
              </w:rPr>
            </w:pPr>
            <w:r w:rsidRPr="00B50675">
              <w:rPr>
                <w:rFonts w:ascii="Cambria" w:hAnsi="Cambria"/>
                <w:b/>
                <w:bCs/>
                <w:color w:val="000000"/>
                <w:sz w:val="20"/>
              </w:rPr>
              <w:t>Hombres</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474A0754" w14:textId="77777777" w:rsidR="009A33D2" w:rsidRPr="00B50675" w:rsidRDefault="009A33D2" w:rsidP="000E7CBF">
            <w:pPr>
              <w:keepLines w:val="0"/>
              <w:widowControl/>
              <w:jc w:val="center"/>
              <w:rPr>
                <w:rFonts w:ascii="Cambria" w:hAnsi="Cambria"/>
                <w:b/>
                <w:bCs/>
                <w:color w:val="000000"/>
                <w:sz w:val="20"/>
                <w:lang w:val="es-ES"/>
              </w:rPr>
            </w:pPr>
            <w:r w:rsidRPr="00B50675">
              <w:rPr>
                <w:rFonts w:ascii="Cambria" w:hAnsi="Cambria"/>
                <w:b/>
                <w:bCs/>
                <w:color w:val="000000"/>
                <w:sz w:val="20"/>
              </w:rPr>
              <w:t>Mujeres</w:t>
            </w:r>
          </w:p>
        </w:tc>
      </w:tr>
      <w:tr w:rsidR="009A33D2" w:rsidRPr="00F8465B" w14:paraId="7EDA6F73" w14:textId="77777777" w:rsidTr="000E7CBF">
        <w:trPr>
          <w:trHeight w:val="255"/>
          <w:jc w:val="center"/>
        </w:trPr>
        <w:tc>
          <w:tcPr>
            <w:tcW w:w="4561" w:type="dxa"/>
            <w:tcBorders>
              <w:top w:val="single" w:sz="4" w:space="0" w:color="auto"/>
              <w:left w:val="single" w:sz="4" w:space="0" w:color="auto"/>
              <w:bottom w:val="nil"/>
              <w:right w:val="single" w:sz="4" w:space="0" w:color="auto"/>
            </w:tcBorders>
            <w:shd w:val="clear" w:color="000000" w:fill="FFFFFF"/>
            <w:vAlign w:val="bottom"/>
          </w:tcPr>
          <w:p w14:paraId="162B223D" w14:textId="77777777" w:rsidR="009A33D2" w:rsidRPr="00F8465B" w:rsidRDefault="009A33D2" w:rsidP="000E7CBF">
            <w:pPr>
              <w:keepLines w:val="0"/>
              <w:widowControl/>
              <w:jc w:val="left"/>
              <w:rPr>
                <w:rFonts w:ascii="Cambria" w:hAnsi="Cambria"/>
                <w:sz w:val="20"/>
                <w:lang w:val="es-ES"/>
              </w:rPr>
            </w:pPr>
            <w:r w:rsidRPr="00F8465B">
              <w:rPr>
                <w:rFonts w:ascii="Cambria" w:hAnsi="Cambria"/>
                <w:sz w:val="20"/>
              </w:rPr>
              <w:t xml:space="preserve">Directores y jefes de departamento </w:t>
            </w:r>
          </w:p>
        </w:tc>
        <w:tc>
          <w:tcPr>
            <w:tcW w:w="1540" w:type="dxa"/>
            <w:tcBorders>
              <w:top w:val="single" w:sz="4" w:space="0" w:color="auto"/>
              <w:left w:val="single" w:sz="4" w:space="0" w:color="auto"/>
              <w:bottom w:val="nil"/>
              <w:right w:val="single" w:sz="4" w:space="0" w:color="auto"/>
            </w:tcBorders>
            <w:shd w:val="clear" w:color="000000" w:fill="FFFFFF"/>
            <w:vAlign w:val="bottom"/>
          </w:tcPr>
          <w:p w14:paraId="0FCD3815" w14:textId="77777777" w:rsidR="009A33D2" w:rsidRPr="00B50675" w:rsidRDefault="009A33D2" w:rsidP="000E7CBF">
            <w:pPr>
              <w:jc w:val="center"/>
              <w:rPr>
                <w:rFonts w:ascii="Cambria" w:hAnsi="Cambria"/>
                <w:sz w:val="20"/>
              </w:rPr>
            </w:pPr>
            <w:r w:rsidRPr="00B50675">
              <w:rPr>
                <w:rFonts w:ascii="Cambria" w:hAnsi="Cambria"/>
                <w:sz w:val="20"/>
              </w:rPr>
              <w:t>4</w:t>
            </w:r>
          </w:p>
        </w:tc>
        <w:tc>
          <w:tcPr>
            <w:tcW w:w="1540" w:type="dxa"/>
            <w:tcBorders>
              <w:top w:val="single" w:sz="4" w:space="0" w:color="auto"/>
              <w:left w:val="single" w:sz="4" w:space="0" w:color="auto"/>
              <w:bottom w:val="nil"/>
              <w:right w:val="single" w:sz="4" w:space="0" w:color="auto"/>
            </w:tcBorders>
            <w:shd w:val="clear" w:color="000000" w:fill="FFFFFF"/>
            <w:vAlign w:val="bottom"/>
          </w:tcPr>
          <w:p w14:paraId="4EED40C4" w14:textId="77777777" w:rsidR="009A33D2" w:rsidRPr="00B50675" w:rsidRDefault="009A33D2" w:rsidP="000E7CBF">
            <w:pPr>
              <w:jc w:val="center"/>
              <w:rPr>
                <w:rFonts w:ascii="Cambria" w:hAnsi="Cambria"/>
                <w:sz w:val="20"/>
              </w:rPr>
            </w:pPr>
            <w:r w:rsidRPr="00B50675">
              <w:rPr>
                <w:rFonts w:ascii="Cambria" w:hAnsi="Cambria"/>
                <w:sz w:val="20"/>
              </w:rPr>
              <w:t>-</w:t>
            </w:r>
          </w:p>
        </w:tc>
      </w:tr>
      <w:tr w:rsidR="009A33D2" w:rsidRPr="00F8465B" w14:paraId="5265B23A" w14:textId="77777777" w:rsidTr="000E7CBF">
        <w:trPr>
          <w:trHeight w:val="255"/>
          <w:jc w:val="center"/>
        </w:trPr>
        <w:tc>
          <w:tcPr>
            <w:tcW w:w="4561" w:type="dxa"/>
            <w:tcBorders>
              <w:top w:val="nil"/>
              <w:left w:val="single" w:sz="4" w:space="0" w:color="auto"/>
              <w:bottom w:val="nil"/>
              <w:right w:val="single" w:sz="4" w:space="0" w:color="auto"/>
            </w:tcBorders>
            <w:shd w:val="clear" w:color="000000" w:fill="FFFFFF"/>
            <w:vAlign w:val="bottom"/>
          </w:tcPr>
          <w:p w14:paraId="1CF27D39" w14:textId="77777777" w:rsidR="009A33D2" w:rsidRPr="00F8465B" w:rsidRDefault="009A33D2" w:rsidP="000E7CBF">
            <w:pPr>
              <w:keepLines w:val="0"/>
              <w:widowControl/>
              <w:jc w:val="left"/>
              <w:rPr>
                <w:rFonts w:ascii="Cambria" w:hAnsi="Cambria"/>
                <w:sz w:val="20"/>
                <w:lang w:val="es-ES"/>
              </w:rPr>
            </w:pPr>
            <w:r w:rsidRPr="00F8465B">
              <w:rPr>
                <w:rFonts w:ascii="Cambria" w:hAnsi="Cambria"/>
                <w:sz w:val="20"/>
              </w:rPr>
              <w:t>Técnicos</w:t>
            </w:r>
          </w:p>
        </w:tc>
        <w:tc>
          <w:tcPr>
            <w:tcW w:w="1540" w:type="dxa"/>
            <w:tcBorders>
              <w:top w:val="nil"/>
              <w:left w:val="single" w:sz="4" w:space="0" w:color="auto"/>
              <w:bottom w:val="nil"/>
              <w:right w:val="single" w:sz="4" w:space="0" w:color="auto"/>
            </w:tcBorders>
            <w:shd w:val="clear" w:color="000000" w:fill="FFFFFF"/>
            <w:vAlign w:val="bottom"/>
          </w:tcPr>
          <w:p w14:paraId="1DBAC3A8" w14:textId="77777777" w:rsidR="009A33D2" w:rsidRPr="00B50675" w:rsidRDefault="009A33D2" w:rsidP="000E7CBF">
            <w:pPr>
              <w:jc w:val="center"/>
              <w:rPr>
                <w:rFonts w:ascii="Cambria" w:hAnsi="Cambria"/>
                <w:sz w:val="20"/>
              </w:rPr>
            </w:pPr>
            <w:r w:rsidRPr="00B50675">
              <w:rPr>
                <w:rFonts w:ascii="Cambria" w:hAnsi="Cambria"/>
                <w:sz w:val="20"/>
              </w:rPr>
              <w:t>4</w:t>
            </w:r>
          </w:p>
        </w:tc>
        <w:tc>
          <w:tcPr>
            <w:tcW w:w="1540" w:type="dxa"/>
            <w:tcBorders>
              <w:top w:val="nil"/>
              <w:left w:val="single" w:sz="4" w:space="0" w:color="auto"/>
              <w:bottom w:val="nil"/>
              <w:right w:val="single" w:sz="4" w:space="0" w:color="auto"/>
            </w:tcBorders>
            <w:shd w:val="clear" w:color="000000" w:fill="FFFFFF"/>
            <w:vAlign w:val="bottom"/>
          </w:tcPr>
          <w:p w14:paraId="20F0D69B" w14:textId="77777777" w:rsidR="009A33D2" w:rsidRPr="00B50675" w:rsidRDefault="009A33D2" w:rsidP="000E7CBF">
            <w:pPr>
              <w:jc w:val="center"/>
              <w:rPr>
                <w:rFonts w:ascii="Cambria" w:hAnsi="Cambria"/>
                <w:sz w:val="20"/>
              </w:rPr>
            </w:pPr>
            <w:r w:rsidRPr="00B50675">
              <w:rPr>
                <w:rFonts w:ascii="Cambria" w:hAnsi="Cambria"/>
                <w:sz w:val="20"/>
              </w:rPr>
              <w:t>5</w:t>
            </w:r>
          </w:p>
        </w:tc>
      </w:tr>
      <w:tr w:rsidR="009A33D2" w:rsidRPr="00F8465B" w14:paraId="3D1BC688" w14:textId="77777777" w:rsidTr="000E7CBF">
        <w:trPr>
          <w:trHeight w:val="270"/>
          <w:jc w:val="center"/>
        </w:trPr>
        <w:tc>
          <w:tcPr>
            <w:tcW w:w="4561" w:type="dxa"/>
            <w:tcBorders>
              <w:top w:val="nil"/>
              <w:left w:val="single" w:sz="4" w:space="0" w:color="auto"/>
              <w:bottom w:val="single" w:sz="4" w:space="0" w:color="auto"/>
              <w:right w:val="single" w:sz="4" w:space="0" w:color="auto"/>
            </w:tcBorders>
            <w:shd w:val="clear" w:color="000000" w:fill="FFFFFF"/>
            <w:vAlign w:val="bottom"/>
          </w:tcPr>
          <w:p w14:paraId="22734492" w14:textId="77777777" w:rsidR="009A33D2" w:rsidRPr="00F8465B" w:rsidRDefault="009A33D2" w:rsidP="000E7CBF">
            <w:pPr>
              <w:keepLines w:val="0"/>
              <w:widowControl/>
              <w:jc w:val="left"/>
              <w:rPr>
                <w:rFonts w:ascii="Cambria" w:hAnsi="Cambria"/>
                <w:sz w:val="20"/>
                <w:lang w:val="es-ES"/>
              </w:rPr>
            </w:pPr>
            <w:r w:rsidRPr="00F8465B">
              <w:rPr>
                <w:rFonts w:ascii="Cambria" w:hAnsi="Cambria"/>
                <w:sz w:val="20"/>
              </w:rPr>
              <w:t>Administrativos</w:t>
            </w:r>
          </w:p>
        </w:tc>
        <w:tc>
          <w:tcPr>
            <w:tcW w:w="1540" w:type="dxa"/>
            <w:tcBorders>
              <w:top w:val="nil"/>
              <w:left w:val="single" w:sz="4" w:space="0" w:color="auto"/>
              <w:bottom w:val="single" w:sz="4" w:space="0" w:color="auto"/>
              <w:right w:val="single" w:sz="4" w:space="0" w:color="auto"/>
            </w:tcBorders>
            <w:shd w:val="clear" w:color="000000" w:fill="FFFFFF"/>
            <w:vAlign w:val="bottom"/>
          </w:tcPr>
          <w:p w14:paraId="3B1A654A" w14:textId="77777777" w:rsidR="009A33D2" w:rsidRPr="00B50675" w:rsidRDefault="009A33D2" w:rsidP="000E7CBF">
            <w:pPr>
              <w:jc w:val="center"/>
              <w:rPr>
                <w:rFonts w:ascii="Cambria" w:hAnsi="Cambria"/>
                <w:sz w:val="20"/>
              </w:rPr>
            </w:pPr>
            <w:r w:rsidRPr="00B50675">
              <w:rPr>
                <w:rFonts w:ascii="Cambria" w:hAnsi="Cambria"/>
                <w:sz w:val="20"/>
              </w:rPr>
              <w:t>2</w:t>
            </w:r>
          </w:p>
        </w:tc>
        <w:tc>
          <w:tcPr>
            <w:tcW w:w="1540" w:type="dxa"/>
            <w:tcBorders>
              <w:top w:val="nil"/>
              <w:left w:val="single" w:sz="4" w:space="0" w:color="auto"/>
              <w:bottom w:val="single" w:sz="4" w:space="0" w:color="auto"/>
              <w:right w:val="single" w:sz="4" w:space="0" w:color="auto"/>
            </w:tcBorders>
            <w:shd w:val="clear" w:color="000000" w:fill="FFFFFF"/>
            <w:vAlign w:val="bottom"/>
          </w:tcPr>
          <w:p w14:paraId="7EAC8FF6" w14:textId="77777777" w:rsidR="009A33D2" w:rsidRPr="00B50675" w:rsidRDefault="009A33D2" w:rsidP="000E7CBF">
            <w:pPr>
              <w:jc w:val="center"/>
              <w:rPr>
                <w:rFonts w:ascii="Cambria" w:hAnsi="Cambria"/>
                <w:sz w:val="20"/>
              </w:rPr>
            </w:pPr>
            <w:r w:rsidRPr="00B50675">
              <w:rPr>
                <w:rFonts w:ascii="Cambria" w:hAnsi="Cambria"/>
                <w:sz w:val="20"/>
              </w:rPr>
              <w:t>7</w:t>
            </w:r>
          </w:p>
        </w:tc>
      </w:tr>
      <w:tr w:rsidR="009A33D2" w:rsidRPr="00F8465B" w14:paraId="4B4FE8A6" w14:textId="77777777" w:rsidTr="000E7CBF">
        <w:trPr>
          <w:trHeight w:val="270"/>
          <w:jc w:val="center"/>
        </w:trPr>
        <w:tc>
          <w:tcPr>
            <w:tcW w:w="4561" w:type="dxa"/>
            <w:tcBorders>
              <w:top w:val="single" w:sz="4" w:space="0" w:color="auto"/>
              <w:left w:val="single" w:sz="4" w:space="0" w:color="auto"/>
              <w:bottom w:val="single" w:sz="4" w:space="0" w:color="auto"/>
              <w:right w:val="single" w:sz="4" w:space="0" w:color="auto"/>
            </w:tcBorders>
            <w:shd w:val="clear" w:color="000000" w:fill="FFFFFF"/>
            <w:vAlign w:val="center"/>
          </w:tcPr>
          <w:p w14:paraId="6D9C141D" w14:textId="77777777" w:rsidR="009A33D2" w:rsidRPr="00F8465B" w:rsidRDefault="009A33D2" w:rsidP="000E7CBF">
            <w:pPr>
              <w:keepLines w:val="0"/>
              <w:widowControl/>
              <w:jc w:val="left"/>
              <w:rPr>
                <w:rFonts w:ascii="Cambria" w:hAnsi="Cambria"/>
                <w:b/>
                <w:bCs/>
                <w:sz w:val="20"/>
                <w:lang w:val="es-ES"/>
              </w:rPr>
            </w:pPr>
            <w:r w:rsidRPr="00F8465B">
              <w:rPr>
                <w:rFonts w:ascii="Cambria" w:hAnsi="Cambria"/>
                <w:b/>
                <w:bCs/>
                <w:sz w:val="20"/>
              </w:rPr>
              <w:t>TOTAL PLANTILLA FINAL</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17BC8C08" w14:textId="77777777" w:rsidR="009A33D2" w:rsidRPr="00B50675" w:rsidRDefault="009A33D2" w:rsidP="000E7CBF">
            <w:pPr>
              <w:jc w:val="center"/>
              <w:rPr>
                <w:rFonts w:ascii="Cambria" w:hAnsi="Cambria"/>
                <w:b/>
                <w:sz w:val="20"/>
              </w:rPr>
            </w:pPr>
            <w:r w:rsidRPr="00B50675">
              <w:rPr>
                <w:rFonts w:ascii="Cambria" w:hAnsi="Cambria"/>
                <w:b/>
                <w:sz w:val="20"/>
              </w:rPr>
              <w:t>10</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3754CD2C" w14:textId="77777777" w:rsidR="009A33D2" w:rsidRPr="00B50675" w:rsidRDefault="009A33D2" w:rsidP="000E7CBF">
            <w:pPr>
              <w:jc w:val="center"/>
              <w:rPr>
                <w:rFonts w:ascii="Cambria" w:hAnsi="Cambria"/>
                <w:b/>
                <w:sz w:val="20"/>
              </w:rPr>
            </w:pPr>
            <w:r w:rsidRPr="00B50675">
              <w:rPr>
                <w:rFonts w:ascii="Cambria" w:hAnsi="Cambria"/>
                <w:b/>
                <w:sz w:val="20"/>
              </w:rPr>
              <w:t>12</w:t>
            </w:r>
          </w:p>
        </w:tc>
      </w:tr>
    </w:tbl>
    <w:p w14:paraId="193266FF" w14:textId="77777777" w:rsidR="005804FE" w:rsidRDefault="005804FE" w:rsidP="00D25BFC">
      <w:pPr>
        <w:keepLines w:val="0"/>
        <w:widowControl/>
        <w:jc w:val="left"/>
        <w:rPr>
          <w:rFonts w:ascii="Cambria" w:hAnsi="Cambria"/>
          <w:sz w:val="24"/>
          <w:szCs w:val="24"/>
        </w:rPr>
      </w:pPr>
    </w:p>
    <w:p w14:paraId="3DA60F57" w14:textId="77777777" w:rsidR="00D25BFC" w:rsidRDefault="00D25BFC" w:rsidP="00D25BFC">
      <w:pPr>
        <w:keepLines w:val="0"/>
        <w:widowControl/>
        <w:jc w:val="left"/>
        <w:rPr>
          <w:rFonts w:ascii="Cambria" w:hAnsi="Cambria"/>
          <w:sz w:val="24"/>
          <w:szCs w:val="24"/>
        </w:rPr>
      </w:pPr>
    </w:p>
    <w:bookmarkEnd w:id="23"/>
    <w:p w14:paraId="26A75A1E" w14:textId="77777777" w:rsidR="00A20CB6" w:rsidRDefault="00A20CB6" w:rsidP="00D25BFC">
      <w:pPr>
        <w:keepLines w:val="0"/>
        <w:widowControl/>
        <w:jc w:val="left"/>
        <w:rPr>
          <w:rFonts w:ascii="Cambria" w:hAnsi="Cambria"/>
          <w:sz w:val="24"/>
          <w:szCs w:val="24"/>
        </w:rPr>
      </w:pPr>
    </w:p>
    <w:p w14:paraId="7D38FEBF" w14:textId="6695B183" w:rsidR="00C359DE" w:rsidRDefault="00C359DE">
      <w:pPr>
        <w:keepLines w:val="0"/>
        <w:widowControl/>
        <w:jc w:val="left"/>
        <w:rPr>
          <w:rFonts w:ascii="Cambria" w:hAnsi="Cambria"/>
          <w:sz w:val="24"/>
          <w:szCs w:val="24"/>
        </w:rPr>
      </w:pPr>
      <w:r>
        <w:rPr>
          <w:rFonts w:ascii="Cambria" w:hAnsi="Cambria"/>
          <w:sz w:val="24"/>
          <w:szCs w:val="24"/>
        </w:rPr>
        <w:br w:type="page"/>
      </w:r>
    </w:p>
    <w:p w14:paraId="0E91DB07" w14:textId="77777777" w:rsidR="00A20CB6" w:rsidRPr="00F8465B" w:rsidRDefault="00A20CB6" w:rsidP="00D25BFC">
      <w:pPr>
        <w:keepLines w:val="0"/>
        <w:widowControl/>
        <w:jc w:val="left"/>
        <w:rPr>
          <w:rFonts w:ascii="Cambria" w:hAnsi="Cambria"/>
          <w:sz w:val="24"/>
          <w:szCs w:val="24"/>
        </w:rPr>
      </w:pPr>
    </w:p>
    <w:p w14:paraId="0C8C55EA" w14:textId="77777777" w:rsidR="00915BF9" w:rsidRPr="00F8465B" w:rsidRDefault="002C25AE" w:rsidP="00C32165">
      <w:pPr>
        <w:pStyle w:val="Ttulo2"/>
        <w:keepNext/>
        <w:ind w:left="567"/>
        <w:rPr>
          <w:rFonts w:ascii="Cambria" w:hAnsi="Cambria"/>
          <w:sz w:val="24"/>
          <w:szCs w:val="24"/>
        </w:rPr>
      </w:pPr>
      <w:bookmarkStart w:id="24" w:name="_Hlk64034878"/>
      <w:r w:rsidRPr="00F8465B">
        <w:rPr>
          <w:rFonts w:ascii="Cambria" w:hAnsi="Cambria"/>
          <w:sz w:val="24"/>
          <w:szCs w:val="24"/>
        </w:rPr>
        <w:t>1</w:t>
      </w:r>
      <w:r w:rsidR="00DA051D" w:rsidRPr="00F8465B">
        <w:rPr>
          <w:rFonts w:ascii="Cambria" w:hAnsi="Cambria"/>
          <w:sz w:val="24"/>
          <w:szCs w:val="24"/>
        </w:rPr>
        <w:t>4</w:t>
      </w:r>
      <w:r w:rsidR="00D80381" w:rsidRPr="00F8465B">
        <w:rPr>
          <w:rFonts w:ascii="Cambria" w:hAnsi="Cambria"/>
          <w:sz w:val="24"/>
          <w:szCs w:val="24"/>
        </w:rPr>
        <w:t xml:space="preserve">.3 </w:t>
      </w:r>
      <w:r w:rsidR="00915BF9" w:rsidRPr="00F8465B">
        <w:rPr>
          <w:rFonts w:ascii="Cambria" w:hAnsi="Cambria"/>
          <w:sz w:val="24"/>
          <w:szCs w:val="24"/>
        </w:rPr>
        <w:t xml:space="preserve">Honorarios de </w:t>
      </w:r>
      <w:r w:rsidR="00D80381" w:rsidRPr="00F8465B">
        <w:rPr>
          <w:rFonts w:ascii="Cambria" w:hAnsi="Cambria"/>
          <w:sz w:val="24"/>
          <w:szCs w:val="24"/>
        </w:rPr>
        <w:t>auditorí</w:t>
      </w:r>
      <w:r w:rsidR="0054040E" w:rsidRPr="00F8465B">
        <w:rPr>
          <w:rFonts w:ascii="Cambria" w:hAnsi="Cambria"/>
          <w:sz w:val="24"/>
          <w:szCs w:val="24"/>
        </w:rPr>
        <w:t>a</w:t>
      </w:r>
    </w:p>
    <w:p w14:paraId="7EC8B896" w14:textId="77777777" w:rsidR="008D6CD7" w:rsidRPr="00F8465B" w:rsidRDefault="008D6CD7" w:rsidP="00C32165">
      <w:pPr>
        <w:pStyle w:val="Ttulo1a"/>
        <w:ind w:left="567"/>
        <w:rPr>
          <w:rFonts w:ascii="Cambria" w:hAnsi="Cambria"/>
          <w:sz w:val="24"/>
          <w:szCs w:val="24"/>
        </w:rPr>
      </w:pPr>
    </w:p>
    <w:p w14:paraId="755E56BD" w14:textId="0AA3314A" w:rsidR="00931346" w:rsidRPr="00F8465B" w:rsidRDefault="003F1BE8" w:rsidP="00C32165">
      <w:pPr>
        <w:pStyle w:val="Ttulo1a"/>
        <w:ind w:left="567"/>
        <w:rPr>
          <w:rFonts w:ascii="Cambria" w:hAnsi="Cambria"/>
          <w:sz w:val="24"/>
          <w:szCs w:val="24"/>
        </w:rPr>
      </w:pPr>
      <w:r w:rsidRPr="00F8465B">
        <w:rPr>
          <w:rFonts w:ascii="Cambria" w:hAnsi="Cambria"/>
          <w:sz w:val="24"/>
          <w:szCs w:val="24"/>
        </w:rPr>
        <w:t xml:space="preserve">Durante </w:t>
      </w:r>
      <w:r w:rsidR="00D80381" w:rsidRPr="00F8465B">
        <w:rPr>
          <w:rFonts w:ascii="Cambria" w:hAnsi="Cambria"/>
          <w:sz w:val="24"/>
          <w:szCs w:val="24"/>
        </w:rPr>
        <w:t xml:space="preserve">el </w:t>
      </w:r>
      <w:r w:rsidRPr="00F8465B">
        <w:rPr>
          <w:rFonts w:ascii="Cambria" w:hAnsi="Cambria"/>
          <w:sz w:val="24"/>
          <w:szCs w:val="24"/>
        </w:rPr>
        <w:t>ejercicio 20</w:t>
      </w:r>
      <w:r w:rsidR="009A33D2">
        <w:rPr>
          <w:rFonts w:ascii="Cambria" w:hAnsi="Cambria"/>
          <w:sz w:val="24"/>
          <w:szCs w:val="24"/>
        </w:rPr>
        <w:t>20</w:t>
      </w:r>
      <w:r w:rsidR="00915BF9" w:rsidRPr="00F8465B">
        <w:rPr>
          <w:rFonts w:ascii="Cambria" w:hAnsi="Cambria"/>
          <w:sz w:val="24"/>
          <w:szCs w:val="24"/>
        </w:rPr>
        <w:t xml:space="preserve">, los honorarios relativos a los servicios de </w:t>
      </w:r>
      <w:r w:rsidR="00D80381" w:rsidRPr="00F8465B">
        <w:rPr>
          <w:rFonts w:ascii="Cambria" w:hAnsi="Cambria"/>
          <w:sz w:val="24"/>
          <w:szCs w:val="24"/>
        </w:rPr>
        <w:t>auditorí</w:t>
      </w:r>
      <w:r w:rsidR="0054040E" w:rsidRPr="00F8465B">
        <w:rPr>
          <w:rFonts w:ascii="Cambria" w:hAnsi="Cambria"/>
          <w:sz w:val="24"/>
          <w:szCs w:val="24"/>
        </w:rPr>
        <w:t>a</w:t>
      </w:r>
      <w:r w:rsidR="00915BF9" w:rsidRPr="00F8465B">
        <w:rPr>
          <w:rFonts w:ascii="Cambria" w:hAnsi="Cambria"/>
          <w:sz w:val="24"/>
          <w:szCs w:val="24"/>
        </w:rPr>
        <w:t xml:space="preserve"> de </w:t>
      </w:r>
      <w:r w:rsidR="00915BF9" w:rsidRPr="00F90504">
        <w:rPr>
          <w:rFonts w:ascii="Cambria" w:hAnsi="Cambria"/>
          <w:sz w:val="24"/>
          <w:szCs w:val="24"/>
        </w:rPr>
        <w:t>cuentas</w:t>
      </w:r>
      <w:r w:rsidR="00D80381" w:rsidRPr="00F90504">
        <w:rPr>
          <w:rFonts w:ascii="Cambria" w:hAnsi="Cambria"/>
          <w:sz w:val="24"/>
          <w:szCs w:val="24"/>
        </w:rPr>
        <w:t xml:space="preserve"> prestados por el auditor de la Sociedad, </w:t>
      </w:r>
      <w:r w:rsidR="006E56FA">
        <w:rPr>
          <w:rFonts w:ascii="Cambria" w:hAnsi="Cambria"/>
          <w:sz w:val="24"/>
          <w:szCs w:val="24"/>
        </w:rPr>
        <w:t>Grant Thornton</w:t>
      </w:r>
      <w:r w:rsidR="00A66E3D" w:rsidRPr="00F90504">
        <w:rPr>
          <w:rFonts w:ascii="Cambria" w:hAnsi="Cambria"/>
          <w:sz w:val="24"/>
          <w:szCs w:val="24"/>
        </w:rPr>
        <w:t>, S.L</w:t>
      </w:r>
      <w:r w:rsidR="006E56FA">
        <w:rPr>
          <w:rFonts w:ascii="Cambria" w:hAnsi="Cambria"/>
          <w:sz w:val="24"/>
          <w:szCs w:val="24"/>
        </w:rPr>
        <w:t>P., Sociedad Unipersonal</w:t>
      </w:r>
      <w:r w:rsidR="00D80381" w:rsidRPr="00F90504">
        <w:rPr>
          <w:rFonts w:ascii="Cambria" w:hAnsi="Cambria"/>
          <w:sz w:val="24"/>
          <w:szCs w:val="24"/>
        </w:rPr>
        <w:t>,</w:t>
      </w:r>
      <w:r w:rsidR="00915BF9" w:rsidRPr="00F90504">
        <w:rPr>
          <w:rFonts w:ascii="Cambria" w:hAnsi="Cambria"/>
          <w:sz w:val="24"/>
          <w:szCs w:val="24"/>
        </w:rPr>
        <w:t xml:space="preserve"> han </w:t>
      </w:r>
      <w:r w:rsidR="00915BF9" w:rsidRPr="001A1E4B">
        <w:rPr>
          <w:rFonts w:ascii="Cambria" w:hAnsi="Cambria"/>
          <w:sz w:val="24"/>
          <w:szCs w:val="24"/>
          <w:shd w:val="clear" w:color="auto" w:fill="FFFFFF" w:themeFill="background1"/>
        </w:rPr>
        <w:t xml:space="preserve">ascendido </w:t>
      </w:r>
      <w:r w:rsidR="001B120F" w:rsidRPr="001A1E4B">
        <w:rPr>
          <w:rFonts w:ascii="Cambria" w:hAnsi="Cambria"/>
          <w:sz w:val="24"/>
          <w:szCs w:val="24"/>
          <w:shd w:val="clear" w:color="auto" w:fill="FFFFFF" w:themeFill="background1"/>
        </w:rPr>
        <w:t xml:space="preserve">a </w:t>
      </w:r>
      <w:r w:rsidR="002C1319">
        <w:rPr>
          <w:rFonts w:ascii="Cambria" w:hAnsi="Cambria"/>
          <w:sz w:val="24"/>
          <w:szCs w:val="24"/>
          <w:shd w:val="clear" w:color="auto" w:fill="FFFFFF" w:themeFill="background1"/>
        </w:rPr>
        <w:t>18</w:t>
      </w:r>
      <w:r w:rsidR="00C72A58">
        <w:rPr>
          <w:rFonts w:ascii="Cambria" w:hAnsi="Cambria"/>
          <w:sz w:val="24"/>
          <w:szCs w:val="24"/>
          <w:shd w:val="clear" w:color="auto" w:fill="FFFFFF" w:themeFill="background1"/>
        </w:rPr>
        <w:t xml:space="preserve"> </w:t>
      </w:r>
      <w:r w:rsidR="002C1319">
        <w:rPr>
          <w:rFonts w:ascii="Cambria" w:hAnsi="Cambria"/>
          <w:sz w:val="24"/>
          <w:szCs w:val="24"/>
          <w:shd w:val="clear" w:color="auto" w:fill="FFFFFF" w:themeFill="background1"/>
        </w:rPr>
        <w:t>miles de</w:t>
      </w:r>
      <w:r w:rsidR="00A66E3D" w:rsidRPr="001A1E4B">
        <w:rPr>
          <w:rFonts w:ascii="Cambria" w:hAnsi="Cambria"/>
          <w:sz w:val="24"/>
          <w:szCs w:val="24"/>
          <w:shd w:val="clear" w:color="auto" w:fill="FFFFFF" w:themeFill="background1"/>
        </w:rPr>
        <w:t xml:space="preserve"> euros </w:t>
      </w:r>
      <w:r w:rsidR="00D80381" w:rsidRPr="001A1E4B">
        <w:rPr>
          <w:rFonts w:ascii="Cambria" w:hAnsi="Cambria"/>
          <w:sz w:val="24"/>
          <w:szCs w:val="24"/>
          <w:shd w:val="clear" w:color="auto" w:fill="FFFFFF" w:themeFill="background1"/>
        </w:rPr>
        <w:t>(</w:t>
      </w:r>
      <w:r w:rsidR="00D44BB5" w:rsidRPr="001A1E4B">
        <w:rPr>
          <w:rFonts w:ascii="Cambria" w:hAnsi="Cambria"/>
          <w:sz w:val="24"/>
          <w:szCs w:val="24"/>
          <w:shd w:val="clear" w:color="auto" w:fill="FFFFFF" w:themeFill="background1"/>
        </w:rPr>
        <w:t>18</w:t>
      </w:r>
      <w:r w:rsidR="00C72A58">
        <w:rPr>
          <w:rFonts w:ascii="Cambria" w:hAnsi="Cambria"/>
          <w:sz w:val="24"/>
          <w:szCs w:val="24"/>
          <w:shd w:val="clear" w:color="auto" w:fill="FFFFFF" w:themeFill="background1"/>
        </w:rPr>
        <w:t xml:space="preserve"> miles de </w:t>
      </w:r>
      <w:r w:rsidR="00A66E3D" w:rsidRPr="001A1E4B">
        <w:rPr>
          <w:rFonts w:ascii="Cambria" w:hAnsi="Cambria"/>
          <w:sz w:val="24"/>
          <w:szCs w:val="24"/>
          <w:shd w:val="clear" w:color="auto" w:fill="FFFFFF" w:themeFill="background1"/>
        </w:rPr>
        <w:t>euros</w:t>
      </w:r>
      <w:r w:rsidRPr="001A1E4B">
        <w:rPr>
          <w:rFonts w:ascii="Cambria" w:hAnsi="Cambria"/>
          <w:sz w:val="24"/>
          <w:szCs w:val="24"/>
          <w:shd w:val="clear" w:color="auto" w:fill="FFFFFF" w:themeFill="background1"/>
        </w:rPr>
        <w:t xml:space="preserve"> </w:t>
      </w:r>
      <w:r w:rsidR="00D80381" w:rsidRPr="001A1E4B">
        <w:rPr>
          <w:rFonts w:ascii="Cambria" w:hAnsi="Cambria"/>
          <w:sz w:val="24"/>
          <w:szCs w:val="24"/>
          <w:shd w:val="clear" w:color="auto" w:fill="FFFFFF" w:themeFill="background1"/>
        </w:rPr>
        <w:t>en</w:t>
      </w:r>
      <w:r w:rsidR="00D80381" w:rsidRPr="00F8465B">
        <w:rPr>
          <w:rFonts w:ascii="Cambria" w:hAnsi="Cambria"/>
          <w:sz w:val="24"/>
          <w:szCs w:val="24"/>
        </w:rPr>
        <w:t xml:space="preserve"> 20</w:t>
      </w:r>
      <w:r w:rsidR="00D7436F" w:rsidRPr="00F8465B">
        <w:rPr>
          <w:rFonts w:ascii="Cambria" w:hAnsi="Cambria"/>
          <w:sz w:val="24"/>
          <w:szCs w:val="24"/>
        </w:rPr>
        <w:t>1</w:t>
      </w:r>
      <w:r w:rsidR="009A33D2">
        <w:rPr>
          <w:rFonts w:ascii="Cambria" w:hAnsi="Cambria"/>
          <w:sz w:val="24"/>
          <w:szCs w:val="24"/>
        </w:rPr>
        <w:t>9</w:t>
      </w:r>
      <w:r w:rsidR="00D80381" w:rsidRPr="00F8465B">
        <w:rPr>
          <w:rFonts w:ascii="Cambria" w:hAnsi="Cambria"/>
          <w:sz w:val="24"/>
          <w:szCs w:val="24"/>
        </w:rPr>
        <w:t>)</w:t>
      </w:r>
      <w:r w:rsidR="00915BF9" w:rsidRPr="00F8465B">
        <w:rPr>
          <w:rFonts w:ascii="Cambria" w:hAnsi="Cambria"/>
          <w:sz w:val="24"/>
          <w:szCs w:val="24"/>
        </w:rPr>
        <w:t xml:space="preserve">. No se han prestado servicios adicionales por </w:t>
      </w:r>
      <w:r w:rsidR="00D80381" w:rsidRPr="00F8465B">
        <w:rPr>
          <w:rFonts w:ascii="Cambria" w:hAnsi="Cambria"/>
          <w:sz w:val="24"/>
          <w:szCs w:val="24"/>
        </w:rPr>
        <w:t>el auditor de cuenta</w:t>
      </w:r>
      <w:r w:rsidR="00F648F4" w:rsidRPr="00F8465B">
        <w:rPr>
          <w:rFonts w:ascii="Cambria" w:hAnsi="Cambria"/>
          <w:sz w:val="24"/>
          <w:szCs w:val="24"/>
        </w:rPr>
        <w:t>s</w:t>
      </w:r>
      <w:r w:rsidR="00D80381" w:rsidRPr="00F8465B">
        <w:rPr>
          <w:rFonts w:ascii="Cambria" w:hAnsi="Cambria"/>
          <w:sz w:val="24"/>
          <w:szCs w:val="24"/>
        </w:rPr>
        <w:t xml:space="preserve"> o por alguna empresa de su mismo grupo.</w:t>
      </w:r>
    </w:p>
    <w:bookmarkEnd w:id="24"/>
    <w:p w14:paraId="3F32816D" w14:textId="77777777" w:rsidR="00AE78A0" w:rsidRPr="00F8465B" w:rsidRDefault="00AE78A0" w:rsidP="00AE78A0">
      <w:pPr>
        <w:pStyle w:val="Ttulo2"/>
        <w:keepNext/>
        <w:ind w:left="567"/>
        <w:rPr>
          <w:rFonts w:ascii="Cambria" w:hAnsi="Cambria"/>
          <w:sz w:val="24"/>
          <w:szCs w:val="24"/>
        </w:rPr>
      </w:pPr>
    </w:p>
    <w:p w14:paraId="0F9C1AAD" w14:textId="77777777" w:rsidR="00171D9B" w:rsidRPr="00F8465B" w:rsidRDefault="00AE78A0" w:rsidP="00AE78A0">
      <w:pPr>
        <w:pStyle w:val="Ttulo2"/>
        <w:keepNext/>
        <w:ind w:left="567"/>
        <w:rPr>
          <w:rFonts w:ascii="Cambria" w:hAnsi="Cambria"/>
          <w:sz w:val="24"/>
          <w:szCs w:val="24"/>
        </w:rPr>
      </w:pPr>
      <w:bookmarkStart w:id="25" w:name="_Hlk64034960"/>
      <w:r w:rsidRPr="00F8465B">
        <w:rPr>
          <w:rFonts w:ascii="Cambria" w:hAnsi="Cambria"/>
          <w:sz w:val="24"/>
          <w:szCs w:val="24"/>
        </w:rPr>
        <w:t>1</w:t>
      </w:r>
      <w:r w:rsidR="00DA051D" w:rsidRPr="00F8465B">
        <w:rPr>
          <w:rFonts w:ascii="Cambria" w:hAnsi="Cambria"/>
          <w:sz w:val="24"/>
          <w:szCs w:val="24"/>
        </w:rPr>
        <w:t>4</w:t>
      </w:r>
      <w:r w:rsidR="0025382F" w:rsidRPr="00F8465B">
        <w:rPr>
          <w:rFonts w:ascii="Cambria" w:hAnsi="Cambria"/>
          <w:sz w:val="24"/>
          <w:szCs w:val="24"/>
        </w:rPr>
        <w:t>.4 Garantías comprometidas con terceros.</w:t>
      </w:r>
    </w:p>
    <w:p w14:paraId="72B81DC9" w14:textId="77777777" w:rsidR="00171D9B" w:rsidRPr="00F8465B" w:rsidRDefault="00171D9B" w:rsidP="00C32165">
      <w:pPr>
        <w:pStyle w:val="Ttulo1a"/>
        <w:ind w:left="567"/>
        <w:rPr>
          <w:rFonts w:ascii="Cambria" w:hAnsi="Cambria"/>
          <w:sz w:val="24"/>
          <w:szCs w:val="24"/>
        </w:rPr>
      </w:pPr>
    </w:p>
    <w:p w14:paraId="1C5B980A" w14:textId="28F48CF8" w:rsidR="00247716" w:rsidRDefault="00D80381" w:rsidP="00A56B07">
      <w:pPr>
        <w:pStyle w:val="Ttulo1a"/>
        <w:ind w:left="567"/>
      </w:pPr>
      <w:r w:rsidRPr="00F8465B">
        <w:rPr>
          <w:rFonts w:ascii="Cambria" w:hAnsi="Cambria"/>
          <w:sz w:val="24"/>
          <w:szCs w:val="24"/>
        </w:rPr>
        <w:t xml:space="preserve">Al 31 de </w:t>
      </w:r>
      <w:r w:rsidRPr="000F1785">
        <w:rPr>
          <w:rFonts w:ascii="Cambria" w:hAnsi="Cambria"/>
          <w:sz w:val="24"/>
          <w:szCs w:val="24"/>
        </w:rPr>
        <w:t xml:space="preserve">diciembre de </w:t>
      </w:r>
      <w:r w:rsidR="006F1F5A" w:rsidRPr="000F1785">
        <w:rPr>
          <w:rFonts w:ascii="Cambria" w:hAnsi="Cambria"/>
          <w:sz w:val="24"/>
          <w:szCs w:val="24"/>
        </w:rPr>
        <w:t>20</w:t>
      </w:r>
      <w:r w:rsidR="009A33D2">
        <w:rPr>
          <w:rFonts w:ascii="Cambria" w:hAnsi="Cambria"/>
          <w:sz w:val="24"/>
          <w:szCs w:val="24"/>
        </w:rPr>
        <w:t>20</w:t>
      </w:r>
      <w:r w:rsidRPr="000F1785">
        <w:rPr>
          <w:rFonts w:ascii="Cambria" w:hAnsi="Cambria"/>
          <w:sz w:val="24"/>
          <w:szCs w:val="24"/>
        </w:rPr>
        <w:t>, l</w:t>
      </w:r>
      <w:r w:rsidR="00171D9B" w:rsidRPr="000F1785">
        <w:rPr>
          <w:rFonts w:ascii="Cambria" w:hAnsi="Cambria"/>
          <w:sz w:val="24"/>
          <w:szCs w:val="24"/>
        </w:rPr>
        <w:t>a Sociedad tiene presentado</w:t>
      </w:r>
      <w:r w:rsidRPr="000F1785">
        <w:rPr>
          <w:rFonts w:ascii="Cambria" w:hAnsi="Cambria"/>
          <w:sz w:val="24"/>
          <w:szCs w:val="24"/>
        </w:rPr>
        <w:t>s</w:t>
      </w:r>
      <w:r w:rsidR="00171D9B" w:rsidRPr="000F1785">
        <w:rPr>
          <w:rFonts w:ascii="Cambria" w:hAnsi="Cambria"/>
          <w:sz w:val="24"/>
          <w:szCs w:val="24"/>
        </w:rPr>
        <w:t xml:space="preserve"> avales frente a terceros por </w:t>
      </w:r>
      <w:r w:rsidR="00171D9B" w:rsidRPr="007C02A0">
        <w:rPr>
          <w:rFonts w:ascii="Cambria" w:hAnsi="Cambria"/>
          <w:sz w:val="24"/>
          <w:szCs w:val="24"/>
        </w:rPr>
        <w:t xml:space="preserve">importe </w:t>
      </w:r>
      <w:r w:rsidR="00171D9B" w:rsidRPr="006F11B4">
        <w:rPr>
          <w:rFonts w:ascii="Cambria" w:hAnsi="Cambria"/>
          <w:sz w:val="24"/>
          <w:szCs w:val="24"/>
        </w:rPr>
        <w:t xml:space="preserve">de </w:t>
      </w:r>
      <w:r w:rsidR="007C02A0" w:rsidRPr="006F11B4">
        <w:rPr>
          <w:rFonts w:ascii="Cambria" w:hAnsi="Cambria"/>
          <w:sz w:val="24"/>
          <w:szCs w:val="24"/>
        </w:rPr>
        <w:t>2.327</w:t>
      </w:r>
      <w:r w:rsidR="003B4401" w:rsidRPr="006F11B4">
        <w:rPr>
          <w:rFonts w:ascii="Cambria" w:hAnsi="Cambria"/>
          <w:sz w:val="24"/>
          <w:szCs w:val="24"/>
        </w:rPr>
        <w:t xml:space="preserve"> </w:t>
      </w:r>
      <w:r w:rsidR="007575AE" w:rsidRPr="006F11B4">
        <w:rPr>
          <w:rFonts w:ascii="Cambria" w:hAnsi="Cambria"/>
          <w:sz w:val="24"/>
          <w:szCs w:val="24"/>
        </w:rPr>
        <w:t xml:space="preserve">miles de </w:t>
      </w:r>
      <w:r w:rsidR="00093974" w:rsidRPr="006F11B4">
        <w:rPr>
          <w:rFonts w:ascii="Cambria" w:hAnsi="Cambria"/>
          <w:sz w:val="24"/>
          <w:szCs w:val="24"/>
        </w:rPr>
        <w:t>euros</w:t>
      </w:r>
      <w:r w:rsidR="005902B5" w:rsidRPr="006F11B4">
        <w:rPr>
          <w:rFonts w:ascii="Cambria" w:hAnsi="Cambria"/>
          <w:sz w:val="24"/>
          <w:szCs w:val="24"/>
        </w:rPr>
        <w:t xml:space="preserve"> (</w:t>
      </w:r>
      <w:r w:rsidR="00A466AD" w:rsidRPr="006F11B4">
        <w:rPr>
          <w:rFonts w:ascii="Cambria" w:hAnsi="Cambria"/>
          <w:sz w:val="24"/>
          <w:szCs w:val="24"/>
        </w:rPr>
        <w:t>2.3</w:t>
      </w:r>
      <w:r w:rsidR="00D44BB5" w:rsidRPr="006F11B4">
        <w:rPr>
          <w:rFonts w:ascii="Cambria" w:hAnsi="Cambria"/>
          <w:sz w:val="24"/>
          <w:szCs w:val="24"/>
        </w:rPr>
        <w:t>27</w:t>
      </w:r>
      <w:r w:rsidR="00A466AD" w:rsidRPr="006F11B4">
        <w:rPr>
          <w:rFonts w:ascii="Cambria" w:hAnsi="Cambria"/>
          <w:sz w:val="24"/>
          <w:szCs w:val="24"/>
        </w:rPr>
        <w:t xml:space="preserve"> </w:t>
      </w:r>
      <w:r w:rsidR="007575AE" w:rsidRPr="006F11B4">
        <w:rPr>
          <w:rFonts w:ascii="Cambria" w:hAnsi="Cambria"/>
          <w:sz w:val="24"/>
          <w:szCs w:val="24"/>
        </w:rPr>
        <w:t>miles</w:t>
      </w:r>
      <w:r w:rsidR="007575AE" w:rsidRPr="000F1785">
        <w:rPr>
          <w:rFonts w:ascii="Cambria" w:hAnsi="Cambria"/>
          <w:sz w:val="24"/>
          <w:szCs w:val="24"/>
        </w:rPr>
        <w:t xml:space="preserve"> de </w:t>
      </w:r>
      <w:r w:rsidR="005902B5" w:rsidRPr="000F1785">
        <w:rPr>
          <w:rFonts w:ascii="Cambria" w:hAnsi="Cambria"/>
          <w:sz w:val="24"/>
          <w:szCs w:val="24"/>
        </w:rPr>
        <w:t>euros en 20</w:t>
      </w:r>
      <w:r w:rsidR="00E4358B" w:rsidRPr="000F1785">
        <w:rPr>
          <w:rFonts w:ascii="Cambria" w:hAnsi="Cambria"/>
          <w:sz w:val="24"/>
          <w:szCs w:val="24"/>
        </w:rPr>
        <w:t>1</w:t>
      </w:r>
      <w:r w:rsidR="009A33D2">
        <w:rPr>
          <w:rFonts w:ascii="Cambria" w:hAnsi="Cambria"/>
          <w:sz w:val="24"/>
          <w:szCs w:val="24"/>
        </w:rPr>
        <w:t>9</w:t>
      </w:r>
      <w:r w:rsidR="005902B5" w:rsidRPr="000F1785">
        <w:rPr>
          <w:rFonts w:ascii="Cambria" w:hAnsi="Cambria"/>
          <w:sz w:val="24"/>
          <w:szCs w:val="24"/>
        </w:rPr>
        <w:t>)</w:t>
      </w:r>
      <w:r w:rsidR="00DB5545" w:rsidRPr="000F1785">
        <w:rPr>
          <w:rFonts w:ascii="Cambria" w:hAnsi="Cambria"/>
          <w:sz w:val="24"/>
          <w:szCs w:val="24"/>
        </w:rPr>
        <w:t>.</w:t>
      </w:r>
      <w:r w:rsidR="008F517D" w:rsidRPr="00F8465B">
        <w:rPr>
          <w:rFonts w:ascii="Cambria" w:hAnsi="Cambria"/>
          <w:sz w:val="24"/>
          <w:szCs w:val="24"/>
        </w:rPr>
        <w:t xml:space="preserve"> </w:t>
      </w:r>
      <w:r w:rsidR="000E1F61">
        <w:rPr>
          <w:rFonts w:ascii="Cambria" w:hAnsi="Cambria"/>
          <w:sz w:val="24"/>
          <w:szCs w:val="24"/>
        </w:rPr>
        <w:t xml:space="preserve">Se </w:t>
      </w:r>
      <w:r w:rsidR="00836D4A" w:rsidRPr="00F8465B">
        <w:rPr>
          <w:rFonts w:ascii="Cambria" w:hAnsi="Cambria"/>
          <w:sz w:val="24"/>
          <w:szCs w:val="24"/>
        </w:rPr>
        <w:t>corresponde</w:t>
      </w:r>
      <w:r w:rsidR="000E1F61">
        <w:rPr>
          <w:rFonts w:ascii="Cambria" w:hAnsi="Cambria"/>
          <w:sz w:val="24"/>
          <w:szCs w:val="24"/>
        </w:rPr>
        <w:t xml:space="preserve"> con el </w:t>
      </w:r>
      <w:r w:rsidR="00C73E91" w:rsidRPr="00F8465B">
        <w:rPr>
          <w:rFonts w:ascii="Cambria" w:hAnsi="Cambria"/>
          <w:sz w:val="24"/>
          <w:szCs w:val="24"/>
        </w:rPr>
        <w:t xml:space="preserve">aval presentado por </w:t>
      </w:r>
      <w:r w:rsidR="009D1B5C" w:rsidRPr="00F8465B">
        <w:rPr>
          <w:rFonts w:ascii="Cambria" w:hAnsi="Cambria"/>
          <w:sz w:val="24"/>
          <w:szCs w:val="24"/>
        </w:rPr>
        <w:t>P</w:t>
      </w:r>
      <w:r w:rsidR="009D1B5C">
        <w:rPr>
          <w:rFonts w:ascii="Cambria" w:hAnsi="Cambria"/>
          <w:sz w:val="24"/>
          <w:szCs w:val="24"/>
        </w:rPr>
        <w:t>RESUR</w:t>
      </w:r>
      <w:r w:rsidR="009D1B5C" w:rsidRPr="00F8465B">
        <w:rPr>
          <w:rFonts w:ascii="Cambria" w:hAnsi="Cambria"/>
          <w:sz w:val="24"/>
          <w:szCs w:val="24"/>
        </w:rPr>
        <w:t xml:space="preserve"> </w:t>
      </w:r>
      <w:r w:rsidR="00C73E91" w:rsidRPr="00F8465B">
        <w:rPr>
          <w:rFonts w:ascii="Cambria" w:hAnsi="Cambria"/>
          <w:sz w:val="24"/>
          <w:szCs w:val="24"/>
        </w:rPr>
        <w:t>a la Junta de Andalucía para garantizar la restauración de los terrenos en los que desarrollaba su explotación minera.</w:t>
      </w:r>
      <w:r w:rsidR="008E4F53" w:rsidRPr="00F8465B" w:rsidDel="008E4F53">
        <w:rPr>
          <w:rFonts w:ascii="Cambria" w:hAnsi="Cambria"/>
          <w:sz w:val="24"/>
          <w:szCs w:val="24"/>
        </w:rPr>
        <w:t xml:space="preserve"> </w:t>
      </w:r>
    </w:p>
    <w:bookmarkEnd w:id="25"/>
    <w:p w14:paraId="00E48064" w14:textId="77777777" w:rsidR="00171D9B" w:rsidRPr="00F8465B" w:rsidRDefault="00171D9B" w:rsidP="00C32165">
      <w:pPr>
        <w:pStyle w:val="Ttulo1a"/>
        <w:ind w:left="567"/>
        <w:rPr>
          <w:rFonts w:ascii="Cambria" w:hAnsi="Cambria"/>
          <w:sz w:val="24"/>
          <w:szCs w:val="24"/>
        </w:rPr>
      </w:pPr>
    </w:p>
    <w:p w14:paraId="591E3E1D" w14:textId="77777777" w:rsidR="00C676AF" w:rsidRPr="00F8465B" w:rsidRDefault="002C25AE" w:rsidP="00C32165">
      <w:pPr>
        <w:pStyle w:val="Ttulo2"/>
        <w:keepNext/>
        <w:ind w:left="567"/>
        <w:rPr>
          <w:rFonts w:ascii="Cambria" w:hAnsi="Cambria"/>
          <w:sz w:val="24"/>
          <w:szCs w:val="24"/>
        </w:rPr>
      </w:pPr>
      <w:r w:rsidRPr="00F8465B">
        <w:rPr>
          <w:rFonts w:ascii="Cambria" w:hAnsi="Cambria"/>
          <w:sz w:val="24"/>
          <w:szCs w:val="24"/>
        </w:rPr>
        <w:t>1</w:t>
      </w:r>
      <w:r w:rsidR="00DA051D" w:rsidRPr="00F8465B">
        <w:rPr>
          <w:rFonts w:ascii="Cambria" w:hAnsi="Cambria"/>
          <w:sz w:val="24"/>
          <w:szCs w:val="24"/>
        </w:rPr>
        <w:t>4</w:t>
      </w:r>
      <w:r w:rsidR="00C676AF" w:rsidRPr="00F8465B">
        <w:rPr>
          <w:rFonts w:ascii="Cambria" w:hAnsi="Cambria"/>
          <w:sz w:val="24"/>
          <w:szCs w:val="24"/>
        </w:rPr>
        <w:t>.5 Riesgos de negocio.</w:t>
      </w:r>
    </w:p>
    <w:p w14:paraId="7841CACE" w14:textId="77777777" w:rsidR="00C676AF" w:rsidRPr="00F8465B" w:rsidRDefault="00C676AF" w:rsidP="00C32165">
      <w:pPr>
        <w:pStyle w:val="Ttulo1a"/>
        <w:ind w:left="567"/>
        <w:rPr>
          <w:rFonts w:ascii="Cambria" w:hAnsi="Cambria"/>
          <w:sz w:val="24"/>
          <w:szCs w:val="24"/>
        </w:rPr>
      </w:pPr>
    </w:p>
    <w:p w14:paraId="0F0E3833" w14:textId="62A4B642" w:rsidR="00C676AF" w:rsidRPr="00F8465B" w:rsidRDefault="00C676AF" w:rsidP="00C32165">
      <w:pPr>
        <w:pStyle w:val="Ttulo1a"/>
        <w:ind w:left="567"/>
        <w:rPr>
          <w:rFonts w:ascii="Cambria" w:hAnsi="Cambria"/>
          <w:sz w:val="24"/>
          <w:szCs w:val="24"/>
        </w:rPr>
      </w:pPr>
      <w:r w:rsidRPr="00F8465B">
        <w:rPr>
          <w:rFonts w:ascii="Cambria" w:hAnsi="Cambria"/>
          <w:sz w:val="24"/>
          <w:szCs w:val="24"/>
        </w:rPr>
        <w:t>En los ejercicios 20</w:t>
      </w:r>
      <w:r w:rsidR="009A33D2">
        <w:rPr>
          <w:rFonts w:ascii="Cambria" w:hAnsi="Cambria"/>
          <w:sz w:val="24"/>
          <w:szCs w:val="24"/>
        </w:rPr>
        <w:t>20</w:t>
      </w:r>
      <w:r w:rsidRPr="00F8465B">
        <w:rPr>
          <w:rFonts w:ascii="Cambria" w:hAnsi="Cambria"/>
          <w:sz w:val="24"/>
          <w:szCs w:val="24"/>
        </w:rPr>
        <w:t xml:space="preserve"> y 20</w:t>
      </w:r>
      <w:r w:rsidR="00E4358B" w:rsidRPr="00F8465B">
        <w:rPr>
          <w:rFonts w:ascii="Cambria" w:hAnsi="Cambria"/>
          <w:sz w:val="24"/>
          <w:szCs w:val="24"/>
        </w:rPr>
        <w:t>1</w:t>
      </w:r>
      <w:r w:rsidR="009A33D2">
        <w:rPr>
          <w:rFonts w:ascii="Cambria" w:hAnsi="Cambria"/>
          <w:sz w:val="24"/>
          <w:szCs w:val="24"/>
        </w:rPr>
        <w:t>9</w:t>
      </w:r>
      <w:r w:rsidRPr="00F8465B">
        <w:rPr>
          <w:rFonts w:ascii="Cambria" w:hAnsi="Cambria"/>
          <w:sz w:val="24"/>
          <w:szCs w:val="24"/>
        </w:rPr>
        <w:t xml:space="preserve">, la Sociedad ha facturado prácticamente la totalidad de sus </w:t>
      </w:r>
      <w:r w:rsidR="0019565A" w:rsidRPr="00F8465B">
        <w:rPr>
          <w:rFonts w:ascii="Cambria" w:hAnsi="Cambria"/>
          <w:sz w:val="24"/>
          <w:szCs w:val="24"/>
        </w:rPr>
        <w:t>servicios</w:t>
      </w:r>
      <w:r w:rsidRPr="00F8465B">
        <w:rPr>
          <w:rFonts w:ascii="Cambria" w:hAnsi="Cambria"/>
          <w:sz w:val="24"/>
          <w:szCs w:val="24"/>
        </w:rPr>
        <w:t xml:space="preserve"> y </w:t>
      </w:r>
      <w:r w:rsidR="00EC4715" w:rsidRPr="00F8465B">
        <w:rPr>
          <w:rFonts w:ascii="Cambria" w:hAnsi="Cambria"/>
          <w:sz w:val="24"/>
          <w:szCs w:val="24"/>
        </w:rPr>
        <w:t xml:space="preserve">adquisiciones </w:t>
      </w:r>
      <w:r w:rsidRPr="00F8465B">
        <w:rPr>
          <w:rFonts w:ascii="Cambria" w:hAnsi="Cambria"/>
          <w:sz w:val="24"/>
          <w:szCs w:val="24"/>
        </w:rPr>
        <w:t xml:space="preserve">en la </w:t>
      </w:r>
      <w:r w:rsidR="00B34974" w:rsidRPr="00F8465B">
        <w:rPr>
          <w:rFonts w:ascii="Cambria" w:hAnsi="Cambria"/>
          <w:sz w:val="24"/>
          <w:szCs w:val="24"/>
        </w:rPr>
        <w:t xml:space="preserve">zona </w:t>
      </w:r>
      <w:r w:rsidRPr="00F8465B">
        <w:rPr>
          <w:rFonts w:ascii="Cambria" w:hAnsi="Cambria"/>
          <w:sz w:val="24"/>
          <w:szCs w:val="24"/>
        </w:rPr>
        <w:t xml:space="preserve">Euro. Este hecho hace que su exposición a riesgos de tipo de cambio sea muy baja. </w:t>
      </w:r>
    </w:p>
    <w:p w14:paraId="2F8EBDA4" w14:textId="77777777" w:rsidR="00C312D6" w:rsidRPr="00F8465B" w:rsidRDefault="00C312D6" w:rsidP="00C32165">
      <w:pPr>
        <w:pStyle w:val="Ttulo1a"/>
        <w:ind w:left="567"/>
        <w:rPr>
          <w:rFonts w:ascii="Cambria" w:hAnsi="Cambria"/>
          <w:sz w:val="24"/>
          <w:szCs w:val="24"/>
        </w:rPr>
      </w:pPr>
    </w:p>
    <w:p w14:paraId="120E1080" w14:textId="77777777" w:rsidR="00C676AF" w:rsidRPr="00F8465B" w:rsidRDefault="00C676AF" w:rsidP="00C32165">
      <w:pPr>
        <w:pStyle w:val="Ttulo1a"/>
        <w:ind w:left="567"/>
        <w:rPr>
          <w:rFonts w:ascii="Cambria" w:hAnsi="Cambria"/>
          <w:sz w:val="24"/>
          <w:szCs w:val="24"/>
        </w:rPr>
      </w:pPr>
      <w:r w:rsidRPr="00F8465B">
        <w:rPr>
          <w:rFonts w:ascii="Cambria" w:hAnsi="Cambria"/>
          <w:sz w:val="24"/>
          <w:szCs w:val="24"/>
        </w:rPr>
        <w:t>La gestión de riesgos en la Sociedad se sustancia en el propio sistema global de gestión y dentro del mismo en un conjunto de procedimientos específicos de actuación, cuyo objetivo es en primer lugar identificar, evaluar y mitigar los riesgos, y posteriormente tener un esquema de cobertura mediante seguros que garantice que las situaciones en que se materializan los riesgos incurridos no ponen en peligro la solvencia financiera de la Sociedad.</w:t>
      </w:r>
    </w:p>
    <w:p w14:paraId="409BC2C3" w14:textId="77777777" w:rsidR="000C5BCF" w:rsidRPr="00F8465B" w:rsidRDefault="000C5BCF" w:rsidP="00C32165">
      <w:pPr>
        <w:pStyle w:val="Ttulo1a"/>
        <w:ind w:left="567"/>
        <w:rPr>
          <w:rFonts w:ascii="Cambria" w:hAnsi="Cambria"/>
          <w:sz w:val="24"/>
          <w:szCs w:val="24"/>
        </w:rPr>
      </w:pPr>
    </w:p>
    <w:p w14:paraId="328B7886" w14:textId="77777777" w:rsidR="00543E37" w:rsidRPr="00F8465B" w:rsidRDefault="00543E37" w:rsidP="00543E37">
      <w:pPr>
        <w:pStyle w:val="Ttulo2"/>
        <w:keepNext/>
        <w:ind w:left="567"/>
        <w:rPr>
          <w:rFonts w:ascii="Cambria" w:hAnsi="Cambria"/>
          <w:sz w:val="24"/>
          <w:szCs w:val="24"/>
        </w:rPr>
      </w:pPr>
      <w:bookmarkStart w:id="26" w:name="_Hlk64035055"/>
      <w:r w:rsidRPr="00F8465B">
        <w:rPr>
          <w:rFonts w:ascii="Cambria" w:hAnsi="Cambria"/>
          <w:sz w:val="24"/>
          <w:szCs w:val="24"/>
        </w:rPr>
        <w:t>14.6 Información sobre el período medio de pago a proveedores</w:t>
      </w:r>
    </w:p>
    <w:p w14:paraId="2B9B83AC" w14:textId="77777777" w:rsidR="009D1F61" w:rsidRPr="00F8465B" w:rsidRDefault="009D1F61" w:rsidP="009D1F61">
      <w:pPr>
        <w:pStyle w:val="Ttulo1a"/>
        <w:ind w:left="567"/>
        <w:rPr>
          <w:rFonts w:ascii="Cambria" w:hAnsi="Cambria"/>
          <w:sz w:val="24"/>
          <w:szCs w:val="24"/>
        </w:rPr>
      </w:pPr>
    </w:p>
    <w:p w14:paraId="081732E8" w14:textId="364AE7F9" w:rsidR="00327ED0" w:rsidRPr="00F8465B" w:rsidRDefault="00543E37">
      <w:pPr>
        <w:pStyle w:val="Ttulo1a"/>
        <w:ind w:left="567"/>
        <w:rPr>
          <w:rFonts w:ascii="Cambria" w:hAnsi="Cambria"/>
          <w:sz w:val="24"/>
          <w:szCs w:val="24"/>
        </w:rPr>
      </w:pPr>
      <w:r w:rsidRPr="00F8465B">
        <w:rPr>
          <w:rFonts w:ascii="Cambria" w:hAnsi="Cambria"/>
          <w:sz w:val="24"/>
          <w:szCs w:val="24"/>
        </w:rPr>
        <w:t xml:space="preserve">A continuación se detalla la información requerida por la Disposición final segunda de la Ley 31/2014, de 3 de diciembre, que ha sido preparada aplicando la Resolución del Instituto de Contabilidad y Auditoría de Cuentas de fecha 29 de enero de 2016. </w:t>
      </w:r>
    </w:p>
    <w:tbl>
      <w:tblPr>
        <w:tblW w:w="8222" w:type="dxa"/>
        <w:jc w:val="center"/>
        <w:tblCellMar>
          <w:left w:w="70" w:type="dxa"/>
          <w:right w:w="70" w:type="dxa"/>
        </w:tblCellMar>
        <w:tblLook w:val="04A0" w:firstRow="1" w:lastRow="0" w:firstColumn="1" w:lastColumn="0" w:noHBand="0" w:noVBand="1"/>
      </w:tblPr>
      <w:tblGrid>
        <w:gridCol w:w="4395"/>
        <w:gridCol w:w="1984"/>
        <w:gridCol w:w="1843"/>
      </w:tblGrid>
      <w:tr w:rsidR="008D3741" w:rsidRPr="00F8465B" w14:paraId="675EFB6E" w14:textId="77777777" w:rsidTr="002B26D7">
        <w:trPr>
          <w:trHeight w:val="315"/>
          <w:jc w:val="center"/>
        </w:trPr>
        <w:tc>
          <w:tcPr>
            <w:tcW w:w="4395" w:type="dxa"/>
            <w:tcBorders>
              <w:top w:val="nil"/>
              <w:left w:val="nil"/>
              <w:bottom w:val="nil"/>
              <w:right w:val="nil"/>
            </w:tcBorders>
            <w:shd w:val="clear" w:color="auto" w:fill="auto"/>
            <w:noWrap/>
            <w:vAlign w:val="bottom"/>
            <w:hideMark/>
          </w:tcPr>
          <w:p w14:paraId="7D08A473" w14:textId="77777777" w:rsidR="008D3741" w:rsidRPr="00F8465B" w:rsidRDefault="002E1F79" w:rsidP="008D3741">
            <w:pPr>
              <w:keepLines w:val="0"/>
              <w:widowControl/>
              <w:jc w:val="left"/>
              <w:rPr>
                <w:rFonts w:ascii="Times New Roman" w:hAnsi="Times New Roman"/>
                <w:sz w:val="20"/>
                <w:szCs w:val="24"/>
                <w:lang w:val="es-ES"/>
              </w:rPr>
            </w:pPr>
            <w:r w:rsidRPr="00F8465B">
              <w:br w:type="page"/>
            </w:r>
          </w:p>
        </w:tc>
        <w:tc>
          <w:tcPr>
            <w:tcW w:w="1984" w:type="dxa"/>
            <w:tcBorders>
              <w:top w:val="nil"/>
              <w:left w:val="nil"/>
              <w:bottom w:val="single" w:sz="4" w:space="0" w:color="auto"/>
              <w:right w:val="nil"/>
            </w:tcBorders>
            <w:shd w:val="clear" w:color="auto" w:fill="auto"/>
            <w:noWrap/>
            <w:vAlign w:val="bottom"/>
            <w:hideMark/>
          </w:tcPr>
          <w:p w14:paraId="4F99DC7E" w14:textId="77777777" w:rsidR="008D3741" w:rsidRPr="00F8465B" w:rsidRDefault="008D3741" w:rsidP="008D3741">
            <w:pPr>
              <w:keepLines w:val="0"/>
              <w:widowControl/>
              <w:jc w:val="left"/>
              <w:rPr>
                <w:rFonts w:ascii="Times New Roman" w:hAnsi="Times New Roman"/>
                <w:sz w:val="20"/>
                <w:lang w:val="es-ES"/>
              </w:rPr>
            </w:pPr>
          </w:p>
        </w:tc>
        <w:tc>
          <w:tcPr>
            <w:tcW w:w="1843" w:type="dxa"/>
            <w:tcBorders>
              <w:top w:val="nil"/>
              <w:left w:val="nil"/>
              <w:bottom w:val="single" w:sz="4" w:space="0" w:color="auto"/>
              <w:right w:val="nil"/>
            </w:tcBorders>
            <w:shd w:val="clear" w:color="auto" w:fill="auto"/>
            <w:noWrap/>
            <w:vAlign w:val="bottom"/>
            <w:hideMark/>
          </w:tcPr>
          <w:p w14:paraId="5CACAC68" w14:textId="77777777" w:rsidR="008D3741" w:rsidRPr="00F8465B" w:rsidRDefault="008D3741" w:rsidP="008D3741">
            <w:pPr>
              <w:keepLines w:val="0"/>
              <w:widowControl/>
              <w:jc w:val="left"/>
              <w:rPr>
                <w:rFonts w:ascii="Times New Roman" w:hAnsi="Times New Roman"/>
                <w:sz w:val="20"/>
                <w:lang w:val="es-ES"/>
              </w:rPr>
            </w:pPr>
          </w:p>
        </w:tc>
      </w:tr>
      <w:tr w:rsidR="009A33D2" w:rsidRPr="00F8465B" w14:paraId="5791275D" w14:textId="77777777" w:rsidTr="00A73506">
        <w:trPr>
          <w:trHeight w:val="315"/>
          <w:jc w:val="center"/>
        </w:trPr>
        <w:tc>
          <w:tcPr>
            <w:tcW w:w="4395" w:type="dxa"/>
            <w:tcBorders>
              <w:top w:val="nil"/>
              <w:left w:val="nil"/>
              <w:bottom w:val="nil"/>
              <w:right w:val="nil"/>
            </w:tcBorders>
            <w:shd w:val="clear" w:color="auto" w:fill="auto"/>
            <w:noWrap/>
            <w:vAlign w:val="bottom"/>
            <w:hideMark/>
          </w:tcPr>
          <w:p w14:paraId="41E08925" w14:textId="77777777" w:rsidR="009A33D2" w:rsidRPr="00F8465B" w:rsidRDefault="009A33D2" w:rsidP="009A33D2">
            <w:pPr>
              <w:keepLines w:val="0"/>
              <w:widowControl/>
              <w:jc w:val="left"/>
              <w:rPr>
                <w:rFonts w:ascii="Times New Roman" w:hAnsi="Times New Roman"/>
                <w:sz w:val="20"/>
                <w:lang w:val="es-ES"/>
              </w:rPr>
            </w:pPr>
          </w:p>
        </w:tc>
        <w:tc>
          <w:tcPr>
            <w:tcW w:w="1984"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5DFA36A4" w14:textId="77777777" w:rsidR="009A33D2" w:rsidRPr="002C1319" w:rsidRDefault="009A33D2" w:rsidP="009A33D2">
            <w:pPr>
              <w:keepLines w:val="0"/>
              <w:widowControl/>
              <w:jc w:val="center"/>
              <w:rPr>
                <w:rFonts w:ascii="Cambria" w:hAnsi="Cambria" w:cs="Calibri"/>
                <w:b/>
                <w:bCs/>
                <w:color w:val="000000"/>
                <w:sz w:val="24"/>
                <w:szCs w:val="24"/>
                <w:lang w:val="es-ES"/>
              </w:rPr>
            </w:pPr>
            <w:r w:rsidRPr="002C1319">
              <w:rPr>
                <w:rFonts w:ascii="Cambria" w:hAnsi="Cambria" w:cs="Calibri"/>
                <w:b/>
                <w:bCs/>
                <w:color w:val="000000"/>
                <w:sz w:val="24"/>
                <w:szCs w:val="24"/>
                <w:lang w:val="es-ES"/>
              </w:rPr>
              <w:t>Ejercicio</w:t>
            </w:r>
          </w:p>
        </w:tc>
        <w:tc>
          <w:tcPr>
            <w:tcW w:w="1843" w:type="dxa"/>
            <w:tcBorders>
              <w:top w:val="single" w:sz="4" w:space="0" w:color="auto"/>
              <w:left w:val="nil"/>
              <w:bottom w:val="nil"/>
              <w:right w:val="single" w:sz="4" w:space="0" w:color="auto"/>
            </w:tcBorders>
            <w:shd w:val="clear" w:color="auto" w:fill="FFFFFF" w:themeFill="background1"/>
            <w:noWrap/>
            <w:vAlign w:val="bottom"/>
            <w:hideMark/>
          </w:tcPr>
          <w:p w14:paraId="630F287D" w14:textId="77591299" w:rsidR="009A33D2" w:rsidRPr="001A1E4B" w:rsidRDefault="009A33D2" w:rsidP="009A33D2">
            <w:pPr>
              <w:keepLines w:val="0"/>
              <w:widowControl/>
              <w:jc w:val="center"/>
              <w:rPr>
                <w:rFonts w:ascii="Cambria" w:hAnsi="Cambria" w:cs="Calibri"/>
                <w:b/>
                <w:bCs/>
                <w:color w:val="000000"/>
                <w:sz w:val="24"/>
                <w:szCs w:val="24"/>
                <w:lang w:val="es-ES"/>
              </w:rPr>
            </w:pPr>
            <w:r w:rsidRPr="001A1E4B">
              <w:rPr>
                <w:rFonts w:ascii="Cambria" w:hAnsi="Cambria" w:cs="Calibri"/>
                <w:b/>
                <w:bCs/>
                <w:color w:val="000000"/>
                <w:sz w:val="24"/>
                <w:szCs w:val="24"/>
                <w:lang w:val="es-ES"/>
              </w:rPr>
              <w:t>Ejercicio</w:t>
            </w:r>
          </w:p>
        </w:tc>
      </w:tr>
      <w:tr w:rsidR="009A33D2" w:rsidRPr="00F8465B" w14:paraId="476382D6" w14:textId="77777777" w:rsidTr="00A73506">
        <w:trPr>
          <w:trHeight w:val="315"/>
          <w:jc w:val="center"/>
        </w:trPr>
        <w:tc>
          <w:tcPr>
            <w:tcW w:w="4395" w:type="dxa"/>
            <w:tcBorders>
              <w:top w:val="nil"/>
              <w:left w:val="nil"/>
              <w:bottom w:val="nil"/>
              <w:right w:val="nil"/>
            </w:tcBorders>
            <w:shd w:val="clear" w:color="auto" w:fill="auto"/>
            <w:noWrap/>
            <w:vAlign w:val="bottom"/>
            <w:hideMark/>
          </w:tcPr>
          <w:p w14:paraId="76A00076" w14:textId="77777777" w:rsidR="009A33D2" w:rsidRPr="00F8465B" w:rsidRDefault="009A33D2" w:rsidP="009A33D2">
            <w:pPr>
              <w:keepLines w:val="0"/>
              <w:widowControl/>
              <w:jc w:val="center"/>
              <w:rPr>
                <w:rFonts w:ascii="Cambria" w:hAnsi="Cambria" w:cs="Calibri"/>
                <w:b/>
                <w:bCs/>
                <w:color w:val="000000"/>
                <w:sz w:val="24"/>
                <w:szCs w:val="24"/>
                <w:lang w:val="es-ES"/>
              </w:rPr>
            </w:pP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3E9B5C" w14:textId="25BE214A" w:rsidR="009A33D2" w:rsidRPr="002C1319" w:rsidRDefault="009A33D2" w:rsidP="009A33D2">
            <w:pPr>
              <w:keepLines w:val="0"/>
              <w:widowControl/>
              <w:jc w:val="center"/>
              <w:rPr>
                <w:rFonts w:ascii="Cambria" w:hAnsi="Cambria" w:cs="Calibri"/>
                <w:b/>
                <w:bCs/>
                <w:color w:val="000000"/>
                <w:sz w:val="24"/>
                <w:szCs w:val="24"/>
                <w:lang w:val="es-ES"/>
              </w:rPr>
            </w:pPr>
            <w:r w:rsidRPr="002C1319">
              <w:rPr>
                <w:rFonts w:ascii="Cambria" w:hAnsi="Cambria" w:cs="Calibri"/>
                <w:b/>
                <w:bCs/>
                <w:color w:val="000000"/>
                <w:sz w:val="24"/>
                <w:szCs w:val="24"/>
                <w:lang w:val="es-ES"/>
              </w:rPr>
              <w:t>2020</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14:paraId="43DB1939" w14:textId="33205A70" w:rsidR="009A33D2" w:rsidRPr="001A1E4B" w:rsidRDefault="009A33D2" w:rsidP="009A33D2">
            <w:pPr>
              <w:keepLines w:val="0"/>
              <w:widowControl/>
              <w:jc w:val="center"/>
              <w:rPr>
                <w:rFonts w:ascii="Cambria" w:hAnsi="Cambria" w:cs="Calibri"/>
                <w:b/>
                <w:bCs/>
                <w:color w:val="000000"/>
                <w:sz w:val="24"/>
                <w:szCs w:val="24"/>
                <w:lang w:val="es-ES"/>
              </w:rPr>
            </w:pPr>
            <w:r w:rsidRPr="001A1E4B">
              <w:rPr>
                <w:rFonts w:ascii="Cambria" w:hAnsi="Cambria" w:cs="Calibri"/>
                <w:b/>
                <w:bCs/>
                <w:color w:val="000000"/>
                <w:sz w:val="24"/>
                <w:szCs w:val="24"/>
                <w:lang w:val="es-ES"/>
              </w:rPr>
              <w:t>2019</w:t>
            </w:r>
          </w:p>
        </w:tc>
      </w:tr>
      <w:tr w:rsidR="009A33D2" w:rsidRPr="00F8465B" w14:paraId="3BDA2FC0" w14:textId="77777777" w:rsidTr="00A73506">
        <w:trPr>
          <w:trHeight w:val="315"/>
          <w:jc w:val="center"/>
        </w:trPr>
        <w:tc>
          <w:tcPr>
            <w:tcW w:w="4395" w:type="dxa"/>
            <w:tcBorders>
              <w:top w:val="nil"/>
              <w:left w:val="nil"/>
              <w:bottom w:val="nil"/>
              <w:right w:val="nil"/>
            </w:tcBorders>
            <w:shd w:val="clear" w:color="auto" w:fill="auto"/>
            <w:noWrap/>
            <w:vAlign w:val="bottom"/>
            <w:hideMark/>
          </w:tcPr>
          <w:p w14:paraId="4F9F317F" w14:textId="77777777" w:rsidR="009A33D2" w:rsidRPr="00F8465B" w:rsidRDefault="009A33D2" w:rsidP="009A33D2">
            <w:pPr>
              <w:keepLines w:val="0"/>
              <w:widowControl/>
              <w:jc w:val="center"/>
              <w:rPr>
                <w:rFonts w:ascii="Cambria" w:hAnsi="Cambria" w:cs="Calibri"/>
                <w:b/>
                <w:bCs/>
                <w:color w:val="000000"/>
                <w:sz w:val="24"/>
                <w:szCs w:val="24"/>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3AA23D" w14:textId="77777777" w:rsidR="009A33D2" w:rsidRPr="002C1319" w:rsidRDefault="009A33D2" w:rsidP="009A33D2">
            <w:pPr>
              <w:keepLines w:val="0"/>
              <w:widowControl/>
              <w:jc w:val="center"/>
              <w:rPr>
                <w:rFonts w:ascii="Cambria" w:hAnsi="Cambria" w:cs="Calibri"/>
                <w:b/>
                <w:bCs/>
                <w:color w:val="000000"/>
                <w:sz w:val="24"/>
                <w:szCs w:val="24"/>
                <w:lang w:val="es-ES"/>
              </w:rPr>
            </w:pPr>
            <w:r w:rsidRPr="002C1319">
              <w:rPr>
                <w:rFonts w:ascii="Cambria" w:hAnsi="Cambria" w:cs="Calibri"/>
                <w:b/>
                <w:bCs/>
                <w:color w:val="000000"/>
                <w:sz w:val="24"/>
                <w:szCs w:val="24"/>
                <w:lang w:val="es-ES"/>
              </w:rPr>
              <w:t>días</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96ED47A" w14:textId="067EFF97" w:rsidR="009A33D2" w:rsidRPr="00A73506" w:rsidRDefault="009A33D2" w:rsidP="009A33D2">
            <w:pPr>
              <w:keepLines w:val="0"/>
              <w:widowControl/>
              <w:jc w:val="center"/>
              <w:rPr>
                <w:rFonts w:ascii="Cambria" w:hAnsi="Cambria" w:cs="Calibri"/>
                <w:b/>
                <w:bCs/>
                <w:color w:val="000000"/>
                <w:sz w:val="24"/>
                <w:szCs w:val="24"/>
                <w:lang w:val="es-ES"/>
              </w:rPr>
            </w:pPr>
            <w:r w:rsidRPr="00A73506">
              <w:rPr>
                <w:rFonts w:ascii="Cambria" w:hAnsi="Cambria" w:cs="Calibri"/>
                <w:b/>
                <w:bCs/>
                <w:color w:val="000000"/>
                <w:sz w:val="24"/>
                <w:szCs w:val="24"/>
                <w:lang w:val="es-ES"/>
              </w:rPr>
              <w:t>días</w:t>
            </w:r>
          </w:p>
        </w:tc>
      </w:tr>
      <w:tr w:rsidR="002C1319" w:rsidRPr="00F8465B" w14:paraId="44D3A467" w14:textId="77777777" w:rsidTr="000E7CBF">
        <w:trPr>
          <w:trHeight w:val="315"/>
          <w:jc w:val="center"/>
        </w:trPr>
        <w:tc>
          <w:tcPr>
            <w:tcW w:w="4395" w:type="dxa"/>
            <w:tcBorders>
              <w:top w:val="single" w:sz="4" w:space="0" w:color="auto"/>
              <w:left w:val="single" w:sz="4" w:space="0" w:color="auto"/>
              <w:bottom w:val="nil"/>
              <w:right w:val="single" w:sz="4" w:space="0" w:color="auto"/>
            </w:tcBorders>
            <w:shd w:val="clear" w:color="auto" w:fill="auto"/>
            <w:noWrap/>
            <w:vAlign w:val="bottom"/>
            <w:hideMark/>
          </w:tcPr>
          <w:p w14:paraId="3C66B403" w14:textId="77777777" w:rsidR="002C1319" w:rsidRPr="00F8465B" w:rsidRDefault="002C1319" w:rsidP="002C1319">
            <w:pPr>
              <w:keepLines w:val="0"/>
              <w:widowControl/>
              <w:jc w:val="left"/>
              <w:rPr>
                <w:rFonts w:ascii="Cambria" w:hAnsi="Cambria" w:cs="Calibri"/>
                <w:color w:val="000000"/>
                <w:sz w:val="24"/>
                <w:szCs w:val="24"/>
                <w:lang w:val="es-ES"/>
              </w:rPr>
            </w:pPr>
            <w:r w:rsidRPr="00F8465B">
              <w:rPr>
                <w:rFonts w:ascii="Cambria" w:hAnsi="Cambria" w:cs="Calibri"/>
                <w:color w:val="000000"/>
                <w:sz w:val="24"/>
                <w:szCs w:val="24"/>
                <w:lang w:val="es-ES"/>
              </w:rPr>
              <w:t>Periodo medio de pago a proveedores</w:t>
            </w:r>
          </w:p>
        </w:tc>
        <w:tc>
          <w:tcPr>
            <w:tcW w:w="1984" w:type="dxa"/>
            <w:tcBorders>
              <w:top w:val="single" w:sz="4" w:space="0" w:color="auto"/>
              <w:left w:val="nil"/>
              <w:bottom w:val="nil"/>
              <w:right w:val="single" w:sz="4" w:space="0" w:color="auto"/>
            </w:tcBorders>
            <w:shd w:val="clear" w:color="auto" w:fill="auto"/>
            <w:noWrap/>
            <w:vAlign w:val="center"/>
          </w:tcPr>
          <w:p w14:paraId="4B14BA12" w14:textId="6CEBB51E" w:rsidR="002C1319" w:rsidRPr="009A33D2" w:rsidRDefault="002C1319" w:rsidP="002C1319">
            <w:pPr>
              <w:keepLines w:val="0"/>
              <w:widowControl/>
              <w:jc w:val="center"/>
              <w:rPr>
                <w:rFonts w:ascii="Cambria" w:hAnsi="Cambria" w:cs="Calibri"/>
                <w:color w:val="000000"/>
                <w:sz w:val="24"/>
                <w:szCs w:val="24"/>
                <w:highlight w:val="yellow"/>
                <w:lang w:val="es-ES"/>
              </w:rPr>
            </w:pPr>
            <w:r>
              <w:rPr>
                <w:rFonts w:ascii="Cambria" w:hAnsi="Cambria"/>
                <w:color w:val="000000"/>
                <w:sz w:val="24"/>
                <w:szCs w:val="24"/>
              </w:rPr>
              <w:t>18,25</w:t>
            </w:r>
          </w:p>
        </w:tc>
        <w:tc>
          <w:tcPr>
            <w:tcW w:w="1843" w:type="dxa"/>
            <w:tcBorders>
              <w:top w:val="single" w:sz="4" w:space="0" w:color="auto"/>
              <w:left w:val="nil"/>
              <w:bottom w:val="nil"/>
              <w:right w:val="single" w:sz="4" w:space="0" w:color="auto"/>
            </w:tcBorders>
            <w:shd w:val="clear" w:color="auto" w:fill="auto"/>
            <w:noWrap/>
            <w:vAlign w:val="bottom"/>
            <w:hideMark/>
          </w:tcPr>
          <w:p w14:paraId="75331C5A" w14:textId="545A32CA" w:rsidR="002C1319" w:rsidRPr="00F8465B" w:rsidRDefault="002C1319" w:rsidP="002C1319">
            <w:pPr>
              <w:keepLines w:val="0"/>
              <w:widowControl/>
              <w:jc w:val="center"/>
              <w:rPr>
                <w:rFonts w:ascii="Cambria" w:hAnsi="Cambria" w:cs="Calibri"/>
                <w:color w:val="000000"/>
                <w:sz w:val="24"/>
                <w:szCs w:val="24"/>
                <w:lang w:val="es-ES"/>
              </w:rPr>
            </w:pPr>
            <w:r>
              <w:rPr>
                <w:rFonts w:ascii="Cambria" w:hAnsi="Cambria"/>
                <w:sz w:val="24"/>
                <w:szCs w:val="24"/>
              </w:rPr>
              <w:t>20,97</w:t>
            </w:r>
          </w:p>
        </w:tc>
      </w:tr>
      <w:tr w:rsidR="002C1319" w:rsidRPr="00F8465B" w14:paraId="0F6F928A" w14:textId="77777777" w:rsidTr="000E7CBF">
        <w:trPr>
          <w:trHeight w:val="315"/>
          <w:jc w:val="center"/>
        </w:trPr>
        <w:tc>
          <w:tcPr>
            <w:tcW w:w="4395" w:type="dxa"/>
            <w:tcBorders>
              <w:top w:val="nil"/>
              <w:left w:val="single" w:sz="4" w:space="0" w:color="auto"/>
              <w:right w:val="single" w:sz="4" w:space="0" w:color="auto"/>
            </w:tcBorders>
            <w:shd w:val="clear" w:color="auto" w:fill="auto"/>
            <w:noWrap/>
            <w:vAlign w:val="bottom"/>
            <w:hideMark/>
          </w:tcPr>
          <w:p w14:paraId="0656D911" w14:textId="77777777" w:rsidR="002C1319" w:rsidRPr="00F8465B" w:rsidRDefault="002C1319" w:rsidP="002C1319">
            <w:pPr>
              <w:keepLines w:val="0"/>
              <w:widowControl/>
              <w:jc w:val="left"/>
              <w:rPr>
                <w:rFonts w:ascii="Cambria" w:hAnsi="Cambria" w:cs="Calibri"/>
                <w:color w:val="000000"/>
                <w:sz w:val="24"/>
                <w:szCs w:val="24"/>
                <w:lang w:val="es-ES"/>
              </w:rPr>
            </w:pPr>
            <w:r w:rsidRPr="00F8465B">
              <w:rPr>
                <w:rFonts w:ascii="Cambria" w:hAnsi="Cambria" w:cs="Calibri"/>
                <w:color w:val="000000"/>
                <w:sz w:val="24"/>
                <w:szCs w:val="24"/>
                <w:lang w:val="es-ES"/>
              </w:rPr>
              <w:t>Ratio de operaciones pagadas</w:t>
            </w:r>
          </w:p>
        </w:tc>
        <w:tc>
          <w:tcPr>
            <w:tcW w:w="1984" w:type="dxa"/>
            <w:tcBorders>
              <w:top w:val="nil"/>
              <w:left w:val="nil"/>
              <w:right w:val="single" w:sz="4" w:space="0" w:color="auto"/>
            </w:tcBorders>
            <w:shd w:val="clear" w:color="auto" w:fill="auto"/>
            <w:noWrap/>
            <w:vAlign w:val="center"/>
          </w:tcPr>
          <w:p w14:paraId="4CD205E4" w14:textId="29904486" w:rsidR="002C1319" w:rsidRPr="009A33D2" w:rsidRDefault="002C1319" w:rsidP="002C1319">
            <w:pPr>
              <w:keepLines w:val="0"/>
              <w:widowControl/>
              <w:jc w:val="center"/>
              <w:rPr>
                <w:rFonts w:ascii="Cambria" w:hAnsi="Cambria" w:cs="Calibri"/>
                <w:color w:val="000000"/>
                <w:sz w:val="24"/>
                <w:szCs w:val="24"/>
                <w:highlight w:val="yellow"/>
                <w:lang w:val="es-ES"/>
              </w:rPr>
            </w:pPr>
            <w:r>
              <w:rPr>
                <w:rFonts w:ascii="Cambria" w:hAnsi="Cambria"/>
                <w:color w:val="000000"/>
                <w:sz w:val="24"/>
                <w:szCs w:val="24"/>
              </w:rPr>
              <w:t>18,87</w:t>
            </w:r>
          </w:p>
        </w:tc>
        <w:tc>
          <w:tcPr>
            <w:tcW w:w="1843" w:type="dxa"/>
            <w:tcBorders>
              <w:top w:val="nil"/>
              <w:left w:val="nil"/>
              <w:right w:val="single" w:sz="4" w:space="0" w:color="auto"/>
            </w:tcBorders>
            <w:shd w:val="clear" w:color="auto" w:fill="auto"/>
            <w:noWrap/>
            <w:vAlign w:val="bottom"/>
            <w:hideMark/>
          </w:tcPr>
          <w:p w14:paraId="3038D5D1" w14:textId="008D9BF4" w:rsidR="002C1319" w:rsidRPr="00F8465B" w:rsidRDefault="002C1319" w:rsidP="002C1319">
            <w:pPr>
              <w:keepLines w:val="0"/>
              <w:widowControl/>
              <w:jc w:val="center"/>
              <w:rPr>
                <w:rFonts w:ascii="Cambria" w:hAnsi="Cambria" w:cs="Calibri"/>
                <w:color w:val="000000"/>
                <w:sz w:val="24"/>
                <w:szCs w:val="24"/>
                <w:lang w:val="es-ES"/>
              </w:rPr>
            </w:pPr>
            <w:r>
              <w:rPr>
                <w:rFonts w:ascii="Cambria" w:hAnsi="Cambria"/>
                <w:sz w:val="24"/>
                <w:szCs w:val="24"/>
              </w:rPr>
              <w:t>21,44</w:t>
            </w:r>
          </w:p>
        </w:tc>
      </w:tr>
      <w:tr w:rsidR="002C1319" w:rsidRPr="00F8465B" w14:paraId="74E9DE20" w14:textId="77777777" w:rsidTr="000E7CBF">
        <w:trPr>
          <w:trHeight w:val="31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465562EB" w14:textId="77777777" w:rsidR="002C1319" w:rsidRPr="00F8465B" w:rsidRDefault="002C1319" w:rsidP="002C1319">
            <w:pPr>
              <w:keepLines w:val="0"/>
              <w:widowControl/>
              <w:jc w:val="left"/>
              <w:rPr>
                <w:rFonts w:ascii="Cambria" w:hAnsi="Cambria" w:cs="Calibri"/>
                <w:color w:val="000000"/>
                <w:sz w:val="24"/>
                <w:szCs w:val="24"/>
                <w:lang w:val="es-ES"/>
              </w:rPr>
            </w:pPr>
            <w:r w:rsidRPr="00F8465B">
              <w:rPr>
                <w:rFonts w:ascii="Cambria" w:hAnsi="Cambria" w:cs="Calibri"/>
                <w:color w:val="000000"/>
                <w:sz w:val="24"/>
                <w:szCs w:val="24"/>
                <w:lang w:val="es-ES"/>
              </w:rPr>
              <w:t>Ratio de operaciones pendientes de pago</w:t>
            </w:r>
          </w:p>
        </w:tc>
        <w:tc>
          <w:tcPr>
            <w:tcW w:w="1984" w:type="dxa"/>
            <w:tcBorders>
              <w:top w:val="nil"/>
              <w:left w:val="nil"/>
              <w:bottom w:val="single" w:sz="4" w:space="0" w:color="auto"/>
              <w:right w:val="single" w:sz="4" w:space="0" w:color="auto"/>
            </w:tcBorders>
            <w:shd w:val="clear" w:color="auto" w:fill="auto"/>
            <w:noWrap/>
            <w:vAlign w:val="center"/>
          </w:tcPr>
          <w:p w14:paraId="54C0A058" w14:textId="1EA18FA4" w:rsidR="002C1319" w:rsidRPr="009A33D2" w:rsidRDefault="002C1319" w:rsidP="002C1319">
            <w:pPr>
              <w:keepLines w:val="0"/>
              <w:widowControl/>
              <w:jc w:val="center"/>
              <w:rPr>
                <w:rFonts w:ascii="Cambria" w:hAnsi="Cambria" w:cs="Calibri"/>
                <w:color w:val="000000"/>
                <w:sz w:val="24"/>
                <w:szCs w:val="24"/>
                <w:highlight w:val="yellow"/>
                <w:lang w:val="es-ES"/>
              </w:rPr>
            </w:pPr>
            <w:r>
              <w:rPr>
                <w:rFonts w:ascii="Cambria" w:hAnsi="Cambria"/>
                <w:color w:val="000000"/>
                <w:sz w:val="24"/>
                <w:szCs w:val="24"/>
              </w:rPr>
              <w:t>0,57</w:t>
            </w:r>
          </w:p>
        </w:tc>
        <w:tc>
          <w:tcPr>
            <w:tcW w:w="1843" w:type="dxa"/>
            <w:tcBorders>
              <w:top w:val="nil"/>
              <w:left w:val="nil"/>
              <w:bottom w:val="single" w:sz="4" w:space="0" w:color="auto"/>
              <w:right w:val="single" w:sz="4" w:space="0" w:color="auto"/>
            </w:tcBorders>
            <w:shd w:val="clear" w:color="auto" w:fill="auto"/>
            <w:noWrap/>
            <w:vAlign w:val="bottom"/>
            <w:hideMark/>
          </w:tcPr>
          <w:p w14:paraId="7CD43B0A" w14:textId="68AA5A3B" w:rsidR="002C1319" w:rsidRPr="00F8465B" w:rsidRDefault="002C1319" w:rsidP="002C1319">
            <w:pPr>
              <w:keepLines w:val="0"/>
              <w:widowControl/>
              <w:jc w:val="center"/>
              <w:rPr>
                <w:rFonts w:ascii="Cambria" w:hAnsi="Cambria" w:cs="Calibri"/>
                <w:color w:val="000000"/>
                <w:sz w:val="24"/>
                <w:szCs w:val="24"/>
                <w:lang w:val="es-ES"/>
              </w:rPr>
            </w:pPr>
            <w:r>
              <w:rPr>
                <w:rFonts w:ascii="Cambria" w:hAnsi="Cambria"/>
                <w:sz w:val="24"/>
                <w:szCs w:val="24"/>
              </w:rPr>
              <w:t>2,37</w:t>
            </w:r>
          </w:p>
        </w:tc>
      </w:tr>
      <w:tr w:rsidR="002C1319" w:rsidRPr="00F8465B" w14:paraId="30533404" w14:textId="77777777" w:rsidTr="000E7CBF">
        <w:trPr>
          <w:trHeight w:val="315"/>
          <w:jc w:val="center"/>
        </w:trPr>
        <w:tc>
          <w:tcPr>
            <w:tcW w:w="4395" w:type="dxa"/>
            <w:tcBorders>
              <w:top w:val="single" w:sz="4" w:space="0" w:color="auto"/>
              <w:left w:val="single" w:sz="4" w:space="0" w:color="auto"/>
              <w:right w:val="single" w:sz="4" w:space="0" w:color="auto"/>
            </w:tcBorders>
            <w:shd w:val="clear" w:color="auto" w:fill="auto"/>
            <w:noWrap/>
            <w:vAlign w:val="bottom"/>
            <w:hideMark/>
          </w:tcPr>
          <w:p w14:paraId="4AFB5641" w14:textId="77777777" w:rsidR="002C1319" w:rsidRPr="00F8465B" w:rsidRDefault="002C1319" w:rsidP="002C1319">
            <w:pPr>
              <w:keepLines w:val="0"/>
              <w:widowControl/>
              <w:jc w:val="left"/>
              <w:rPr>
                <w:rFonts w:ascii="Cambria" w:hAnsi="Cambria" w:cs="Calibri"/>
                <w:color w:val="000000"/>
                <w:sz w:val="24"/>
                <w:szCs w:val="24"/>
                <w:lang w:val="es-ES"/>
              </w:rPr>
            </w:pPr>
            <w:r w:rsidRPr="00F8465B">
              <w:rPr>
                <w:rFonts w:ascii="Cambria" w:hAnsi="Cambria" w:cs="Calibri"/>
                <w:color w:val="000000"/>
                <w:sz w:val="24"/>
                <w:szCs w:val="24"/>
                <w:lang w:val="es-ES"/>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728D35B" w14:textId="04A41BDB" w:rsidR="002C1319" w:rsidRPr="009A33D2" w:rsidRDefault="002C1319" w:rsidP="002C1319">
            <w:pPr>
              <w:keepLines w:val="0"/>
              <w:widowControl/>
              <w:jc w:val="center"/>
              <w:rPr>
                <w:rFonts w:ascii="Cambria" w:hAnsi="Cambria" w:cs="Calibri"/>
                <w:b/>
                <w:bCs/>
                <w:color w:val="000000"/>
                <w:sz w:val="24"/>
                <w:szCs w:val="24"/>
                <w:highlight w:val="yellow"/>
                <w:lang w:val="es-ES"/>
              </w:rPr>
            </w:pPr>
            <w:r>
              <w:rPr>
                <w:rFonts w:ascii="Cambria" w:hAnsi="Cambria"/>
                <w:b/>
                <w:bCs/>
                <w:color w:val="000000"/>
                <w:sz w:val="24"/>
                <w:szCs w:val="24"/>
              </w:rPr>
              <w:t>Importe en miles de euros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441186F" w14:textId="42E1610F" w:rsidR="002C1319" w:rsidRPr="00F8465B" w:rsidRDefault="002C1319" w:rsidP="002C1319">
            <w:pPr>
              <w:keepLines w:val="0"/>
              <w:widowControl/>
              <w:jc w:val="center"/>
              <w:rPr>
                <w:rFonts w:ascii="Cambria" w:hAnsi="Cambria" w:cs="Calibri"/>
                <w:b/>
                <w:bCs/>
                <w:color w:val="000000"/>
                <w:sz w:val="24"/>
                <w:szCs w:val="24"/>
                <w:lang w:val="es-ES"/>
              </w:rPr>
            </w:pPr>
            <w:r w:rsidRPr="00F8465B">
              <w:rPr>
                <w:rFonts w:ascii="Cambria" w:hAnsi="Cambria" w:cs="Calibri"/>
                <w:b/>
                <w:bCs/>
                <w:color w:val="000000"/>
                <w:sz w:val="24"/>
                <w:szCs w:val="24"/>
                <w:lang w:val="es-ES"/>
              </w:rPr>
              <w:t>Importe en miles de euros</w:t>
            </w:r>
          </w:p>
        </w:tc>
      </w:tr>
      <w:tr w:rsidR="002C1319" w:rsidRPr="00F8465B" w14:paraId="0B3D3341" w14:textId="77777777" w:rsidTr="000E7CBF">
        <w:trPr>
          <w:trHeight w:val="315"/>
          <w:jc w:val="center"/>
        </w:trPr>
        <w:tc>
          <w:tcPr>
            <w:tcW w:w="4395" w:type="dxa"/>
            <w:tcBorders>
              <w:top w:val="single" w:sz="4" w:space="0" w:color="auto"/>
              <w:left w:val="single" w:sz="4" w:space="0" w:color="auto"/>
              <w:right w:val="single" w:sz="4" w:space="0" w:color="auto"/>
            </w:tcBorders>
            <w:shd w:val="clear" w:color="auto" w:fill="auto"/>
            <w:noWrap/>
            <w:vAlign w:val="bottom"/>
            <w:hideMark/>
          </w:tcPr>
          <w:p w14:paraId="02FF4131" w14:textId="77777777" w:rsidR="002C1319" w:rsidRPr="00F8465B" w:rsidRDefault="002C1319" w:rsidP="002C1319">
            <w:pPr>
              <w:keepLines w:val="0"/>
              <w:widowControl/>
              <w:jc w:val="left"/>
              <w:rPr>
                <w:rFonts w:ascii="Cambria" w:hAnsi="Cambria" w:cs="Calibri"/>
                <w:color w:val="000000"/>
                <w:sz w:val="24"/>
                <w:szCs w:val="24"/>
                <w:lang w:val="es-ES"/>
              </w:rPr>
            </w:pPr>
            <w:r w:rsidRPr="00F8465B">
              <w:rPr>
                <w:rFonts w:ascii="Cambria" w:hAnsi="Cambria" w:cs="Calibri"/>
                <w:color w:val="000000"/>
                <w:sz w:val="24"/>
                <w:szCs w:val="24"/>
                <w:lang w:val="es-ES"/>
              </w:rPr>
              <w:t>Total pagos realizados</w:t>
            </w:r>
          </w:p>
        </w:tc>
        <w:tc>
          <w:tcPr>
            <w:tcW w:w="1984" w:type="dxa"/>
            <w:tcBorders>
              <w:top w:val="single" w:sz="4" w:space="0" w:color="auto"/>
              <w:left w:val="nil"/>
              <w:right w:val="single" w:sz="4" w:space="0" w:color="auto"/>
            </w:tcBorders>
            <w:shd w:val="clear" w:color="auto" w:fill="auto"/>
            <w:noWrap/>
            <w:vAlign w:val="center"/>
          </w:tcPr>
          <w:p w14:paraId="1574B012" w14:textId="26CD5D1A" w:rsidR="002C1319" w:rsidRPr="009A33D2" w:rsidRDefault="002C1319" w:rsidP="002C1319">
            <w:pPr>
              <w:keepLines w:val="0"/>
              <w:widowControl/>
              <w:jc w:val="center"/>
              <w:rPr>
                <w:rFonts w:ascii="Cambria" w:hAnsi="Cambria" w:cs="Calibri"/>
                <w:color w:val="000000"/>
                <w:sz w:val="24"/>
                <w:szCs w:val="24"/>
                <w:highlight w:val="yellow"/>
                <w:lang w:val="es-ES"/>
              </w:rPr>
            </w:pPr>
            <w:r>
              <w:rPr>
                <w:rFonts w:ascii="Cambria" w:hAnsi="Cambria"/>
                <w:color w:val="000000"/>
                <w:sz w:val="24"/>
                <w:szCs w:val="24"/>
              </w:rPr>
              <w:t>1.062</w:t>
            </w:r>
          </w:p>
        </w:tc>
        <w:tc>
          <w:tcPr>
            <w:tcW w:w="1843" w:type="dxa"/>
            <w:tcBorders>
              <w:top w:val="single" w:sz="4" w:space="0" w:color="auto"/>
              <w:left w:val="nil"/>
              <w:right w:val="single" w:sz="4" w:space="0" w:color="auto"/>
            </w:tcBorders>
            <w:shd w:val="clear" w:color="auto" w:fill="auto"/>
            <w:noWrap/>
            <w:vAlign w:val="bottom"/>
            <w:hideMark/>
          </w:tcPr>
          <w:p w14:paraId="38937005" w14:textId="72B413DF" w:rsidR="002C1319" w:rsidRPr="00F8465B" w:rsidRDefault="002C1319" w:rsidP="002C1319">
            <w:pPr>
              <w:keepLines w:val="0"/>
              <w:widowControl/>
              <w:jc w:val="center"/>
              <w:rPr>
                <w:rFonts w:ascii="Cambria" w:hAnsi="Cambria" w:cs="Calibri"/>
                <w:color w:val="000000"/>
                <w:sz w:val="24"/>
                <w:szCs w:val="24"/>
                <w:lang w:val="es-ES"/>
              </w:rPr>
            </w:pPr>
            <w:r>
              <w:rPr>
                <w:rFonts w:ascii="Cambria" w:hAnsi="Cambria" w:cs="Calibri"/>
                <w:color w:val="000000"/>
                <w:sz w:val="24"/>
                <w:szCs w:val="24"/>
                <w:lang w:val="es-ES"/>
              </w:rPr>
              <w:t>1.233</w:t>
            </w:r>
          </w:p>
        </w:tc>
      </w:tr>
      <w:tr w:rsidR="002C1319" w:rsidRPr="00F8465B" w14:paraId="01247D87" w14:textId="77777777" w:rsidTr="000E7CBF">
        <w:trPr>
          <w:trHeight w:val="31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45E40A5F" w14:textId="77777777" w:rsidR="002C1319" w:rsidRPr="00F8465B" w:rsidRDefault="002C1319" w:rsidP="002C1319">
            <w:pPr>
              <w:keepLines w:val="0"/>
              <w:widowControl/>
              <w:jc w:val="left"/>
              <w:rPr>
                <w:rFonts w:ascii="Cambria" w:hAnsi="Cambria" w:cs="Calibri"/>
                <w:color w:val="000000"/>
                <w:sz w:val="24"/>
                <w:szCs w:val="24"/>
                <w:lang w:val="es-ES"/>
              </w:rPr>
            </w:pPr>
            <w:r w:rsidRPr="00F8465B">
              <w:rPr>
                <w:rFonts w:ascii="Cambria" w:hAnsi="Cambria" w:cs="Calibri"/>
                <w:color w:val="000000"/>
                <w:sz w:val="24"/>
                <w:szCs w:val="24"/>
                <w:lang w:val="es-ES"/>
              </w:rPr>
              <w:t>Total pagos pendientes</w:t>
            </w:r>
          </w:p>
        </w:tc>
        <w:tc>
          <w:tcPr>
            <w:tcW w:w="1984" w:type="dxa"/>
            <w:tcBorders>
              <w:top w:val="nil"/>
              <w:left w:val="nil"/>
              <w:bottom w:val="single" w:sz="4" w:space="0" w:color="auto"/>
              <w:right w:val="single" w:sz="4" w:space="0" w:color="auto"/>
            </w:tcBorders>
            <w:shd w:val="clear" w:color="auto" w:fill="auto"/>
            <w:noWrap/>
            <w:vAlign w:val="center"/>
          </w:tcPr>
          <w:p w14:paraId="586EBC78" w14:textId="4554562A" w:rsidR="002C1319" w:rsidRPr="009A33D2" w:rsidRDefault="002C1319" w:rsidP="002C1319">
            <w:pPr>
              <w:keepLines w:val="0"/>
              <w:widowControl/>
              <w:jc w:val="center"/>
              <w:rPr>
                <w:rFonts w:ascii="Cambria" w:hAnsi="Cambria" w:cs="Calibri"/>
                <w:color w:val="000000"/>
                <w:sz w:val="24"/>
                <w:szCs w:val="24"/>
                <w:highlight w:val="yellow"/>
                <w:lang w:val="es-ES"/>
              </w:rPr>
            </w:pPr>
            <w:r>
              <w:rPr>
                <w:rFonts w:ascii="Cambria" w:hAnsi="Cambria"/>
                <w:color w:val="000000"/>
                <w:sz w:val="24"/>
                <w:szCs w:val="24"/>
              </w:rPr>
              <w:t>37</w:t>
            </w:r>
          </w:p>
        </w:tc>
        <w:tc>
          <w:tcPr>
            <w:tcW w:w="1843" w:type="dxa"/>
            <w:tcBorders>
              <w:top w:val="nil"/>
              <w:left w:val="nil"/>
              <w:bottom w:val="single" w:sz="4" w:space="0" w:color="auto"/>
              <w:right w:val="single" w:sz="4" w:space="0" w:color="auto"/>
            </w:tcBorders>
            <w:shd w:val="clear" w:color="auto" w:fill="auto"/>
            <w:noWrap/>
            <w:vAlign w:val="bottom"/>
            <w:hideMark/>
          </w:tcPr>
          <w:p w14:paraId="2B413F41" w14:textId="0D8B7650" w:rsidR="002C1319" w:rsidRPr="00F8465B" w:rsidRDefault="002C1319" w:rsidP="002C1319">
            <w:pPr>
              <w:keepLines w:val="0"/>
              <w:widowControl/>
              <w:jc w:val="center"/>
              <w:rPr>
                <w:rFonts w:ascii="Cambria" w:hAnsi="Cambria" w:cs="Calibri"/>
                <w:color w:val="000000"/>
                <w:sz w:val="24"/>
                <w:szCs w:val="24"/>
                <w:lang w:val="es-ES"/>
              </w:rPr>
            </w:pPr>
            <w:r>
              <w:rPr>
                <w:rFonts w:ascii="Cambria" w:hAnsi="Cambria" w:cs="Calibri"/>
                <w:color w:val="000000"/>
                <w:sz w:val="24"/>
                <w:szCs w:val="24"/>
                <w:lang w:val="es-ES"/>
              </w:rPr>
              <w:t>31</w:t>
            </w:r>
          </w:p>
        </w:tc>
      </w:tr>
      <w:bookmarkEnd w:id="26"/>
      <w:tr w:rsidR="008D3741" w:rsidRPr="00F8465B" w14:paraId="365E1DB0" w14:textId="77777777" w:rsidTr="002B26D7">
        <w:trPr>
          <w:trHeight w:val="315"/>
          <w:jc w:val="center"/>
        </w:trPr>
        <w:tc>
          <w:tcPr>
            <w:tcW w:w="4395" w:type="dxa"/>
            <w:tcBorders>
              <w:top w:val="single" w:sz="4" w:space="0" w:color="auto"/>
              <w:left w:val="nil"/>
              <w:bottom w:val="nil"/>
              <w:right w:val="nil"/>
            </w:tcBorders>
            <w:shd w:val="clear" w:color="auto" w:fill="auto"/>
            <w:noWrap/>
            <w:vAlign w:val="bottom"/>
            <w:hideMark/>
          </w:tcPr>
          <w:p w14:paraId="6FF06082" w14:textId="77777777" w:rsidR="008D3741" w:rsidRPr="00F8465B" w:rsidRDefault="008D3741" w:rsidP="008D3741">
            <w:pPr>
              <w:keepLines w:val="0"/>
              <w:widowControl/>
              <w:jc w:val="left"/>
              <w:rPr>
                <w:rFonts w:ascii="Cambria" w:hAnsi="Cambria" w:cs="Calibri"/>
                <w:color w:val="000000"/>
                <w:sz w:val="24"/>
                <w:szCs w:val="24"/>
                <w:lang w:val="es-ES"/>
              </w:rPr>
            </w:pPr>
          </w:p>
        </w:tc>
        <w:tc>
          <w:tcPr>
            <w:tcW w:w="1984" w:type="dxa"/>
            <w:tcBorders>
              <w:top w:val="single" w:sz="4" w:space="0" w:color="auto"/>
              <w:left w:val="nil"/>
              <w:bottom w:val="nil"/>
              <w:right w:val="nil"/>
            </w:tcBorders>
            <w:shd w:val="clear" w:color="auto" w:fill="auto"/>
            <w:noWrap/>
            <w:vAlign w:val="bottom"/>
            <w:hideMark/>
          </w:tcPr>
          <w:p w14:paraId="73B34B78" w14:textId="77777777" w:rsidR="008D3741" w:rsidRPr="00F8465B" w:rsidRDefault="008D3741" w:rsidP="008D3741">
            <w:pPr>
              <w:keepLines w:val="0"/>
              <w:widowControl/>
              <w:jc w:val="left"/>
              <w:rPr>
                <w:rFonts w:ascii="Times New Roman" w:hAnsi="Times New Roman"/>
                <w:sz w:val="20"/>
                <w:lang w:val="es-ES"/>
              </w:rPr>
            </w:pPr>
          </w:p>
        </w:tc>
        <w:tc>
          <w:tcPr>
            <w:tcW w:w="1843" w:type="dxa"/>
            <w:tcBorders>
              <w:top w:val="single" w:sz="4" w:space="0" w:color="auto"/>
              <w:left w:val="nil"/>
              <w:bottom w:val="nil"/>
              <w:right w:val="nil"/>
            </w:tcBorders>
            <w:shd w:val="clear" w:color="auto" w:fill="auto"/>
            <w:noWrap/>
            <w:vAlign w:val="bottom"/>
            <w:hideMark/>
          </w:tcPr>
          <w:p w14:paraId="406323B8" w14:textId="77777777" w:rsidR="008D3741" w:rsidRPr="00F8465B" w:rsidRDefault="008D3741" w:rsidP="008D3741">
            <w:pPr>
              <w:keepLines w:val="0"/>
              <w:widowControl/>
              <w:jc w:val="left"/>
              <w:rPr>
                <w:rFonts w:ascii="Times New Roman" w:hAnsi="Times New Roman"/>
                <w:sz w:val="20"/>
                <w:lang w:val="es-ES"/>
              </w:rPr>
            </w:pPr>
          </w:p>
        </w:tc>
      </w:tr>
    </w:tbl>
    <w:p w14:paraId="53A5CC97" w14:textId="77777777" w:rsidR="008D3741" w:rsidRPr="00F8465B" w:rsidRDefault="008D3741" w:rsidP="00A95D9A">
      <w:pPr>
        <w:ind w:left="426"/>
        <w:rPr>
          <w:rFonts w:ascii="Cambria" w:hAnsi="Cambria"/>
          <w:sz w:val="24"/>
          <w:szCs w:val="24"/>
        </w:rPr>
      </w:pPr>
    </w:p>
    <w:p w14:paraId="1AA6AD07" w14:textId="77777777" w:rsidR="00543E37" w:rsidRPr="00F8465B" w:rsidRDefault="00543E37" w:rsidP="00543E37">
      <w:pPr>
        <w:pStyle w:val="Ttulo1a"/>
        <w:ind w:left="567"/>
        <w:rPr>
          <w:rFonts w:ascii="Cambria" w:hAnsi="Cambria"/>
          <w:sz w:val="24"/>
          <w:szCs w:val="24"/>
        </w:rPr>
      </w:pPr>
      <w:r w:rsidRPr="00F8465B">
        <w:rPr>
          <w:rFonts w:ascii="Cambria" w:hAnsi="Cambria"/>
          <w:sz w:val="24"/>
          <w:szCs w:val="24"/>
        </w:rPr>
        <w:t>Se entenderá por “Periodo medio de pago a proveedores” al plazo que transcurre desde la entrega de bienes o prestación de servicios a cargo del proveedor hasta el pago de la operación.</w:t>
      </w:r>
    </w:p>
    <w:p w14:paraId="074895CD" w14:textId="77777777" w:rsidR="00543E37" w:rsidRPr="00F8465B" w:rsidRDefault="00543E37" w:rsidP="00543E37">
      <w:pPr>
        <w:pStyle w:val="Ttulo1a"/>
        <w:ind w:left="567"/>
        <w:rPr>
          <w:rFonts w:ascii="Cambria" w:hAnsi="Cambria"/>
          <w:sz w:val="24"/>
          <w:szCs w:val="24"/>
        </w:rPr>
      </w:pPr>
    </w:p>
    <w:p w14:paraId="06A78C0E" w14:textId="77777777" w:rsidR="00543E37" w:rsidRPr="00F8465B" w:rsidRDefault="00543E37" w:rsidP="00543E37">
      <w:pPr>
        <w:pStyle w:val="Ttulo1a"/>
        <w:ind w:left="567"/>
        <w:rPr>
          <w:rFonts w:ascii="Cambria" w:hAnsi="Cambria"/>
          <w:sz w:val="24"/>
          <w:szCs w:val="24"/>
        </w:rPr>
      </w:pPr>
      <w:r w:rsidRPr="00F8465B">
        <w:rPr>
          <w:rFonts w:ascii="Cambria" w:hAnsi="Cambria"/>
          <w:sz w:val="24"/>
          <w:szCs w:val="24"/>
        </w:rPr>
        <w:t>Dicho “Periodo medio de pago a proveedores” se calcula como el cociente formado en el numerador por el sumatorio del ratio de operaciones pagadas por el importe total de los pagos realizados más el ratio de operaciones pendientes de pago por el importe total de pagos pendientes y, en el denominador, por el importe total de pagos realizados y los pagos pendientes.</w:t>
      </w:r>
    </w:p>
    <w:p w14:paraId="64B49980" w14:textId="77777777" w:rsidR="00FC6898" w:rsidRPr="00FC6898" w:rsidRDefault="00FC6898" w:rsidP="00FC6898"/>
    <w:p w14:paraId="7F71A7FA" w14:textId="77777777" w:rsidR="00543E37" w:rsidRPr="00F8465B" w:rsidRDefault="00543E37" w:rsidP="00543E37">
      <w:pPr>
        <w:pStyle w:val="Ttulo1a"/>
        <w:ind w:left="567"/>
        <w:rPr>
          <w:rFonts w:ascii="Cambria" w:hAnsi="Cambria"/>
          <w:sz w:val="24"/>
          <w:szCs w:val="24"/>
        </w:rPr>
      </w:pPr>
      <w:r w:rsidRPr="00F8465B">
        <w:rPr>
          <w:rFonts w:ascii="Cambria" w:hAnsi="Cambria"/>
          <w:sz w:val="24"/>
          <w:szCs w:val="24"/>
        </w:rPr>
        <w:t>El ratio de operaciones pagadas se calcula como el cociente formado en el numerador por el sumatorio de los productos correspondientes a los importes pagados, por el número de días de pago (días naturales transcurridos desde que se inicia el cómputo del plazo hasta el pago material de operación) y, en el denominador, el importe total de pagos realizados.</w:t>
      </w:r>
    </w:p>
    <w:p w14:paraId="464611EA" w14:textId="77777777" w:rsidR="00543E37" w:rsidRPr="00F8465B" w:rsidRDefault="00543E37" w:rsidP="00543E37">
      <w:pPr>
        <w:pStyle w:val="Ttulo1a"/>
        <w:ind w:left="567"/>
        <w:rPr>
          <w:rFonts w:ascii="Cambria" w:hAnsi="Cambria"/>
          <w:sz w:val="24"/>
          <w:szCs w:val="24"/>
        </w:rPr>
      </w:pPr>
    </w:p>
    <w:p w14:paraId="092A0DA9" w14:textId="77777777" w:rsidR="00543E37" w:rsidRPr="00F8465B" w:rsidRDefault="00543E37" w:rsidP="00543E37">
      <w:pPr>
        <w:pStyle w:val="Ttulo1a"/>
        <w:ind w:left="567"/>
        <w:rPr>
          <w:rFonts w:ascii="Cambria" w:hAnsi="Cambria"/>
          <w:sz w:val="24"/>
          <w:szCs w:val="24"/>
        </w:rPr>
      </w:pPr>
      <w:r w:rsidRPr="00F8465B">
        <w:rPr>
          <w:rFonts w:ascii="Cambria" w:hAnsi="Cambria"/>
          <w:sz w:val="24"/>
          <w:szCs w:val="24"/>
        </w:rPr>
        <w:t>Asimismo, el ratio de operaciones pendientes de pago corresponde al cociente formulado en el numerador por el sumatorio de los productos correspondientes a los importes pendientes de pago, por el número de días pendiente de pago (días naturales transcurridos que se inicia el cómputo del plazo hasta el día de cierre de las cuentas anuales) y, el denominador, el importe total de pagos pendientes.</w:t>
      </w:r>
    </w:p>
    <w:p w14:paraId="2D5AC318" w14:textId="77777777" w:rsidR="00C43D60" w:rsidRPr="00F8465B" w:rsidRDefault="00C43D60" w:rsidP="00962761">
      <w:pPr>
        <w:keepLines w:val="0"/>
        <w:widowControl/>
        <w:jc w:val="left"/>
      </w:pPr>
      <w:bookmarkStart w:id="27" w:name="_Hlk64035224"/>
    </w:p>
    <w:p w14:paraId="0DFB3A20" w14:textId="77777777" w:rsidR="00B5661F" w:rsidRPr="00F460A2" w:rsidRDefault="00B5661F" w:rsidP="000272E7">
      <w:pPr>
        <w:pStyle w:val="Ttulo4"/>
        <w:widowControl/>
        <w:numPr>
          <w:ilvl w:val="0"/>
          <w:numId w:val="3"/>
        </w:numPr>
        <w:tabs>
          <w:tab w:val="clear" w:pos="360"/>
          <w:tab w:val="left" w:pos="-448"/>
          <w:tab w:val="num" w:pos="567"/>
        </w:tabs>
        <w:spacing w:before="0" w:after="0"/>
        <w:ind w:left="567" w:right="-1" w:hanging="567"/>
        <w:rPr>
          <w:rFonts w:ascii="Cambria" w:hAnsi="Cambria"/>
          <w:kern w:val="28"/>
          <w:sz w:val="24"/>
          <w:szCs w:val="24"/>
          <w:u w:val="single"/>
          <w:lang w:val="es-ES" w:eastAsia="en-US"/>
        </w:rPr>
      </w:pPr>
      <w:bookmarkStart w:id="28" w:name="_Hlk65757589"/>
      <w:r w:rsidRPr="00F460A2">
        <w:rPr>
          <w:rFonts w:ascii="Cambria" w:hAnsi="Cambria"/>
          <w:kern w:val="28"/>
          <w:sz w:val="24"/>
          <w:szCs w:val="24"/>
          <w:u w:val="single"/>
          <w:lang w:val="es-ES" w:eastAsia="en-US"/>
        </w:rPr>
        <w:t>Hechos posteriores</w:t>
      </w:r>
    </w:p>
    <w:p w14:paraId="79F19F42" w14:textId="77777777" w:rsidR="00126610" w:rsidRPr="00430E6A" w:rsidRDefault="00126610" w:rsidP="000272E7">
      <w:pPr>
        <w:pStyle w:val="Ttulo1a"/>
        <w:ind w:left="567"/>
        <w:rPr>
          <w:rFonts w:ascii="Cambria" w:hAnsi="Cambria"/>
          <w:sz w:val="24"/>
          <w:szCs w:val="24"/>
          <w:highlight w:val="yellow"/>
        </w:rPr>
      </w:pPr>
    </w:p>
    <w:p w14:paraId="1282DCD3" w14:textId="2DAE3C21" w:rsidR="005B1D74" w:rsidRDefault="005B1D74">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r>
        <w:rPr>
          <w:rFonts w:ascii="Cambria" w:hAnsi="Cambria"/>
          <w:sz w:val="24"/>
          <w:szCs w:val="24"/>
          <w:lang w:val="es-ES_tradnl"/>
        </w:rPr>
        <w:t xml:space="preserve">Con fecha enero de 2021 </w:t>
      </w:r>
      <w:r w:rsidRPr="0086316A">
        <w:rPr>
          <w:rFonts w:ascii="Cambria" w:hAnsi="Cambria"/>
          <w:sz w:val="24"/>
          <w:szCs w:val="24"/>
          <w:lang w:val="es-ES_tradnl"/>
        </w:rPr>
        <w:t xml:space="preserve">COFIVACASA </w:t>
      </w:r>
      <w:r>
        <w:rPr>
          <w:rFonts w:ascii="Cambria" w:hAnsi="Cambria"/>
          <w:sz w:val="24"/>
          <w:szCs w:val="24"/>
          <w:lang w:val="es-ES_tradnl"/>
        </w:rPr>
        <w:t>pujó</w:t>
      </w:r>
      <w:r w:rsidRPr="0086316A">
        <w:rPr>
          <w:rFonts w:ascii="Cambria" w:hAnsi="Cambria"/>
          <w:sz w:val="24"/>
          <w:szCs w:val="24"/>
          <w:lang w:val="es-ES_tradnl"/>
        </w:rPr>
        <w:t xml:space="preserve"> en la subasta </w:t>
      </w:r>
      <w:r>
        <w:rPr>
          <w:rFonts w:ascii="Cambria" w:hAnsi="Cambria"/>
          <w:sz w:val="24"/>
          <w:szCs w:val="24"/>
          <w:lang w:val="es-ES_tradnl"/>
        </w:rPr>
        <w:t xml:space="preserve">pública </w:t>
      </w:r>
      <w:r w:rsidRPr="0086316A">
        <w:rPr>
          <w:rFonts w:ascii="Cambria" w:hAnsi="Cambria"/>
          <w:sz w:val="24"/>
          <w:szCs w:val="24"/>
          <w:lang w:val="es-ES_tradnl"/>
        </w:rPr>
        <w:t xml:space="preserve">del inmueble que </w:t>
      </w:r>
      <w:r>
        <w:rPr>
          <w:rFonts w:ascii="Cambria" w:hAnsi="Cambria"/>
          <w:sz w:val="24"/>
          <w:szCs w:val="24"/>
          <w:lang w:val="es-ES_tradnl"/>
        </w:rPr>
        <w:t>constituye su</w:t>
      </w:r>
      <w:r w:rsidRPr="0086316A">
        <w:rPr>
          <w:rFonts w:ascii="Cambria" w:hAnsi="Cambria"/>
          <w:sz w:val="24"/>
          <w:szCs w:val="24"/>
          <w:lang w:val="es-ES_tradnl"/>
        </w:rPr>
        <w:t xml:space="preserve"> actual domicilio social. El importe de la puja fue de</w:t>
      </w:r>
      <w:r>
        <w:rPr>
          <w:rFonts w:ascii="Cambria" w:hAnsi="Cambria"/>
          <w:sz w:val="24"/>
          <w:szCs w:val="24"/>
          <w:lang w:val="es-ES_tradnl"/>
        </w:rPr>
        <w:t xml:space="preserve"> 3.363 miles de euros</w:t>
      </w:r>
      <w:r w:rsidRPr="0086316A">
        <w:rPr>
          <w:rFonts w:ascii="Cambria" w:hAnsi="Cambria"/>
          <w:sz w:val="24"/>
          <w:szCs w:val="24"/>
          <w:lang w:val="es-ES_tradnl"/>
        </w:rPr>
        <w:t xml:space="preserve">, resultando COFIVACASA la adjudicataria del </w:t>
      </w:r>
      <w:r>
        <w:rPr>
          <w:rFonts w:ascii="Cambria" w:hAnsi="Cambria"/>
          <w:sz w:val="24"/>
          <w:szCs w:val="24"/>
          <w:lang w:val="es-ES_tradnl"/>
        </w:rPr>
        <w:t>i</w:t>
      </w:r>
      <w:r w:rsidRPr="0086316A">
        <w:rPr>
          <w:rFonts w:ascii="Cambria" w:hAnsi="Cambria"/>
          <w:sz w:val="24"/>
          <w:szCs w:val="24"/>
          <w:lang w:val="es-ES_tradnl"/>
        </w:rPr>
        <w:t>nmueble.</w:t>
      </w:r>
    </w:p>
    <w:p w14:paraId="57ECA4E0" w14:textId="77777777" w:rsidR="005B1D74" w:rsidRDefault="005B1D74">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5013E265" w14:textId="415E40E7" w:rsidR="00F460A2" w:rsidRDefault="00F460A2">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r w:rsidRPr="00F460A2">
        <w:rPr>
          <w:rFonts w:ascii="Cambria" w:hAnsi="Cambria"/>
          <w:sz w:val="24"/>
          <w:szCs w:val="24"/>
          <w:lang w:val="es-ES_tradnl"/>
        </w:rPr>
        <w:t xml:space="preserve">El Tribunal Superior de Justicia del País Vasco emitió sentencia el 2 de febrero de 2021, en relación con </w:t>
      </w:r>
      <w:r>
        <w:rPr>
          <w:rFonts w:ascii="Cambria" w:hAnsi="Cambria"/>
          <w:sz w:val="24"/>
          <w:szCs w:val="24"/>
          <w:lang w:val="es-ES_tradnl"/>
        </w:rPr>
        <w:t>el</w:t>
      </w:r>
      <w:r w:rsidRPr="00F460A2">
        <w:rPr>
          <w:rFonts w:ascii="Cambria" w:hAnsi="Cambria"/>
          <w:sz w:val="24"/>
          <w:szCs w:val="24"/>
          <w:lang w:val="es-ES_tradnl"/>
        </w:rPr>
        <w:t xml:space="preserve"> pleito de </w:t>
      </w:r>
      <w:r>
        <w:rPr>
          <w:rFonts w:ascii="Cambria" w:hAnsi="Cambria"/>
          <w:sz w:val="24"/>
          <w:szCs w:val="24"/>
          <w:lang w:val="es-ES_tradnl"/>
        </w:rPr>
        <w:t xml:space="preserve">integración en plantilla de </w:t>
      </w:r>
      <w:r w:rsidRPr="00F460A2">
        <w:rPr>
          <w:rFonts w:ascii="Cambria" w:hAnsi="Cambria"/>
          <w:sz w:val="24"/>
          <w:szCs w:val="24"/>
          <w:lang w:val="es-ES_tradnl"/>
        </w:rPr>
        <w:t>54 demandantes, admitiendo parcialmente el recurso contra el Auto de 2 de marzo de 2020, y condenando al pago de determinadas cantidades.</w:t>
      </w:r>
      <w:r w:rsidR="00DA0147">
        <w:rPr>
          <w:rFonts w:ascii="Cambria" w:hAnsi="Cambria"/>
          <w:sz w:val="24"/>
          <w:szCs w:val="24"/>
          <w:lang w:val="es-ES_tradnl"/>
        </w:rPr>
        <w:t xml:space="preserve"> </w:t>
      </w:r>
      <w:r w:rsidR="00F40CE9" w:rsidRPr="00D86D55">
        <w:rPr>
          <w:rFonts w:ascii="Cambria" w:hAnsi="Cambria"/>
          <w:sz w:val="24"/>
          <w:szCs w:val="24"/>
          <w:lang w:val="es-ES"/>
        </w:rPr>
        <w:t>Dicha sentencia fue aclarada por el Tribunal el 16 de febrero de 2020.</w:t>
      </w:r>
      <w:r w:rsidR="00BD664D">
        <w:rPr>
          <w:rFonts w:ascii="Cambria" w:hAnsi="Cambria"/>
          <w:sz w:val="24"/>
          <w:szCs w:val="24"/>
          <w:lang w:val="es-ES_tradnl"/>
        </w:rPr>
        <w:t xml:space="preserve"> </w:t>
      </w:r>
      <w:r w:rsidRPr="00DA0147">
        <w:rPr>
          <w:rFonts w:ascii="Cambria" w:hAnsi="Cambria"/>
          <w:sz w:val="24"/>
          <w:szCs w:val="24"/>
          <w:lang w:val="es-ES_tradnl"/>
        </w:rPr>
        <w:t>Esta sentencia está en proceso de recurso ante el Supremo.</w:t>
      </w:r>
    </w:p>
    <w:p w14:paraId="0083C7E9" w14:textId="5A98EB5E" w:rsidR="00BD664D" w:rsidRDefault="00BD664D" w:rsidP="00F460A2">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03E67E94" w14:textId="531AA0B3" w:rsidR="005B1D74" w:rsidRDefault="005B1D74" w:rsidP="00BD664D">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r>
        <w:rPr>
          <w:rFonts w:ascii="Cambria" w:hAnsi="Cambria"/>
          <w:sz w:val="24"/>
          <w:szCs w:val="24"/>
          <w:lang w:val="es-ES_tradnl"/>
        </w:rPr>
        <w:t>Por otro lado, no ha sido abonada a su vencimiento de fecha 22 de marzo de 2021 la cuota de un préstamo a largo plazo cuyo importe asciende a 242 miles de euros de principal. El grupo deudor sigue negociando el plan de viabilidad y ha iniciado la solicitud de ayudas públicas, con cargo al Fondo de Solvencia aprobado.</w:t>
      </w:r>
    </w:p>
    <w:p w14:paraId="15BCD23C" w14:textId="77777777" w:rsidR="005B1D74" w:rsidRDefault="005B1D74" w:rsidP="00BD664D">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5160ED66" w14:textId="5695E2DF" w:rsidR="00BD664D" w:rsidRDefault="00BD664D" w:rsidP="00BD664D">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r w:rsidRPr="00A73506">
        <w:rPr>
          <w:rFonts w:ascii="Cambria" w:hAnsi="Cambria"/>
          <w:sz w:val="24"/>
          <w:szCs w:val="24"/>
          <w:lang w:val="es-ES_tradnl"/>
        </w:rPr>
        <w:t xml:space="preserve">La Sociedad Estatal de Participaciones </w:t>
      </w:r>
      <w:r w:rsidRPr="00CA5836">
        <w:rPr>
          <w:rFonts w:ascii="Cambria" w:hAnsi="Cambria"/>
          <w:sz w:val="24"/>
          <w:szCs w:val="24"/>
          <w:lang w:val="es-ES_tradnl"/>
        </w:rPr>
        <w:t xml:space="preserve">Industriales (SEPI), Accionista Único de COFIVACASA, en su Junta General Extraordinaria de </w:t>
      </w:r>
      <w:r w:rsidR="00147207" w:rsidRPr="00CA5836">
        <w:rPr>
          <w:rFonts w:ascii="Cambria" w:hAnsi="Cambria"/>
          <w:sz w:val="24"/>
          <w:szCs w:val="24"/>
          <w:lang w:val="es-ES_tradnl"/>
        </w:rPr>
        <w:t xml:space="preserve">25 </w:t>
      </w:r>
      <w:r w:rsidRPr="00CA5836">
        <w:rPr>
          <w:rFonts w:ascii="Cambria" w:hAnsi="Cambria"/>
          <w:sz w:val="24"/>
          <w:szCs w:val="24"/>
          <w:lang w:val="es-ES_tradnl"/>
        </w:rPr>
        <w:t xml:space="preserve">de marzo de 2021, ha adoptado el acuerdo de realizar una aportación de socios por importe de </w:t>
      </w:r>
      <w:r w:rsidR="00D86D55" w:rsidRPr="00CA5836">
        <w:rPr>
          <w:rFonts w:ascii="Cambria" w:hAnsi="Cambria"/>
          <w:sz w:val="24"/>
          <w:szCs w:val="24"/>
          <w:lang w:val="es-ES_tradnl"/>
        </w:rPr>
        <w:t>3.</w:t>
      </w:r>
      <w:r w:rsidR="00CA5836" w:rsidRPr="00CA5836">
        <w:rPr>
          <w:rFonts w:ascii="Cambria" w:hAnsi="Cambria"/>
          <w:sz w:val="24"/>
          <w:szCs w:val="24"/>
          <w:lang w:val="es-ES_tradnl"/>
        </w:rPr>
        <w:t>332</w:t>
      </w:r>
      <w:r w:rsidR="00946086" w:rsidRPr="00CA5836">
        <w:rPr>
          <w:rFonts w:ascii="Cambria" w:hAnsi="Cambria"/>
          <w:sz w:val="24"/>
          <w:szCs w:val="24"/>
          <w:lang w:val="es-ES_tradnl"/>
        </w:rPr>
        <w:t xml:space="preserve"> </w:t>
      </w:r>
      <w:r w:rsidRPr="00CA5836">
        <w:rPr>
          <w:rFonts w:ascii="Cambria" w:hAnsi="Cambria"/>
          <w:sz w:val="24"/>
          <w:szCs w:val="24"/>
          <w:lang w:val="es-ES_tradnl"/>
        </w:rPr>
        <w:t>miles de euros para compensación de pérdidas con el objeto de reestablecer el</w:t>
      </w:r>
      <w:r w:rsidRPr="00D86D55">
        <w:rPr>
          <w:rFonts w:ascii="Cambria" w:hAnsi="Cambria"/>
          <w:sz w:val="24"/>
          <w:szCs w:val="24"/>
          <w:lang w:val="es-ES_tradnl"/>
        </w:rPr>
        <w:t xml:space="preserve"> equilibrio patrimonial de la compañía.</w:t>
      </w:r>
      <w:r w:rsidR="00E43D9C">
        <w:rPr>
          <w:rFonts w:ascii="Cambria" w:hAnsi="Cambria"/>
          <w:sz w:val="24"/>
          <w:szCs w:val="24"/>
          <w:lang w:val="es-ES_tradnl"/>
        </w:rPr>
        <w:t xml:space="preserve"> Dicha aportación ha sido realizada con fecha 26 de marzo de 2021.</w:t>
      </w:r>
    </w:p>
    <w:p w14:paraId="5A73A980" w14:textId="223A6A1F" w:rsidR="000C2100" w:rsidRDefault="000C2100" w:rsidP="00BD664D">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bookmarkEnd w:id="28"/>
    <w:p w14:paraId="5332A58E" w14:textId="024FA6E9" w:rsidR="00C019B7" w:rsidRPr="005B1D74" w:rsidRDefault="00A62AEB" w:rsidP="005B1D74">
      <w:pPr>
        <w:pStyle w:val="toa"/>
        <w:keepLines/>
        <w:widowControl w:val="0"/>
        <w:tabs>
          <w:tab w:val="clear" w:pos="9000"/>
          <w:tab w:val="clear" w:pos="9360"/>
          <w:tab w:val="num" w:pos="1174"/>
        </w:tabs>
        <w:suppressAutoHyphens w:val="0"/>
        <w:ind w:left="540" w:right="49"/>
        <w:jc w:val="both"/>
        <w:rPr>
          <w:rFonts w:ascii="Cambria" w:hAnsi="Cambria"/>
          <w:sz w:val="24"/>
          <w:szCs w:val="24"/>
          <w:lang w:val="es-ES"/>
        </w:rPr>
      </w:pPr>
      <w:r w:rsidRPr="005B1D74">
        <w:rPr>
          <w:rFonts w:ascii="Cambria" w:hAnsi="Cambria"/>
          <w:sz w:val="24"/>
          <w:szCs w:val="24"/>
          <w:lang w:val="es-ES"/>
        </w:rPr>
        <w:br w:type="page"/>
      </w:r>
    </w:p>
    <w:bookmarkEnd w:id="27"/>
    <w:p w14:paraId="59061798" w14:textId="77777777" w:rsidR="00A920C2" w:rsidRPr="00F8465B" w:rsidRDefault="00A920C2" w:rsidP="0024783F">
      <w:pPr>
        <w:jc w:val="center"/>
        <w:rPr>
          <w:rFonts w:ascii="Cambria" w:hAnsi="Cambria"/>
          <w:sz w:val="24"/>
          <w:szCs w:val="24"/>
        </w:rPr>
      </w:pPr>
    </w:p>
    <w:p w14:paraId="59C40858" w14:textId="77777777" w:rsidR="00A920C2" w:rsidRPr="00F8465B" w:rsidRDefault="00A920C2" w:rsidP="0024783F">
      <w:pPr>
        <w:jc w:val="center"/>
        <w:rPr>
          <w:rFonts w:ascii="Cambria" w:hAnsi="Cambria"/>
          <w:sz w:val="24"/>
          <w:szCs w:val="24"/>
        </w:rPr>
      </w:pPr>
    </w:p>
    <w:p w14:paraId="508107E9" w14:textId="77777777" w:rsidR="00A920C2" w:rsidRPr="00F8465B" w:rsidRDefault="00A920C2" w:rsidP="0024783F">
      <w:pPr>
        <w:jc w:val="center"/>
        <w:rPr>
          <w:rFonts w:ascii="Cambria" w:hAnsi="Cambria"/>
          <w:sz w:val="24"/>
          <w:szCs w:val="24"/>
        </w:rPr>
      </w:pPr>
    </w:p>
    <w:p w14:paraId="01195DB9" w14:textId="77777777" w:rsidR="00A920C2" w:rsidRPr="00F8465B" w:rsidRDefault="00A920C2" w:rsidP="0024783F">
      <w:pPr>
        <w:jc w:val="center"/>
        <w:rPr>
          <w:rFonts w:ascii="Cambria" w:hAnsi="Cambria"/>
          <w:b/>
          <w:sz w:val="24"/>
          <w:szCs w:val="24"/>
        </w:rPr>
      </w:pPr>
      <w:r w:rsidRPr="00F8465B">
        <w:rPr>
          <w:rFonts w:ascii="Cambria" w:hAnsi="Cambria"/>
          <w:b/>
          <w:sz w:val="24"/>
          <w:szCs w:val="24"/>
        </w:rPr>
        <w:t xml:space="preserve">CUENTAS ANUALES </w:t>
      </w:r>
    </w:p>
    <w:p w14:paraId="452D4126" w14:textId="0DAA2D78" w:rsidR="00A920C2" w:rsidRPr="00F8465B" w:rsidRDefault="00A920C2" w:rsidP="0024783F">
      <w:pPr>
        <w:jc w:val="center"/>
        <w:rPr>
          <w:rFonts w:ascii="Cambria" w:hAnsi="Cambria"/>
          <w:b/>
          <w:sz w:val="24"/>
          <w:szCs w:val="24"/>
        </w:rPr>
      </w:pPr>
      <w:r w:rsidRPr="00F8465B">
        <w:rPr>
          <w:rFonts w:ascii="Cambria" w:hAnsi="Cambria"/>
          <w:b/>
          <w:sz w:val="24"/>
          <w:szCs w:val="24"/>
        </w:rPr>
        <w:t>CORRESPONDIENTES AL EJERCICIO ANUAL TERMINADO</w:t>
      </w:r>
      <w:r w:rsidRPr="00F8465B">
        <w:rPr>
          <w:rFonts w:ascii="Cambria" w:hAnsi="Cambria"/>
          <w:b/>
          <w:sz w:val="24"/>
          <w:szCs w:val="24"/>
        </w:rPr>
        <w:br/>
        <w:t>AL 31 DE DICIEMBRE DE 20</w:t>
      </w:r>
      <w:r w:rsidR="00430E6A">
        <w:rPr>
          <w:rFonts w:ascii="Cambria" w:hAnsi="Cambria"/>
          <w:b/>
          <w:sz w:val="24"/>
          <w:szCs w:val="24"/>
        </w:rPr>
        <w:t>20</w:t>
      </w:r>
    </w:p>
    <w:p w14:paraId="74291875" w14:textId="77777777" w:rsidR="00A920C2" w:rsidRPr="00F8465B" w:rsidRDefault="00A920C2" w:rsidP="0024783F">
      <w:pPr>
        <w:jc w:val="center"/>
        <w:rPr>
          <w:rFonts w:ascii="Cambria" w:hAnsi="Cambria"/>
          <w:sz w:val="24"/>
          <w:szCs w:val="24"/>
        </w:rPr>
      </w:pPr>
    </w:p>
    <w:p w14:paraId="679C3B02" w14:textId="77777777" w:rsidR="00A920C2" w:rsidRPr="00F8465B" w:rsidRDefault="00A920C2" w:rsidP="0024783F">
      <w:pPr>
        <w:jc w:val="center"/>
        <w:rPr>
          <w:rFonts w:ascii="Cambria" w:hAnsi="Cambria"/>
          <w:sz w:val="24"/>
          <w:szCs w:val="24"/>
        </w:rPr>
      </w:pPr>
    </w:p>
    <w:p w14:paraId="6F90BB54" w14:textId="77777777" w:rsidR="00A920C2" w:rsidRPr="00F8465B" w:rsidRDefault="00A920C2" w:rsidP="0024783F">
      <w:pPr>
        <w:jc w:val="center"/>
        <w:rPr>
          <w:rFonts w:ascii="Cambria" w:hAnsi="Cambria"/>
          <w:sz w:val="24"/>
          <w:szCs w:val="24"/>
        </w:rPr>
      </w:pPr>
    </w:p>
    <w:p w14:paraId="1E6F6C2B" w14:textId="77777777" w:rsidR="00A920C2" w:rsidRPr="00F8465B" w:rsidRDefault="00A920C2" w:rsidP="0024783F">
      <w:pPr>
        <w:jc w:val="right"/>
        <w:rPr>
          <w:rFonts w:ascii="Cambria" w:hAnsi="Cambria"/>
          <w:sz w:val="24"/>
          <w:szCs w:val="24"/>
        </w:rPr>
      </w:pPr>
    </w:p>
    <w:p w14:paraId="339581C4" w14:textId="77777777" w:rsidR="00A920C2" w:rsidRPr="00F8465B" w:rsidRDefault="00A920C2" w:rsidP="0024783F">
      <w:pPr>
        <w:jc w:val="center"/>
        <w:rPr>
          <w:rFonts w:ascii="Cambria" w:hAnsi="Cambria"/>
          <w:sz w:val="24"/>
          <w:szCs w:val="24"/>
        </w:rPr>
      </w:pPr>
    </w:p>
    <w:p w14:paraId="09A0155F" w14:textId="77777777" w:rsidR="00A920C2" w:rsidRPr="00F8465B" w:rsidRDefault="00A920C2" w:rsidP="0024783F">
      <w:pPr>
        <w:rPr>
          <w:rFonts w:ascii="Cambria" w:hAnsi="Cambria"/>
          <w:sz w:val="24"/>
          <w:szCs w:val="24"/>
        </w:rPr>
      </w:pPr>
    </w:p>
    <w:p w14:paraId="5D6096D5" w14:textId="75C22031" w:rsidR="00A920C2" w:rsidRPr="00F8465B" w:rsidRDefault="00A920C2" w:rsidP="0024783F">
      <w:pPr>
        <w:rPr>
          <w:rFonts w:ascii="Cambria" w:hAnsi="Cambria"/>
          <w:sz w:val="24"/>
          <w:szCs w:val="24"/>
        </w:rPr>
      </w:pPr>
      <w:r w:rsidRPr="00F8465B">
        <w:rPr>
          <w:rFonts w:ascii="Cambria" w:hAnsi="Cambria"/>
          <w:sz w:val="24"/>
          <w:szCs w:val="24"/>
        </w:rPr>
        <w:t xml:space="preserve">En cumplimiento con lo dispuesto en los artículos 34 y 35 del Código de Comercio y los artículos </w:t>
      </w:r>
      <w:r w:rsidR="00B87583" w:rsidRPr="00F8465B">
        <w:rPr>
          <w:rFonts w:ascii="Cambria" w:hAnsi="Cambria"/>
          <w:sz w:val="24"/>
          <w:szCs w:val="24"/>
        </w:rPr>
        <w:t xml:space="preserve">253, 254 y 262 del Texto Refundido de la Ley de Sociedades </w:t>
      </w:r>
      <w:r w:rsidR="00286332" w:rsidRPr="00F8465B">
        <w:rPr>
          <w:rFonts w:ascii="Cambria" w:hAnsi="Cambria"/>
          <w:sz w:val="24"/>
          <w:szCs w:val="24"/>
        </w:rPr>
        <w:t>de Capital</w:t>
      </w:r>
      <w:r w:rsidRPr="00F8465B">
        <w:rPr>
          <w:rFonts w:ascii="Cambria" w:hAnsi="Cambria"/>
          <w:sz w:val="24"/>
          <w:szCs w:val="24"/>
        </w:rPr>
        <w:t>, se redactan y presentan las Cuentas Anuales de la Sociedad referid</w:t>
      </w:r>
      <w:r w:rsidR="00B93F9B" w:rsidRPr="00F8465B">
        <w:rPr>
          <w:rFonts w:ascii="Cambria" w:hAnsi="Cambria"/>
          <w:sz w:val="24"/>
          <w:szCs w:val="24"/>
        </w:rPr>
        <w:t>a</w:t>
      </w:r>
      <w:r w:rsidRPr="00F8465B">
        <w:rPr>
          <w:rFonts w:ascii="Cambria" w:hAnsi="Cambria"/>
          <w:sz w:val="24"/>
          <w:szCs w:val="24"/>
        </w:rPr>
        <w:t>s al ejercicio anual terminado el 31 de diciembre de 20</w:t>
      </w:r>
      <w:r w:rsidR="00430E6A">
        <w:rPr>
          <w:rFonts w:ascii="Cambria" w:hAnsi="Cambria"/>
          <w:sz w:val="24"/>
          <w:szCs w:val="24"/>
        </w:rPr>
        <w:t>20</w:t>
      </w:r>
      <w:r w:rsidRPr="00F8465B">
        <w:rPr>
          <w:rFonts w:ascii="Cambria" w:hAnsi="Cambria"/>
          <w:sz w:val="24"/>
          <w:szCs w:val="24"/>
        </w:rPr>
        <w:t>.</w:t>
      </w:r>
    </w:p>
    <w:p w14:paraId="5D87417E" w14:textId="77777777" w:rsidR="00A920C2" w:rsidRPr="00F8465B" w:rsidRDefault="00A920C2" w:rsidP="0024783F">
      <w:pPr>
        <w:rPr>
          <w:rFonts w:ascii="Cambria" w:hAnsi="Cambria"/>
          <w:sz w:val="24"/>
          <w:szCs w:val="24"/>
        </w:rPr>
      </w:pPr>
    </w:p>
    <w:p w14:paraId="28E86FFE" w14:textId="0C7FC833" w:rsidR="00A920C2" w:rsidRPr="00CA5836" w:rsidRDefault="00A920C2" w:rsidP="0024783F">
      <w:pPr>
        <w:rPr>
          <w:rFonts w:ascii="Cambria" w:hAnsi="Cambria"/>
          <w:sz w:val="24"/>
          <w:szCs w:val="24"/>
        </w:rPr>
      </w:pPr>
      <w:r w:rsidRPr="00CA5836">
        <w:rPr>
          <w:rFonts w:ascii="Cambria" w:hAnsi="Cambria"/>
          <w:sz w:val="24"/>
          <w:szCs w:val="24"/>
        </w:rPr>
        <w:t xml:space="preserve">De acuerdo con lo dispuesto en el artículo 37 del Código de Comercio, </w:t>
      </w:r>
      <w:r w:rsidR="00E709F4" w:rsidRPr="00CA5836">
        <w:rPr>
          <w:rFonts w:ascii="Cambria" w:hAnsi="Cambria"/>
          <w:sz w:val="24"/>
          <w:szCs w:val="24"/>
        </w:rPr>
        <w:t>el</w:t>
      </w:r>
      <w:r w:rsidRPr="00CA5836">
        <w:rPr>
          <w:rFonts w:ascii="Cambria" w:hAnsi="Cambria"/>
          <w:sz w:val="24"/>
          <w:szCs w:val="24"/>
        </w:rPr>
        <w:t xml:space="preserve"> </w:t>
      </w:r>
      <w:r w:rsidR="00E940E5" w:rsidRPr="00CA5836">
        <w:rPr>
          <w:rFonts w:ascii="Cambria" w:hAnsi="Cambria"/>
          <w:sz w:val="24"/>
          <w:szCs w:val="24"/>
        </w:rPr>
        <w:t>Administrador</w:t>
      </w:r>
      <w:r w:rsidRPr="00CA5836">
        <w:rPr>
          <w:rFonts w:ascii="Cambria" w:hAnsi="Cambria"/>
          <w:sz w:val="24"/>
          <w:szCs w:val="24"/>
        </w:rPr>
        <w:t xml:space="preserve"> </w:t>
      </w:r>
      <w:r w:rsidR="00E940E5" w:rsidRPr="00CA5836">
        <w:rPr>
          <w:rFonts w:ascii="Cambria" w:hAnsi="Cambria"/>
          <w:sz w:val="24"/>
          <w:szCs w:val="24"/>
        </w:rPr>
        <w:t>Únic</w:t>
      </w:r>
      <w:r w:rsidR="00E709F4" w:rsidRPr="00CA5836">
        <w:rPr>
          <w:rFonts w:ascii="Cambria" w:hAnsi="Cambria"/>
          <w:sz w:val="24"/>
          <w:szCs w:val="24"/>
        </w:rPr>
        <w:t>o</w:t>
      </w:r>
      <w:r w:rsidRPr="00CA5836">
        <w:rPr>
          <w:rFonts w:ascii="Cambria" w:hAnsi="Cambria"/>
          <w:sz w:val="24"/>
          <w:szCs w:val="24"/>
        </w:rPr>
        <w:t xml:space="preserve"> de la Sociedad firma las presentes Cuentas Anuales, en todas sus hojas, en Madrid a </w:t>
      </w:r>
      <w:r w:rsidR="00147207" w:rsidRPr="00CA5836">
        <w:rPr>
          <w:rFonts w:ascii="Cambria" w:hAnsi="Cambria"/>
          <w:sz w:val="24"/>
          <w:szCs w:val="24"/>
        </w:rPr>
        <w:t xml:space="preserve">29 </w:t>
      </w:r>
      <w:r w:rsidRPr="00CA5836">
        <w:rPr>
          <w:rFonts w:ascii="Cambria" w:hAnsi="Cambria"/>
          <w:sz w:val="24"/>
          <w:szCs w:val="24"/>
        </w:rPr>
        <w:t xml:space="preserve">de marzo de </w:t>
      </w:r>
      <w:r w:rsidR="00F370AC" w:rsidRPr="00CA5836">
        <w:rPr>
          <w:rFonts w:ascii="Cambria" w:hAnsi="Cambria"/>
          <w:sz w:val="24"/>
          <w:szCs w:val="24"/>
        </w:rPr>
        <w:t>20</w:t>
      </w:r>
      <w:r w:rsidR="002F2E5D" w:rsidRPr="00CA5836">
        <w:rPr>
          <w:rFonts w:ascii="Cambria" w:hAnsi="Cambria"/>
          <w:sz w:val="24"/>
          <w:szCs w:val="24"/>
        </w:rPr>
        <w:t>2</w:t>
      </w:r>
      <w:r w:rsidR="00430E6A" w:rsidRPr="00CA5836">
        <w:rPr>
          <w:rFonts w:ascii="Cambria" w:hAnsi="Cambria"/>
          <w:sz w:val="24"/>
          <w:szCs w:val="24"/>
        </w:rPr>
        <w:t>1</w:t>
      </w:r>
      <w:r w:rsidRPr="00CA5836">
        <w:rPr>
          <w:rFonts w:ascii="Cambria" w:hAnsi="Cambria"/>
          <w:sz w:val="24"/>
          <w:szCs w:val="24"/>
        </w:rPr>
        <w:t>.</w:t>
      </w:r>
    </w:p>
    <w:p w14:paraId="781D285B" w14:textId="77777777" w:rsidR="00A920C2" w:rsidRPr="00CA5836" w:rsidRDefault="00A920C2" w:rsidP="0024783F">
      <w:pPr>
        <w:rPr>
          <w:rFonts w:ascii="Cambria" w:hAnsi="Cambria"/>
          <w:sz w:val="24"/>
          <w:szCs w:val="24"/>
        </w:rPr>
      </w:pPr>
    </w:p>
    <w:p w14:paraId="11A21709" w14:textId="1D3001A7" w:rsidR="00A920C2" w:rsidRPr="00F8465B" w:rsidRDefault="0096165A" w:rsidP="0096165A">
      <w:pPr>
        <w:jc w:val="right"/>
        <w:rPr>
          <w:rFonts w:ascii="Cambria" w:hAnsi="Cambria"/>
          <w:sz w:val="24"/>
          <w:szCs w:val="24"/>
        </w:rPr>
      </w:pPr>
      <w:r w:rsidRPr="00CA5836">
        <w:rPr>
          <w:rFonts w:ascii="Cambria" w:hAnsi="Cambria"/>
          <w:sz w:val="24"/>
          <w:szCs w:val="24"/>
        </w:rPr>
        <w:t xml:space="preserve">Madrid, </w:t>
      </w:r>
      <w:r w:rsidR="00A73506" w:rsidRPr="00CA5836">
        <w:rPr>
          <w:rFonts w:ascii="Cambria" w:hAnsi="Cambria"/>
          <w:sz w:val="24"/>
          <w:szCs w:val="24"/>
        </w:rPr>
        <w:t xml:space="preserve">a </w:t>
      </w:r>
      <w:r w:rsidR="00147207" w:rsidRPr="00CA5836">
        <w:rPr>
          <w:rFonts w:ascii="Cambria" w:hAnsi="Cambria"/>
          <w:sz w:val="24"/>
          <w:szCs w:val="24"/>
        </w:rPr>
        <w:t xml:space="preserve">29 </w:t>
      </w:r>
      <w:r w:rsidRPr="00CA5836">
        <w:rPr>
          <w:rFonts w:ascii="Cambria" w:hAnsi="Cambria"/>
          <w:sz w:val="24"/>
          <w:szCs w:val="24"/>
        </w:rPr>
        <w:t xml:space="preserve">de marzo </w:t>
      </w:r>
      <w:r w:rsidRPr="00CA5836">
        <w:rPr>
          <w:rFonts w:ascii="Cambria" w:hAnsi="Cambria"/>
          <w:sz w:val="24"/>
          <w:szCs w:val="24"/>
          <w:shd w:val="clear" w:color="auto" w:fill="FFFFFF" w:themeFill="background1"/>
        </w:rPr>
        <w:t>de 20</w:t>
      </w:r>
      <w:r w:rsidR="002F2E5D" w:rsidRPr="00CA5836">
        <w:rPr>
          <w:rFonts w:ascii="Cambria" w:hAnsi="Cambria"/>
          <w:sz w:val="24"/>
          <w:szCs w:val="24"/>
          <w:shd w:val="clear" w:color="auto" w:fill="FFFFFF" w:themeFill="background1"/>
        </w:rPr>
        <w:t>2</w:t>
      </w:r>
      <w:r w:rsidR="00430E6A" w:rsidRPr="00CA5836">
        <w:rPr>
          <w:rFonts w:ascii="Cambria" w:hAnsi="Cambria"/>
          <w:sz w:val="24"/>
          <w:szCs w:val="24"/>
          <w:shd w:val="clear" w:color="auto" w:fill="FFFFFF" w:themeFill="background1"/>
        </w:rPr>
        <w:t>1</w:t>
      </w:r>
      <w:r w:rsidRPr="00531725">
        <w:rPr>
          <w:rFonts w:ascii="Cambria" w:hAnsi="Cambria"/>
          <w:sz w:val="24"/>
          <w:szCs w:val="24"/>
        </w:rPr>
        <w:t>.</w:t>
      </w:r>
    </w:p>
    <w:p w14:paraId="125A5E02" w14:textId="77777777" w:rsidR="00A920C2" w:rsidRPr="00F8465B" w:rsidRDefault="00A920C2" w:rsidP="0024783F">
      <w:pPr>
        <w:rPr>
          <w:rFonts w:ascii="Cambria" w:hAnsi="Cambria"/>
          <w:sz w:val="24"/>
          <w:szCs w:val="24"/>
        </w:rPr>
      </w:pPr>
    </w:p>
    <w:p w14:paraId="2FD52CDF" w14:textId="77777777" w:rsidR="00A920C2" w:rsidRPr="00F8465B" w:rsidRDefault="00A920C2" w:rsidP="0024783F">
      <w:pPr>
        <w:pStyle w:val="Piedepgina"/>
        <w:tabs>
          <w:tab w:val="left" w:pos="708"/>
        </w:tabs>
        <w:rPr>
          <w:rFonts w:ascii="Cambria" w:hAnsi="Cambria"/>
          <w:sz w:val="24"/>
          <w:szCs w:val="24"/>
        </w:rPr>
      </w:pPr>
    </w:p>
    <w:p w14:paraId="20273F0E" w14:textId="77777777" w:rsidR="00A920C2" w:rsidRPr="00F8465B" w:rsidRDefault="00A920C2" w:rsidP="0024783F">
      <w:pPr>
        <w:rPr>
          <w:rFonts w:ascii="Cambria" w:hAnsi="Cambria"/>
          <w:sz w:val="24"/>
          <w:szCs w:val="24"/>
        </w:rPr>
      </w:pPr>
    </w:p>
    <w:p w14:paraId="1CAABFF9" w14:textId="77777777" w:rsidR="00A920C2" w:rsidRPr="00F8465B" w:rsidRDefault="00A920C2" w:rsidP="0024783F">
      <w:pPr>
        <w:rPr>
          <w:rFonts w:ascii="Cambria" w:hAnsi="Cambria"/>
          <w:sz w:val="24"/>
          <w:szCs w:val="24"/>
        </w:rPr>
      </w:pPr>
    </w:p>
    <w:p w14:paraId="5D937CA9" w14:textId="77777777" w:rsidR="00A920C2" w:rsidRDefault="00A920C2" w:rsidP="0024783F">
      <w:pPr>
        <w:rPr>
          <w:rFonts w:ascii="Cambria" w:hAnsi="Cambria"/>
          <w:sz w:val="24"/>
          <w:szCs w:val="24"/>
        </w:rPr>
      </w:pPr>
    </w:p>
    <w:p w14:paraId="7E224AFD" w14:textId="77777777" w:rsidR="00E709F4" w:rsidRPr="00F8465B" w:rsidRDefault="00E709F4" w:rsidP="0024783F">
      <w:pPr>
        <w:rPr>
          <w:rFonts w:ascii="Cambria" w:hAnsi="Cambria"/>
          <w:sz w:val="24"/>
          <w:szCs w:val="24"/>
        </w:rPr>
      </w:pPr>
    </w:p>
    <w:p w14:paraId="04A3C5D3" w14:textId="77777777" w:rsidR="00A920C2" w:rsidRPr="00F8465B" w:rsidRDefault="00A920C2" w:rsidP="0024783F">
      <w:pPr>
        <w:rPr>
          <w:rFonts w:ascii="Cambria" w:hAnsi="Cambria"/>
          <w:sz w:val="24"/>
          <w:szCs w:val="24"/>
        </w:rPr>
      </w:pPr>
    </w:p>
    <w:p w14:paraId="19E8D126" w14:textId="77777777" w:rsidR="00CE5B9D" w:rsidRPr="00F8465B" w:rsidRDefault="00CE5B9D" w:rsidP="0024783F">
      <w:pPr>
        <w:rPr>
          <w:rFonts w:ascii="Cambria" w:hAnsi="Cambria"/>
          <w:sz w:val="24"/>
          <w:szCs w:val="24"/>
        </w:rPr>
      </w:pPr>
    </w:p>
    <w:p w14:paraId="13AC59B4" w14:textId="65DE2E49" w:rsidR="00CE5B9D" w:rsidRPr="00F8465B" w:rsidRDefault="002C7034">
      <w:pPr>
        <w:tabs>
          <w:tab w:val="left" w:pos="720"/>
          <w:tab w:val="right" w:pos="8504"/>
        </w:tabs>
        <w:jc w:val="center"/>
        <w:rPr>
          <w:rFonts w:ascii="Cambria" w:hAnsi="Cambria"/>
          <w:sz w:val="24"/>
          <w:szCs w:val="24"/>
        </w:rPr>
      </w:pPr>
      <w:r>
        <w:rPr>
          <w:rFonts w:ascii="Cambria" w:hAnsi="Cambria"/>
          <w:sz w:val="24"/>
          <w:szCs w:val="24"/>
        </w:rPr>
        <w:t>Jorge Pipaón Pulido</w:t>
      </w:r>
    </w:p>
    <w:p w14:paraId="55F9F906" w14:textId="3CC50ABC" w:rsidR="00CE5B9D" w:rsidRPr="00F8465B" w:rsidRDefault="002C7034" w:rsidP="00C00FC8">
      <w:pPr>
        <w:tabs>
          <w:tab w:val="left" w:pos="720"/>
          <w:tab w:val="right" w:pos="8504"/>
        </w:tabs>
        <w:ind w:left="709"/>
        <w:rPr>
          <w:rFonts w:ascii="Cambria" w:hAnsi="Cambria"/>
          <w:sz w:val="24"/>
          <w:szCs w:val="24"/>
        </w:rPr>
      </w:pPr>
      <w:r>
        <w:rPr>
          <w:rFonts w:ascii="Cambria" w:hAnsi="Cambria"/>
          <w:sz w:val="24"/>
          <w:szCs w:val="24"/>
        </w:rPr>
        <w:tab/>
        <w:t xml:space="preserve">                                                   </w:t>
      </w:r>
      <w:r w:rsidR="00E940E5" w:rsidRPr="00F8465B">
        <w:rPr>
          <w:rFonts w:ascii="Cambria" w:hAnsi="Cambria"/>
          <w:sz w:val="24"/>
          <w:szCs w:val="24"/>
        </w:rPr>
        <w:t>Administrador</w:t>
      </w:r>
      <w:r w:rsidR="00CE5B9D" w:rsidRPr="00F8465B">
        <w:rPr>
          <w:rFonts w:ascii="Cambria" w:hAnsi="Cambria"/>
          <w:sz w:val="24"/>
          <w:szCs w:val="24"/>
        </w:rPr>
        <w:t xml:space="preserve"> </w:t>
      </w:r>
      <w:r w:rsidR="00E940E5" w:rsidRPr="00F8465B">
        <w:rPr>
          <w:rFonts w:ascii="Cambria" w:hAnsi="Cambria"/>
          <w:sz w:val="24"/>
          <w:szCs w:val="24"/>
        </w:rPr>
        <w:t>Únic</w:t>
      </w:r>
      <w:r w:rsidR="0013121D">
        <w:rPr>
          <w:rFonts w:ascii="Cambria" w:hAnsi="Cambria"/>
          <w:sz w:val="24"/>
          <w:szCs w:val="24"/>
        </w:rPr>
        <w:t>o</w:t>
      </w:r>
    </w:p>
    <w:p w14:paraId="71D34294" w14:textId="77777777" w:rsidR="00171D9B" w:rsidRPr="00F8465B" w:rsidRDefault="00171D9B" w:rsidP="0024783F">
      <w:pPr>
        <w:pStyle w:val="toa"/>
        <w:keepLines/>
        <w:widowControl w:val="0"/>
        <w:tabs>
          <w:tab w:val="clear" w:pos="9000"/>
          <w:tab w:val="clear" w:pos="9360"/>
        </w:tabs>
        <w:suppressAutoHyphens w:val="0"/>
        <w:rPr>
          <w:rFonts w:ascii="Cambria" w:hAnsi="Cambria"/>
          <w:sz w:val="24"/>
          <w:szCs w:val="24"/>
          <w:lang w:val="es-ES_tradnl"/>
        </w:rPr>
      </w:pPr>
    </w:p>
    <w:p w14:paraId="50AE1B14" w14:textId="77777777" w:rsidR="00850B32" w:rsidRPr="00F8465B" w:rsidRDefault="00850B32" w:rsidP="0024783F">
      <w:pPr>
        <w:pStyle w:val="toa"/>
        <w:keepLines/>
        <w:widowControl w:val="0"/>
        <w:tabs>
          <w:tab w:val="clear" w:pos="9000"/>
          <w:tab w:val="clear" w:pos="9360"/>
        </w:tabs>
        <w:suppressAutoHyphens w:val="0"/>
        <w:rPr>
          <w:rFonts w:ascii="Cambria" w:hAnsi="Cambria"/>
          <w:sz w:val="24"/>
          <w:szCs w:val="24"/>
          <w:lang w:val="es-ES_tradnl"/>
        </w:rPr>
      </w:pPr>
    </w:p>
    <w:p w14:paraId="4251BD16" w14:textId="77777777" w:rsidR="00850B32" w:rsidRPr="00F8465B" w:rsidRDefault="00850B32" w:rsidP="0024783F">
      <w:pPr>
        <w:pStyle w:val="toa"/>
        <w:keepLines/>
        <w:widowControl w:val="0"/>
        <w:tabs>
          <w:tab w:val="clear" w:pos="9000"/>
          <w:tab w:val="clear" w:pos="9360"/>
        </w:tabs>
        <w:suppressAutoHyphens w:val="0"/>
        <w:rPr>
          <w:rFonts w:ascii="Cambria" w:hAnsi="Cambria"/>
          <w:sz w:val="24"/>
          <w:szCs w:val="24"/>
          <w:lang w:val="es-ES_tradnl"/>
        </w:rPr>
      </w:pPr>
    </w:p>
    <w:p w14:paraId="54CFC145" w14:textId="77777777" w:rsidR="00850B32" w:rsidRPr="00F8465B" w:rsidRDefault="00850B32" w:rsidP="0024783F">
      <w:pPr>
        <w:pStyle w:val="toa"/>
        <w:keepLines/>
        <w:widowControl w:val="0"/>
        <w:tabs>
          <w:tab w:val="clear" w:pos="9000"/>
          <w:tab w:val="clear" w:pos="9360"/>
        </w:tabs>
        <w:suppressAutoHyphens w:val="0"/>
        <w:rPr>
          <w:rFonts w:ascii="Cambria" w:hAnsi="Cambria"/>
          <w:sz w:val="24"/>
          <w:szCs w:val="24"/>
          <w:lang w:val="es-ES_tradnl"/>
        </w:rPr>
      </w:pPr>
    </w:p>
    <w:p w14:paraId="41364A75" w14:textId="77777777" w:rsidR="00850B32" w:rsidRPr="00F8465B" w:rsidRDefault="00850B32" w:rsidP="0024783F">
      <w:pPr>
        <w:pStyle w:val="toa"/>
        <w:keepLines/>
        <w:widowControl w:val="0"/>
        <w:tabs>
          <w:tab w:val="clear" w:pos="9000"/>
          <w:tab w:val="clear" w:pos="9360"/>
        </w:tabs>
        <w:suppressAutoHyphens w:val="0"/>
        <w:rPr>
          <w:rFonts w:ascii="Cambria" w:hAnsi="Cambria"/>
          <w:sz w:val="24"/>
          <w:szCs w:val="24"/>
          <w:lang w:val="es-ES_tradnl"/>
        </w:rPr>
      </w:pPr>
    </w:p>
    <w:p w14:paraId="5AD354E7" w14:textId="77777777" w:rsidR="00850B32" w:rsidRPr="00F8465B" w:rsidRDefault="00850B32" w:rsidP="0024783F">
      <w:pPr>
        <w:pStyle w:val="toa"/>
        <w:keepLines/>
        <w:widowControl w:val="0"/>
        <w:tabs>
          <w:tab w:val="clear" w:pos="9000"/>
          <w:tab w:val="clear" w:pos="9360"/>
        </w:tabs>
        <w:suppressAutoHyphens w:val="0"/>
        <w:rPr>
          <w:rFonts w:ascii="Cambria" w:hAnsi="Cambria"/>
          <w:sz w:val="24"/>
          <w:szCs w:val="24"/>
          <w:lang w:val="es-ES_tradnl"/>
        </w:rPr>
      </w:pPr>
    </w:p>
    <w:p w14:paraId="786CF90E" w14:textId="77777777" w:rsidR="003E7B56" w:rsidRPr="00F8465B" w:rsidRDefault="003E7B56" w:rsidP="0024783F">
      <w:pPr>
        <w:pStyle w:val="toa"/>
        <w:keepLines/>
        <w:widowControl w:val="0"/>
        <w:tabs>
          <w:tab w:val="left" w:pos="708"/>
        </w:tabs>
        <w:suppressAutoHyphens w:val="0"/>
        <w:rPr>
          <w:rFonts w:ascii="Cambria" w:hAnsi="Cambria"/>
          <w:bCs/>
          <w:sz w:val="24"/>
          <w:szCs w:val="24"/>
          <w:lang w:val="es-ES_tradnl"/>
        </w:rPr>
      </w:pPr>
    </w:p>
    <w:p w14:paraId="079B97CF" w14:textId="77777777" w:rsidR="00850B32" w:rsidRPr="00F8465B" w:rsidRDefault="003E7B56" w:rsidP="0024783F">
      <w:pPr>
        <w:pStyle w:val="toa"/>
        <w:keepLines/>
        <w:widowControl w:val="0"/>
        <w:tabs>
          <w:tab w:val="clear" w:pos="9000"/>
          <w:tab w:val="clear" w:pos="9360"/>
        </w:tabs>
        <w:suppressAutoHyphens w:val="0"/>
        <w:rPr>
          <w:rFonts w:ascii="Cambria" w:hAnsi="Cambria"/>
          <w:sz w:val="24"/>
          <w:szCs w:val="24"/>
          <w:lang w:val="es-ES_tradnl"/>
        </w:rPr>
      </w:pPr>
      <w:r w:rsidRPr="00F8465B">
        <w:rPr>
          <w:rFonts w:ascii="Cambria" w:hAnsi="Cambria"/>
          <w:sz w:val="24"/>
          <w:szCs w:val="24"/>
          <w:lang w:val="es-ES_tradnl"/>
        </w:rPr>
        <w:br w:type="page"/>
      </w:r>
    </w:p>
    <w:p w14:paraId="771B8E47" w14:textId="77777777" w:rsidR="000B2373" w:rsidRPr="00F8465B" w:rsidRDefault="000B2373" w:rsidP="0024783F">
      <w:pPr>
        <w:pStyle w:val="toa"/>
        <w:keepLines/>
        <w:widowControl w:val="0"/>
        <w:tabs>
          <w:tab w:val="clear" w:pos="9000"/>
          <w:tab w:val="clear" w:pos="9360"/>
        </w:tabs>
        <w:suppressAutoHyphens w:val="0"/>
        <w:rPr>
          <w:rFonts w:ascii="Cambria" w:hAnsi="Cambria"/>
          <w:sz w:val="24"/>
          <w:szCs w:val="24"/>
          <w:lang w:val="es-ES_tradnl"/>
        </w:rPr>
      </w:pPr>
    </w:p>
    <w:p w14:paraId="1B3C7733" w14:textId="77777777" w:rsidR="009D4ED2" w:rsidRPr="00F8465B" w:rsidRDefault="001E0573" w:rsidP="009D4ED2">
      <w:pPr>
        <w:jc w:val="center"/>
        <w:rPr>
          <w:rFonts w:ascii="Cambria" w:hAnsi="Cambria"/>
          <w:b/>
          <w:sz w:val="24"/>
          <w:szCs w:val="24"/>
        </w:rPr>
      </w:pPr>
      <w:bookmarkStart w:id="29" w:name="_Hlk64035505"/>
      <w:r>
        <w:rPr>
          <w:rFonts w:ascii="Cambria" w:hAnsi="Cambria"/>
          <w:b/>
          <w:sz w:val="24"/>
          <w:szCs w:val="24"/>
        </w:rPr>
        <w:t xml:space="preserve">COFIVACASA, S.A. </w:t>
      </w:r>
      <w:r w:rsidR="00424FA1" w:rsidRPr="00F8465B">
        <w:rPr>
          <w:rFonts w:ascii="Cambria" w:hAnsi="Cambria"/>
          <w:b/>
          <w:sz w:val="24"/>
          <w:szCs w:val="24"/>
        </w:rPr>
        <w:t>S.M.E</w:t>
      </w:r>
    </w:p>
    <w:p w14:paraId="79B59B04" w14:textId="25659C5C" w:rsidR="009D4ED2" w:rsidRPr="00F8465B" w:rsidRDefault="009D4ED2" w:rsidP="009D4ED2">
      <w:pPr>
        <w:jc w:val="center"/>
        <w:rPr>
          <w:rFonts w:ascii="Cambria" w:hAnsi="Cambria"/>
          <w:b/>
          <w:sz w:val="24"/>
          <w:szCs w:val="24"/>
        </w:rPr>
      </w:pPr>
      <w:r w:rsidRPr="00F8465B">
        <w:rPr>
          <w:rFonts w:ascii="Cambria" w:hAnsi="Cambria"/>
          <w:b/>
          <w:sz w:val="24"/>
          <w:szCs w:val="24"/>
        </w:rPr>
        <w:t>INFORME DE GESTIÓN DEL EJERCICIO 20</w:t>
      </w:r>
      <w:r w:rsidR="009B16C8">
        <w:rPr>
          <w:rFonts w:ascii="Cambria" w:hAnsi="Cambria"/>
          <w:b/>
          <w:sz w:val="24"/>
          <w:szCs w:val="24"/>
        </w:rPr>
        <w:t>20</w:t>
      </w:r>
    </w:p>
    <w:p w14:paraId="4708F132" w14:textId="77777777" w:rsidR="009D4ED2" w:rsidRPr="00F8465B" w:rsidRDefault="009D4ED2" w:rsidP="009D4ED2">
      <w:pPr>
        <w:jc w:val="center"/>
        <w:rPr>
          <w:rFonts w:ascii="Cambria" w:hAnsi="Cambria"/>
          <w:b/>
          <w:szCs w:val="22"/>
        </w:rPr>
      </w:pPr>
    </w:p>
    <w:p w14:paraId="3D19F809" w14:textId="77777777" w:rsidR="009D4ED2" w:rsidRPr="00F8465B" w:rsidRDefault="009D4ED2" w:rsidP="009D4ED2">
      <w:pPr>
        <w:jc w:val="center"/>
        <w:rPr>
          <w:rFonts w:ascii="Cambria" w:hAnsi="Cambria"/>
          <w:sz w:val="24"/>
          <w:szCs w:val="24"/>
        </w:rPr>
      </w:pPr>
    </w:p>
    <w:bookmarkEnd w:id="29"/>
    <w:p w14:paraId="22324AC6" w14:textId="77777777" w:rsidR="009B16C8" w:rsidRDefault="009B16C8" w:rsidP="009B16C8">
      <w:pPr>
        <w:keepLines w:val="0"/>
        <w:widowControl/>
        <w:numPr>
          <w:ilvl w:val="0"/>
          <w:numId w:val="27"/>
        </w:numPr>
        <w:ind w:left="0" w:firstLine="0"/>
        <w:rPr>
          <w:rFonts w:ascii="Cambria" w:hAnsi="Cambria"/>
          <w:b/>
          <w:bCs/>
          <w:sz w:val="24"/>
          <w:szCs w:val="24"/>
          <w:lang w:val="es-ES"/>
        </w:rPr>
      </w:pPr>
      <w:r>
        <w:rPr>
          <w:rFonts w:ascii="Cambria" w:hAnsi="Cambria"/>
          <w:b/>
          <w:bCs/>
          <w:sz w:val="24"/>
          <w:szCs w:val="24"/>
          <w:u w:val="single"/>
        </w:rPr>
        <w:t>ACTIVIDAD EN 2020 Y PERSPECTIVAS</w:t>
      </w:r>
    </w:p>
    <w:p w14:paraId="7E6B42D3" w14:textId="77777777" w:rsidR="009B16C8" w:rsidRDefault="009B16C8" w:rsidP="009B16C8">
      <w:pPr>
        <w:rPr>
          <w:rFonts w:ascii="Cambria" w:hAnsi="Cambria"/>
          <w:b/>
          <w:bCs/>
          <w:sz w:val="24"/>
          <w:szCs w:val="24"/>
          <w:u w:val="single"/>
        </w:rPr>
      </w:pPr>
    </w:p>
    <w:p w14:paraId="73EFA1FE" w14:textId="77777777" w:rsidR="009B16C8" w:rsidRDefault="009B16C8" w:rsidP="009B16C8">
      <w:pPr>
        <w:pStyle w:val="toa"/>
        <w:ind w:left="540" w:right="49"/>
        <w:jc w:val="both"/>
        <w:rPr>
          <w:rFonts w:ascii="Cambria" w:hAnsi="Cambria"/>
          <w:sz w:val="24"/>
          <w:szCs w:val="24"/>
          <w:lang w:val="es-ES_tradnl"/>
        </w:rPr>
      </w:pPr>
      <w:r>
        <w:rPr>
          <w:rFonts w:ascii="Cambria" w:hAnsi="Cambria"/>
          <w:sz w:val="24"/>
          <w:szCs w:val="24"/>
          <w:lang w:val="es-ES_tradnl"/>
        </w:rPr>
        <w:t>Durante el ejercicio 2020, COFIVACASA ha continuado con la actividad que inició en el año 2002, siendo las operaciones más destacadas del ejercicio las que se detallan a continuación:</w:t>
      </w:r>
    </w:p>
    <w:p w14:paraId="4B268B87" w14:textId="77777777" w:rsidR="009B16C8" w:rsidRDefault="009B16C8" w:rsidP="009B16C8">
      <w:pPr>
        <w:pStyle w:val="toa"/>
        <w:ind w:right="49"/>
        <w:jc w:val="both"/>
        <w:rPr>
          <w:rFonts w:ascii="Cambria" w:hAnsi="Cambria"/>
          <w:szCs w:val="22"/>
          <w:lang w:val="es-ES_tradnl"/>
        </w:rPr>
      </w:pPr>
    </w:p>
    <w:p w14:paraId="20C3966F" w14:textId="6A9B7EBB" w:rsidR="009B16C8" w:rsidRDefault="009B16C8" w:rsidP="009B16C8">
      <w:pPr>
        <w:pStyle w:val="Textoindependiente2"/>
        <w:keepLines w:val="0"/>
        <w:widowControl/>
        <w:numPr>
          <w:ilvl w:val="0"/>
          <w:numId w:val="28"/>
        </w:numPr>
        <w:ind w:left="993" w:hanging="425"/>
        <w:rPr>
          <w:rFonts w:ascii="Cambria" w:hAnsi="Cambria"/>
          <w:color w:val="auto"/>
          <w:sz w:val="24"/>
          <w:szCs w:val="24"/>
        </w:rPr>
      </w:pPr>
      <w:r>
        <w:rPr>
          <w:rFonts w:ascii="Cambria" w:hAnsi="Cambria"/>
          <w:color w:val="auto"/>
          <w:sz w:val="24"/>
          <w:szCs w:val="24"/>
        </w:rPr>
        <w:t>Liquidación de sociedades pertenecientes a la Dirección General del Patrimonio del Estado.</w:t>
      </w:r>
    </w:p>
    <w:p w14:paraId="0A6ED261" w14:textId="77777777" w:rsidR="009B16C8" w:rsidRDefault="009B16C8" w:rsidP="009B16C8">
      <w:pPr>
        <w:pStyle w:val="Textoindependiente2"/>
        <w:ind w:left="720"/>
        <w:rPr>
          <w:rFonts w:ascii="Cambria" w:hAnsi="Cambria"/>
          <w:color w:val="auto"/>
          <w:sz w:val="24"/>
          <w:szCs w:val="24"/>
        </w:rPr>
      </w:pPr>
    </w:p>
    <w:p w14:paraId="5889939A" w14:textId="77777777" w:rsidR="009B16C8" w:rsidRDefault="009B16C8" w:rsidP="009B16C8">
      <w:pPr>
        <w:pStyle w:val="Textoindependiente2"/>
        <w:keepLines w:val="0"/>
        <w:widowControl/>
        <w:numPr>
          <w:ilvl w:val="1"/>
          <w:numId w:val="29"/>
        </w:numPr>
        <w:ind w:left="1701" w:hanging="425"/>
        <w:rPr>
          <w:rFonts w:ascii="Cambria" w:hAnsi="Cambria"/>
          <w:color w:val="auto"/>
          <w:sz w:val="24"/>
          <w:szCs w:val="24"/>
        </w:rPr>
      </w:pPr>
      <w:r>
        <w:rPr>
          <w:rFonts w:ascii="Cambria" w:hAnsi="Cambria"/>
          <w:color w:val="auto"/>
          <w:sz w:val="24"/>
          <w:szCs w:val="24"/>
        </w:rPr>
        <w:t xml:space="preserve">MZA S.M.E. S.A. EN LIQUIDACION: </w:t>
      </w:r>
    </w:p>
    <w:p w14:paraId="30F055E9" w14:textId="77777777" w:rsidR="009B16C8" w:rsidRDefault="009B16C8" w:rsidP="009B16C8">
      <w:pPr>
        <w:pStyle w:val="Textoindependiente2"/>
        <w:ind w:left="1701"/>
        <w:rPr>
          <w:rFonts w:ascii="Cambria" w:hAnsi="Cambria"/>
          <w:color w:val="auto"/>
          <w:sz w:val="24"/>
          <w:szCs w:val="24"/>
        </w:rPr>
      </w:pPr>
      <w:r>
        <w:rPr>
          <w:rFonts w:ascii="Cambria" w:hAnsi="Cambria"/>
          <w:color w:val="auto"/>
          <w:sz w:val="24"/>
          <w:szCs w:val="24"/>
        </w:rPr>
        <w:t>En una reclamación de cantidad se han obtenido dos sentencias favorables a la sociedad. La otra parte ha recurrido ante el Tribunal Supremo, pero se ha iniciado la ejecución provisional.</w:t>
      </w:r>
    </w:p>
    <w:p w14:paraId="0F1C92C1" w14:textId="77777777" w:rsidR="009B16C8" w:rsidRDefault="009B16C8" w:rsidP="009B16C8">
      <w:pPr>
        <w:pStyle w:val="Textoindependiente2"/>
        <w:ind w:left="1701"/>
        <w:rPr>
          <w:rFonts w:ascii="Cambria" w:hAnsi="Cambria"/>
          <w:color w:val="auto"/>
          <w:sz w:val="24"/>
          <w:szCs w:val="24"/>
        </w:rPr>
      </w:pPr>
      <w:r>
        <w:rPr>
          <w:rFonts w:ascii="Cambria" w:hAnsi="Cambria"/>
          <w:color w:val="auto"/>
          <w:sz w:val="24"/>
          <w:szCs w:val="24"/>
        </w:rPr>
        <w:t>Los terrenos de su propiedad han sido vendidos en subasta.</w:t>
      </w:r>
    </w:p>
    <w:p w14:paraId="5636B80D" w14:textId="77777777" w:rsidR="009B16C8" w:rsidRDefault="009B16C8" w:rsidP="009B16C8">
      <w:pPr>
        <w:pStyle w:val="Textoindependiente2"/>
        <w:ind w:left="1701"/>
        <w:rPr>
          <w:rFonts w:ascii="Cambria" w:hAnsi="Cambria"/>
          <w:color w:val="auto"/>
          <w:sz w:val="24"/>
          <w:szCs w:val="24"/>
        </w:rPr>
      </w:pPr>
    </w:p>
    <w:p w14:paraId="0C3F9E92" w14:textId="77777777" w:rsidR="009B16C8" w:rsidRDefault="009B16C8" w:rsidP="009B16C8">
      <w:pPr>
        <w:pStyle w:val="Textoindependiente2"/>
        <w:keepLines w:val="0"/>
        <w:widowControl/>
        <w:numPr>
          <w:ilvl w:val="1"/>
          <w:numId w:val="29"/>
        </w:numPr>
        <w:ind w:left="1701" w:hanging="425"/>
        <w:rPr>
          <w:rFonts w:ascii="Cambria" w:hAnsi="Cambria"/>
          <w:color w:val="auto"/>
          <w:sz w:val="24"/>
          <w:szCs w:val="24"/>
        </w:rPr>
      </w:pPr>
      <w:r>
        <w:rPr>
          <w:rFonts w:ascii="Cambria" w:hAnsi="Cambria"/>
          <w:color w:val="auto"/>
          <w:sz w:val="24"/>
          <w:szCs w:val="24"/>
        </w:rPr>
        <w:t>RUMASA S.M.E. S.A. EN LIQUIDACION: La liquidación de esta sociedad no se podrá acometer hasta la finalización de los pleitos individuales presentados por la plantilla por la extinción de sus contratos. Siete de los ocho pleitos ya son firmes a favor de la sociedad.</w:t>
      </w:r>
    </w:p>
    <w:p w14:paraId="7FB30454" w14:textId="77777777" w:rsidR="009B16C8" w:rsidRDefault="009B16C8" w:rsidP="009B16C8">
      <w:pPr>
        <w:pStyle w:val="Textoindependiente2"/>
        <w:ind w:left="1701"/>
        <w:rPr>
          <w:rFonts w:ascii="Cambria" w:hAnsi="Cambria"/>
          <w:color w:val="auto"/>
          <w:sz w:val="24"/>
          <w:szCs w:val="24"/>
        </w:rPr>
      </w:pPr>
      <w:r>
        <w:rPr>
          <w:rFonts w:ascii="Cambria" w:hAnsi="Cambria"/>
          <w:color w:val="auto"/>
          <w:sz w:val="24"/>
          <w:szCs w:val="24"/>
        </w:rPr>
        <w:t>Se ha presentado una papeleta de conciliación por una de las empresa privatizadas. Se encuentra en proceso de estudio.</w:t>
      </w:r>
    </w:p>
    <w:p w14:paraId="11B9FAB0" w14:textId="77777777" w:rsidR="009B16C8" w:rsidRDefault="009B16C8" w:rsidP="009B16C8">
      <w:pPr>
        <w:pStyle w:val="Textoindependiente2"/>
        <w:ind w:left="1701"/>
        <w:rPr>
          <w:rFonts w:ascii="Cambria" w:hAnsi="Cambria"/>
          <w:color w:val="auto"/>
          <w:sz w:val="24"/>
          <w:szCs w:val="24"/>
        </w:rPr>
      </w:pPr>
    </w:p>
    <w:p w14:paraId="26D2E245" w14:textId="29275EF1" w:rsidR="009B16C8" w:rsidRDefault="009B16C8" w:rsidP="009B16C8">
      <w:pPr>
        <w:pStyle w:val="Textoindependiente2"/>
        <w:keepLines w:val="0"/>
        <w:widowControl/>
        <w:numPr>
          <w:ilvl w:val="0"/>
          <w:numId w:val="28"/>
        </w:numPr>
        <w:rPr>
          <w:rFonts w:ascii="Cambria" w:hAnsi="Cambria"/>
          <w:color w:val="auto"/>
          <w:sz w:val="24"/>
          <w:szCs w:val="24"/>
        </w:rPr>
      </w:pPr>
      <w:r>
        <w:rPr>
          <w:rFonts w:ascii="Cambria" w:hAnsi="Cambria"/>
          <w:color w:val="auto"/>
          <w:sz w:val="24"/>
          <w:szCs w:val="24"/>
        </w:rPr>
        <w:t xml:space="preserve">Liquidación de GESTUR RIOJA: En septiembre de 2018 se </w:t>
      </w:r>
      <w:r w:rsidR="00147207">
        <w:rPr>
          <w:rFonts w:ascii="Cambria" w:hAnsi="Cambria"/>
          <w:color w:val="auto"/>
          <w:sz w:val="24"/>
          <w:szCs w:val="24"/>
        </w:rPr>
        <w:t>recibió</w:t>
      </w:r>
      <w:r>
        <w:rPr>
          <w:rFonts w:ascii="Cambria" w:hAnsi="Cambria"/>
          <w:color w:val="auto"/>
          <w:sz w:val="24"/>
          <w:szCs w:val="24"/>
        </w:rPr>
        <w:t xml:space="preserve"> el encargo de esta sociedad participada al 50% por SEPES. El contrato de encargo inicial ya ha finalizado. El encargo ha sido renovado en 2020.</w:t>
      </w:r>
    </w:p>
    <w:p w14:paraId="033F2A9E" w14:textId="77777777" w:rsidR="009B16C8" w:rsidRDefault="009B16C8" w:rsidP="009B16C8">
      <w:pPr>
        <w:pStyle w:val="Textoindependiente2"/>
        <w:ind w:left="1080"/>
        <w:rPr>
          <w:rFonts w:ascii="Cambria" w:eastAsiaTheme="minorHAnsi" w:hAnsi="Cambria"/>
          <w:color w:val="auto"/>
          <w:sz w:val="24"/>
          <w:szCs w:val="24"/>
        </w:rPr>
      </w:pPr>
      <w:r>
        <w:rPr>
          <w:rFonts w:ascii="Cambria" w:hAnsi="Cambria"/>
          <w:color w:val="auto"/>
          <w:sz w:val="24"/>
          <w:szCs w:val="24"/>
        </w:rPr>
        <w:t>Los accionistas no se han pronunciado aún sobre las opciones de reparto de inmovilizado presentadas.</w:t>
      </w:r>
    </w:p>
    <w:p w14:paraId="29528FB2" w14:textId="77777777" w:rsidR="009B16C8" w:rsidRDefault="009B16C8" w:rsidP="009B16C8">
      <w:pPr>
        <w:pStyle w:val="Textoindependiente2"/>
        <w:ind w:left="1276"/>
        <w:rPr>
          <w:rFonts w:ascii="Cambria" w:hAnsi="Cambria"/>
          <w:color w:val="auto"/>
          <w:sz w:val="24"/>
          <w:szCs w:val="24"/>
        </w:rPr>
      </w:pPr>
    </w:p>
    <w:p w14:paraId="5F5F5E28" w14:textId="77777777" w:rsidR="009B16C8" w:rsidRDefault="009B16C8" w:rsidP="009B16C8">
      <w:pPr>
        <w:pStyle w:val="Textoindependiente2"/>
        <w:keepLines w:val="0"/>
        <w:widowControl/>
        <w:numPr>
          <w:ilvl w:val="0"/>
          <w:numId w:val="28"/>
        </w:numPr>
        <w:rPr>
          <w:rFonts w:ascii="Cambria" w:hAnsi="Cambria"/>
          <w:color w:val="auto"/>
          <w:sz w:val="24"/>
          <w:szCs w:val="24"/>
        </w:rPr>
      </w:pPr>
      <w:r>
        <w:rPr>
          <w:rFonts w:ascii="Cambria" w:hAnsi="Cambria"/>
          <w:color w:val="auto"/>
          <w:sz w:val="24"/>
          <w:szCs w:val="24"/>
        </w:rPr>
        <w:t>Liquidación de DEFEX S.A. S.M.E., EN LIQUIDACION; COFIVACASA fue legalmente encargada de la liquidación de esta compañía. En 2020 se aprobó el concurso de acreedores y nombramiento de administrador concursal. Por ello, COFIVACASA cesó como liquidadora de la sociedad.</w:t>
      </w:r>
    </w:p>
    <w:p w14:paraId="68AC01BD" w14:textId="77777777" w:rsidR="009B16C8" w:rsidRDefault="009B16C8" w:rsidP="009B16C8">
      <w:pPr>
        <w:pStyle w:val="Textoindependiente2"/>
        <w:ind w:left="1080"/>
        <w:rPr>
          <w:rFonts w:ascii="Cambria" w:eastAsiaTheme="minorHAnsi" w:hAnsi="Cambria"/>
          <w:color w:val="auto"/>
          <w:sz w:val="24"/>
          <w:szCs w:val="24"/>
        </w:rPr>
      </w:pPr>
    </w:p>
    <w:p w14:paraId="29CBAE5E" w14:textId="77777777" w:rsidR="009B16C8" w:rsidRDefault="009B16C8" w:rsidP="009B16C8">
      <w:pPr>
        <w:pStyle w:val="Textoindependiente2"/>
        <w:keepLines w:val="0"/>
        <w:widowControl/>
        <w:numPr>
          <w:ilvl w:val="0"/>
          <w:numId w:val="28"/>
        </w:numPr>
        <w:rPr>
          <w:rFonts w:ascii="Cambria" w:hAnsi="Cambria"/>
          <w:color w:val="auto"/>
          <w:sz w:val="24"/>
          <w:szCs w:val="24"/>
        </w:rPr>
      </w:pPr>
      <w:r>
        <w:rPr>
          <w:rFonts w:ascii="Cambria" w:hAnsi="Cambria"/>
          <w:color w:val="auto"/>
          <w:sz w:val="24"/>
          <w:szCs w:val="24"/>
        </w:rPr>
        <w:t>TRAGSA. Contrato dirigido a la revisión auditora de la filial TRAGSA BRASIL con vistas a una posible liquidación.</w:t>
      </w:r>
    </w:p>
    <w:p w14:paraId="05ED058C" w14:textId="77777777" w:rsidR="009B16C8" w:rsidRDefault="009B16C8" w:rsidP="009B16C8">
      <w:pPr>
        <w:pStyle w:val="Textoindependiente2"/>
        <w:ind w:left="1080"/>
        <w:rPr>
          <w:rFonts w:ascii="Cambria" w:eastAsiaTheme="minorHAnsi" w:hAnsi="Cambria"/>
          <w:color w:val="auto"/>
          <w:sz w:val="24"/>
          <w:szCs w:val="24"/>
        </w:rPr>
      </w:pPr>
    </w:p>
    <w:p w14:paraId="50EFF9BE" w14:textId="6715C614" w:rsidR="009B16C8" w:rsidRDefault="009B16C8" w:rsidP="00DE5B29">
      <w:pPr>
        <w:keepLines w:val="0"/>
        <w:widowControl/>
        <w:jc w:val="left"/>
        <w:rPr>
          <w:rFonts w:ascii="Cambria" w:hAnsi="Cambria"/>
          <w:sz w:val="24"/>
          <w:szCs w:val="24"/>
        </w:rPr>
      </w:pPr>
      <w:r>
        <w:rPr>
          <w:rFonts w:ascii="Cambria" w:hAnsi="Cambria"/>
          <w:sz w:val="24"/>
          <w:szCs w:val="24"/>
        </w:rPr>
        <w:t>Otras actuaciones en 2020:</w:t>
      </w:r>
    </w:p>
    <w:p w14:paraId="214CD67A" w14:textId="77777777" w:rsidR="009B16C8" w:rsidRDefault="009B16C8" w:rsidP="009B16C8">
      <w:pPr>
        <w:pStyle w:val="Textoindependiente2"/>
        <w:ind w:left="993"/>
        <w:rPr>
          <w:rFonts w:ascii="Cambria" w:hAnsi="Cambria"/>
          <w:color w:val="auto"/>
          <w:sz w:val="24"/>
          <w:szCs w:val="24"/>
        </w:rPr>
      </w:pPr>
    </w:p>
    <w:p w14:paraId="1BCCC1BE" w14:textId="77777777" w:rsidR="009B16C8" w:rsidRDefault="009B16C8" w:rsidP="009B16C8">
      <w:pPr>
        <w:pStyle w:val="Textoindependiente2"/>
        <w:keepLines w:val="0"/>
        <w:widowControl/>
        <w:numPr>
          <w:ilvl w:val="0"/>
          <w:numId w:val="31"/>
        </w:numPr>
        <w:ind w:left="1276" w:hanging="425"/>
        <w:rPr>
          <w:rFonts w:ascii="Cambria" w:hAnsi="Cambria"/>
          <w:color w:val="auto"/>
          <w:sz w:val="24"/>
          <w:szCs w:val="24"/>
        </w:rPr>
      </w:pPr>
      <w:r>
        <w:rPr>
          <w:rFonts w:ascii="Cambria" w:hAnsi="Cambria"/>
          <w:color w:val="auto"/>
          <w:sz w:val="24"/>
          <w:szCs w:val="24"/>
        </w:rPr>
        <w:t>Continuar con la gestión de la sociedad ALIMENTOS Y ACEITES S.A. S.M.E. participada mayoritariamente por la Sociedad Estatal de Participaciones Industriales (SEPI). Se inició en octubre de 2004.</w:t>
      </w:r>
    </w:p>
    <w:p w14:paraId="19314B13" w14:textId="495CEA65" w:rsidR="00DE5B29" w:rsidRDefault="00DE5B29">
      <w:pPr>
        <w:keepLines w:val="0"/>
        <w:widowControl/>
        <w:jc w:val="left"/>
        <w:rPr>
          <w:rFonts w:ascii="Cambria" w:hAnsi="Cambria"/>
          <w:sz w:val="24"/>
          <w:szCs w:val="24"/>
          <w:lang w:val="es-ES"/>
        </w:rPr>
      </w:pPr>
      <w:r>
        <w:rPr>
          <w:rFonts w:ascii="Cambria" w:hAnsi="Cambria"/>
          <w:sz w:val="24"/>
          <w:szCs w:val="24"/>
          <w:lang w:val="es-ES"/>
        </w:rPr>
        <w:br w:type="page"/>
      </w:r>
    </w:p>
    <w:p w14:paraId="0C990B92" w14:textId="77777777" w:rsidR="009B16C8" w:rsidRDefault="009B16C8" w:rsidP="009B16C8">
      <w:pPr>
        <w:rPr>
          <w:rFonts w:ascii="Cambria" w:hAnsi="Cambria"/>
          <w:sz w:val="24"/>
          <w:szCs w:val="24"/>
          <w:lang w:val="es-ES"/>
        </w:rPr>
      </w:pPr>
    </w:p>
    <w:p w14:paraId="1319E276" w14:textId="77777777" w:rsidR="009B16C8" w:rsidRDefault="009B16C8" w:rsidP="009B16C8">
      <w:pPr>
        <w:pStyle w:val="Textoindependiente2"/>
        <w:keepLines w:val="0"/>
        <w:widowControl/>
        <w:numPr>
          <w:ilvl w:val="0"/>
          <w:numId w:val="31"/>
        </w:numPr>
        <w:ind w:left="1276" w:hanging="425"/>
        <w:rPr>
          <w:rFonts w:ascii="Cambria" w:hAnsi="Cambria"/>
          <w:color w:val="auto"/>
          <w:sz w:val="24"/>
          <w:szCs w:val="24"/>
        </w:rPr>
      </w:pPr>
      <w:r>
        <w:rPr>
          <w:rFonts w:ascii="Cambria" w:hAnsi="Cambria"/>
          <w:color w:val="auto"/>
          <w:sz w:val="24"/>
          <w:szCs w:val="24"/>
        </w:rPr>
        <w:t>La gestión de IZAR S.A. S.M.E., EN LIQUIDACION, participada al 100% por la Sociedad Estatal de Participaciones Industriales (SEPI), iniciada en el cuarto trimestre de 2014.</w:t>
      </w:r>
    </w:p>
    <w:p w14:paraId="63117213" w14:textId="77777777" w:rsidR="009B16C8" w:rsidRDefault="009B16C8" w:rsidP="009B16C8">
      <w:pPr>
        <w:pStyle w:val="Textoindependiente2"/>
        <w:ind w:left="774"/>
        <w:rPr>
          <w:rFonts w:ascii="Cambria" w:hAnsi="Cambria"/>
          <w:color w:val="auto"/>
          <w:sz w:val="24"/>
          <w:szCs w:val="24"/>
        </w:rPr>
      </w:pPr>
    </w:p>
    <w:p w14:paraId="2F523F5C" w14:textId="77777777" w:rsidR="009B16C8" w:rsidRDefault="009B16C8" w:rsidP="009B16C8">
      <w:pPr>
        <w:pStyle w:val="Textoindependiente2"/>
        <w:keepLines w:val="0"/>
        <w:widowControl/>
        <w:numPr>
          <w:ilvl w:val="0"/>
          <w:numId w:val="32"/>
        </w:numPr>
        <w:ind w:left="851" w:hanging="284"/>
        <w:rPr>
          <w:rFonts w:ascii="Cambria" w:hAnsi="Cambria"/>
          <w:color w:val="auto"/>
          <w:sz w:val="24"/>
          <w:szCs w:val="24"/>
        </w:rPr>
      </w:pPr>
      <w:r>
        <w:rPr>
          <w:rFonts w:ascii="Cambria" w:hAnsi="Cambria"/>
          <w:color w:val="auto"/>
          <w:sz w:val="24"/>
          <w:szCs w:val="24"/>
        </w:rPr>
        <w:t>Actuaciones previstas para 2021:</w:t>
      </w:r>
    </w:p>
    <w:p w14:paraId="01557AF3" w14:textId="77777777" w:rsidR="009B16C8" w:rsidRDefault="009B16C8" w:rsidP="009B16C8">
      <w:pPr>
        <w:pStyle w:val="Textoindependiente2"/>
        <w:ind w:left="851"/>
        <w:rPr>
          <w:rFonts w:ascii="Cambria" w:hAnsi="Cambria"/>
          <w:color w:val="auto"/>
          <w:sz w:val="24"/>
          <w:szCs w:val="24"/>
        </w:rPr>
      </w:pPr>
    </w:p>
    <w:p w14:paraId="475A7D8A" w14:textId="77777777" w:rsidR="009B16C8" w:rsidRDefault="009B16C8" w:rsidP="009B16C8">
      <w:pPr>
        <w:pStyle w:val="Textoindependiente2"/>
        <w:ind w:left="851"/>
        <w:rPr>
          <w:rFonts w:ascii="Cambria" w:hAnsi="Cambria"/>
          <w:color w:val="auto"/>
          <w:sz w:val="24"/>
          <w:szCs w:val="24"/>
        </w:rPr>
      </w:pPr>
      <w:r>
        <w:rPr>
          <w:rFonts w:ascii="Cambria" w:hAnsi="Cambria"/>
          <w:color w:val="auto"/>
          <w:sz w:val="24"/>
          <w:szCs w:val="24"/>
        </w:rPr>
        <w:t>Las que continúan abiertas antes mencionadas, y la atención de los nuevos encargos que se pudieran concretar.</w:t>
      </w:r>
    </w:p>
    <w:p w14:paraId="758EF8FD" w14:textId="77777777" w:rsidR="009B16C8" w:rsidRDefault="009B16C8" w:rsidP="009B16C8">
      <w:pPr>
        <w:pStyle w:val="Textoindependiente2"/>
        <w:ind w:left="851"/>
        <w:rPr>
          <w:rFonts w:ascii="Cambria" w:hAnsi="Cambria"/>
          <w:color w:val="auto"/>
          <w:sz w:val="24"/>
          <w:szCs w:val="24"/>
        </w:rPr>
      </w:pPr>
    </w:p>
    <w:p w14:paraId="08F2EFC2" w14:textId="77777777" w:rsidR="009B16C8" w:rsidRDefault="009B16C8" w:rsidP="009B16C8">
      <w:pPr>
        <w:pStyle w:val="Textoindependiente2"/>
        <w:keepLines w:val="0"/>
        <w:widowControl/>
        <w:numPr>
          <w:ilvl w:val="0"/>
          <w:numId w:val="33"/>
        </w:numPr>
        <w:rPr>
          <w:rFonts w:ascii="Cambria" w:hAnsi="Cambria"/>
          <w:color w:val="auto"/>
          <w:sz w:val="24"/>
          <w:szCs w:val="24"/>
        </w:rPr>
      </w:pPr>
      <w:r>
        <w:rPr>
          <w:rFonts w:ascii="Cambria" w:hAnsi="Cambria"/>
          <w:color w:val="auto"/>
          <w:sz w:val="24"/>
          <w:szCs w:val="24"/>
        </w:rPr>
        <w:t>TRAGSA BRASIL. Encargo de supervisión de su liquidación.</w:t>
      </w:r>
    </w:p>
    <w:p w14:paraId="6AE4A40A" w14:textId="77777777" w:rsidR="009B16C8" w:rsidRDefault="009B16C8" w:rsidP="009B16C8">
      <w:pPr>
        <w:pStyle w:val="Textoindependiente2"/>
        <w:ind w:left="1571"/>
        <w:rPr>
          <w:rFonts w:ascii="Cambria" w:eastAsiaTheme="minorHAnsi" w:hAnsi="Cambria"/>
          <w:color w:val="auto"/>
          <w:sz w:val="24"/>
          <w:szCs w:val="24"/>
        </w:rPr>
      </w:pPr>
    </w:p>
    <w:p w14:paraId="6076072C" w14:textId="77777777" w:rsidR="009B16C8" w:rsidRDefault="009B16C8" w:rsidP="009B16C8">
      <w:pPr>
        <w:pStyle w:val="Textoindependiente2"/>
        <w:keepLines w:val="0"/>
        <w:widowControl/>
        <w:numPr>
          <w:ilvl w:val="0"/>
          <w:numId w:val="33"/>
        </w:numPr>
        <w:rPr>
          <w:rFonts w:ascii="Cambria" w:hAnsi="Cambria"/>
          <w:color w:val="auto"/>
          <w:sz w:val="24"/>
          <w:szCs w:val="24"/>
        </w:rPr>
      </w:pPr>
      <w:r>
        <w:rPr>
          <w:rFonts w:ascii="Cambria" w:hAnsi="Cambria"/>
          <w:color w:val="auto"/>
          <w:sz w:val="24"/>
          <w:szCs w:val="24"/>
        </w:rPr>
        <w:t>LIQUIDACION SOCIEDADES FILIALES DE ADIF. Hay un encargo en fase de tramitación.</w:t>
      </w:r>
    </w:p>
    <w:p w14:paraId="2AFE006C" w14:textId="77777777" w:rsidR="009B16C8" w:rsidRDefault="009B16C8" w:rsidP="009B16C8">
      <w:pPr>
        <w:pStyle w:val="Prrafodelista"/>
        <w:rPr>
          <w:rFonts w:ascii="Cambria" w:eastAsiaTheme="minorHAnsi" w:hAnsi="Cambria"/>
          <w:sz w:val="24"/>
          <w:szCs w:val="24"/>
        </w:rPr>
      </w:pPr>
    </w:p>
    <w:p w14:paraId="6D62F61D" w14:textId="77777777" w:rsidR="009B16C8" w:rsidRDefault="009B16C8" w:rsidP="009B16C8">
      <w:pPr>
        <w:pStyle w:val="Textoindependiente2"/>
        <w:keepLines w:val="0"/>
        <w:widowControl/>
        <w:numPr>
          <w:ilvl w:val="0"/>
          <w:numId w:val="33"/>
        </w:numPr>
        <w:rPr>
          <w:rFonts w:ascii="Cambria" w:hAnsi="Cambria"/>
          <w:color w:val="auto"/>
          <w:sz w:val="24"/>
          <w:szCs w:val="24"/>
        </w:rPr>
      </w:pPr>
      <w:r>
        <w:rPr>
          <w:rFonts w:ascii="Cambria" w:hAnsi="Cambria"/>
          <w:color w:val="auto"/>
          <w:sz w:val="24"/>
          <w:szCs w:val="24"/>
        </w:rPr>
        <w:t xml:space="preserve">Se ha contactado con </w:t>
      </w:r>
      <w:r w:rsidRPr="009B16C8">
        <w:rPr>
          <w:rFonts w:ascii="Cambria" w:hAnsi="Cambria"/>
          <w:color w:val="auto"/>
          <w:sz w:val="24"/>
          <w:szCs w:val="24"/>
        </w:rPr>
        <w:t>COFIVACASA desde la Dirección General de Patrimonio para la posible liquidación de un grupo de empresas adjudicadas al Estado. Está pendiente de determinadas</w:t>
      </w:r>
      <w:r>
        <w:rPr>
          <w:rFonts w:ascii="Cambria" w:hAnsi="Cambria"/>
          <w:color w:val="auto"/>
          <w:sz w:val="24"/>
          <w:szCs w:val="24"/>
        </w:rPr>
        <w:t xml:space="preserve"> tramitaciones administrativas.</w:t>
      </w:r>
    </w:p>
    <w:p w14:paraId="1827000E" w14:textId="77777777" w:rsidR="00147661" w:rsidRDefault="00147661" w:rsidP="00147661">
      <w:pPr>
        <w:pStyle w:val="Prrafodelista"/>
        <w:rPr>
          <w:rFonts w:ascii="Cambria" w:hAnsi="Cambria"/>
          <w:sz w:val="24"/>
          <w:szCs w:val="24"/>
        </w:rPr>
      </w:pPr>
    </w:p>
    <w:p w14:paraId="61B5CF28" w14:textId="77777777" w:rsidR="009D4ED2" w:rsidRPr="00F8465B" w:rsidRDefault="009D4ED2" w:rsidP="009D4ED2">
      <w:pPr>
        <w:keepLines w:val="0"/>
        <w:widowControl/>
        <w:numPr>
          <w:ilvl w:val="0"/>
          <w:numId w:val="13"/>
        </w:numPr>
        <w:tabs>
          <w:tab w:val="clear" w:pos="1080"/>
          <w:tab w:val="num" w:pos="540"/>
        </w:tabs>
        <w:ind w:left="0" w:firstLine="0"/>
        <w:rPr>
          <w:rFonts w:ascii="Cambria" w:eastAsia="Batang" w:hAnsi="Cambria"/>
          <w:b/>
          <w:sz w:val="24"/>
          <w:szCs w:val="24"/>
          <w:u w:val="single"/>
        </w:rPr>
      </w:pPr>
      <w:r w:rsidRPr="00F8465B">
        <w:rPr>
          <w:rFonts w:ascii="Cambria" w:eastAsia="Batang" w:hAnsi="Cambria"/>
          <w:b/>
          <w:sz w:val="24"/>
          <w:szCs w:val="24"/>
          <w:u w:val="single"/>
        </w:rPr>
        <w:t>INVESTIGACIÓN Y DESARROLLO</w:t>
      </w:r>
    </w:p>
    <w:p w14:paraId="16D925F9" w14:textId="77777777" w:rsidR="009D4ED2" w:rsidRPr="00F8465B" w:rsidRDefault="009D4ED2" w:rsidP="009D4ED2">
      <w:pPr>
        <w:pStyle w:val="toa"/>
        <w:keepLines/>
        <w:widowControl w:val="0"/>
        <w:tabs>
          <w:tab w:val="clear" w:pos="9000"/>
          <w:tab w:val="clear" w:pos="9360"/>
          <w:tab w:val="num" w:pos="1174"/>
        </w:tabs>
        <w:suppressAutoHyphens w:val="0"/>
        <w:ind w:right="49"/>
        <w:jc w:val="both"/>
        <w:rPr>
          <w:rFonts w:ascii="Cambria" w:hAnsi="Cambria"/>
          <w:sz w:val="24"/>
          <w:szCs w:val="24"/>
          <w:lang w:val="es-ES_tradnl"/>
        </w:rPr>
      </w:pPr>
    </w:p>
    <w:p w14:paraId="23927F46" w14:textId="7A9AAB23" w:rsidR="009D4ED2" w:rsidRPr="00F8465B" w:rsidRDefault="009D4ED2" w:rsidP="009D4ED2">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r w:rsidRPr="00F8465B">
        <w:rPr>
          <w:rFonts w:ascii="Cambria" w:hAnsi="Cambria"/>
          <w:sz w:val="24"/>
          <w:szCs w:val="24"/>
          <w:lang w:val="es-ES_tradnl"/>
        </w:rPr>
        <w:t>La Sociedad no ha efectuado durante los años 20</w:t>
      </w:r>
      <w:r w:rsidR="00430E6A">
        <w:rPr>
          <w:rFonts w:ascii="Cambria" w:hAnsi="Cambria"/>
          <w:sz w:val="24"/>
          <w:szCs w:val="24"/>
          <w:lang w:val="es-ES_tradnl"/>
        </w:rPr>
        <w:t>20</w:t>
      </w:r>
      <w:r w:rsidR="001E0573">
        <w:rPr>
          <w:rFonts w:ascii="Cambria" w:hAnsi="Cambria"/>
          <w:sz w:val="24"/>
          <w:szCs w:val="24"/>
          <w:lang w:val="es-ES_tradnl"/>
        </w:rPr>
        <w:t xml:space="preserve"> y 201</w:t>
      </w:r>
      <w:r w:rsidR="00430E6A">
        <w:rPr>
          <w:rFonts w:ascii="Cambria" w:hAnsi="Cambria"/>
          <w:sz w:val="24"/>
          <w:szCs w:val="24"/>
          <w:lang w:val="es-ES_tradnl"/>
        </w:rPr>
        <w:t>9</w:t>
      </w:r>
      <w:r w:rsidRPr="00F8465B">
        <w:rPr>
          <w:rFonts w:ascii="Cambria" w:hAnsi="Cambria"/>
          <w:sz w:val="24"/>
          <w:szCs w:val="24"/>
          <w:lang w:val="es-ES_tradnl"/>
        </w:rPr>
        <w:t>, actividades en Investigación y Desarrollo.</w:t>
      </w:r>
    </w:p>
    <w:p w14:paraId="462974A6" w14:textId="77777777" w:rsidR="009D4ED2" w:rsidRPr="00F8465B" w:rsidRDefault="009D4ED2" w:rsidP="009D4ED2">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3F6CE470" w14:textId="77777777" w:rsidR="009D4ED2" w:rsidRPr="00F8465B" w:rsidRDefault="009D4ED2" w:rsidP="009D4ED2">
      <w:pPr>
        <w:keepLines w:val="0"/>
        <w:widowControl/>
        <w:numPr>
          <w:ilvl w:val="0"/>
          <w:numId w:val="13"/>
        </w:numPr>
        <w:tabs>
          <w:tab w:val="clear" w:pos="1080"/>
          <w:tab w:val="num" w:pos="540"/>
        </w:tabs>
        <w:ind w:left="0" w:firstLine="0"/>
        <w:rPr>
          <w:rFonts w:ascii="Cambria" w:eastAsia="Batang" w:hAnsi="Cambria"/>
          <w:b/>
          <w:sz w:val="24"/>
          <w:szCs w:val="24"/>
          <w:u w:val="single"/>
        </w:rPr>
      </w:pPr>
      <w:r w:rsidRPr="00F8465B">
        <w:rPr>
          <w:rFonts w:ascii="Cambria" w:eastAsia="Batang" w:hAnsi="Cambria"/>
          <w:b/>
          <w:sz w:val="24"/>
          <w:szCs w:val="24"/>
          <w:u w:val="single"/>
        </w:rPr>
        <w:t>CAPITAL SOCIAL</w:t>
      </w:r>
    </w:p>
    <w:p w14:paraId="4F847840" w14:textId="77777777" w:rsidR="009D4ED2" w:rsidRPr="00F8465B" w:rsidRDefault="009D4ED2" w:rsidP="009D4ED2">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280607BE" w14:textId="66E015C6" w:rsidR="009D4ED2" w:rsidRPr="00F8465B" w:rsidRDefault="009D4ED2" w:rsidP="009D4ED2">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r w:rsidRPr="00F8465B">
        <w:rPr>
          <w:rFonts w:ascii="Cambria" w:hAnsi="Cambria"/>
          <w:sz w:val="24"/>
          <w:szCs w:val="24"/>
          <w:lang w:val="es-ES_tradnl"/>
        </w:rPr>
        <w:t>Al 31 de diciembre de 20</w:t>
      </w:r>
      <w:r w:rsidR="00430E6A">
        <w:rPr>
          <w:rFonts w:ascii="Cambria" w:hAnsi="Cambria"/>
          <w:sz w:val="24"/>
          <w:szCs w:val="24"/>
          <w:lang w:val="es-ES_tradnl"/>
        </w:rPr>
        <w:t>20</w:t>
      </w:r>
      <w:r w:rsidRPr="00F8465B">
        <w:rPr>
          <w:rFonts w:ascii="Cambria" w:hAnsi="Cambria"/>
          <w:sz w:val="24"/>
          <w:szCs w:val="24"/>
          <w:lang w:val="es-ES_tradnl"/>
        </w:rPr>
        <w:t>, al igual que al 31 de diciembre de 201</w:t>
      </w:r>
      <w:r w:rsidR="00430E6A">
        <w:rPr>
          <w:rFonts w:ascii="Cambria" w:hAnsi="Cambria"/>
          <w:sz w:val="24"/>
          <w:szCs w:val="24"/>
          <w:lang w:val="es-ES_tradnl"/>
        </w:rPr>
        <w:t>9</w:t>
      </w:r>
      <w:r w:rsidRPr="00F8465B">
        <w:rPr>
          <w:rFonts w:ascii="Cambria" w:hAnsi="Cambria"/>
          <w:sz w:val="24"/>
          <w:szCs w:val="24"/>
          <w:lang w:val="es-ES_tradnl"/>
        </w:rPr>
        <w:t xml:space="preserve">, el Accionista </w:t>
      </w:r>
      <w:r w:rsidR="00E940E5" w:rsidRPr="00F8465B">
        <w:rPr>
          <w:rFonts w:ascii="Cambria" w:hAnsi="Cambria"/>
          <w:sz w:val="24"/>
          <w:szCs w:val="24"/>
          <w:lang w:val="es-ES_tradnl"/>
        </w:rPr>
        <w:t>Único</w:t>
      </w:r>
      <w:r w:rsidRPr="00F8465B">
        <w:rPr>
          <w:rFonts w:ascii="Cambria" w:hAnsi="Cambria"/>
          <w:sz w:val="24"/>
          <w:szCs w:val="24"/>
          <w:lang w:val="es-ES_tradnl"/>
        </w:rPr>
        <w:t xml:space="preserve"> de la Sociedad era la Sociedad Estatal de Participaciones Industriales (SEPI).</w:t>
      </w:r>
    </w:p>
    <w:p w14:paraId="0A63CB5C" w14:textId="77777777" w:rsidR="009D4ED2" w:rsidRPr="00F8465B" w:rsidRDefault="009D4ED2" w:rsidP="009D4ED2">
      <w:pPr>
        <w:pStyle w:val="toa"/>
        <w:keepLines/>
        <w:widowControl w:val="0"/>
        <w:tabs>
          <w:tab w:val="clear" w:pos="9000"/>
          <w:tab w:val="clear" w:pos="9360"/>
          <w:tab w:val="num" w:pos="1174"/>
        </w:tabs>
        <w:suppressAutoHyphens w:val="0"/>
        <w:ind w:right="49"/>
        <w:jc w:val="both"/>
        <w:rPr>
          <w:rFonts w:ascii="Cambria" w:hAnsi="Cambria"/>
          <w:sz w:val="24"/>
          <w:szCs w:val="24"/>
          <w:lang w:val="es-ES_tradnl"/>
        </w:rPr>
      </w:pPr>
    </w:p>
    <w:p w14:paraId="317D38E7" w14:textId="77777777" w:rsidR="009D4ED2" w:rsidRPr="00F8465B" w:rsidRDefault="009D4ED2" w:rsidP="009D4ED2">
      <w:pPr>
        <w:keepLines w:val="0"/>
        <w:widowControl/>
        <w:numPr>
          <w:ilvl w:val="0"/>
          <w:numId w:val="13"/>
        </w:numPr>
        <w:tabs>
          <w:tab w:val="clear" w:pos="1080"/>
          <w:tab w:val="num" w:pos="540"/>
        </w:tabs>
        <w:ind w:left="0" w:firstLine="0"/>
        <w:rPr>
          <w:rFonts w:ascii="Cambria" w:eastAsia="Batang" w:hAnsi="Cambria"/>
          <w:b/>
          <w:sz w:val="24"/>
          <w:szCs w:val="24"/>
          <w:u w:val="single"/>
        </w:rPr>
      </w:pPr>
      <w:r w:rsidRPr="00F8465B">
        <w:rPr>
          <w:rFonts w:ascii="Cambria" w:eastAsia="Batang" w:hAnsi="Cambria"/>
          <w:b/>
          <w:sz w:val="24"/>
          <w:szCs w:val="24"/>
          <w:u w:val="single"/>
        </w:rPr>
        <w:t>ACCIONES PROPIAS</w:t>
      </w:r>
    </w:p>
    <w:p w14:paraId="2BFCBD67" w14:textId="77777777" w:rsidR="009D4ED2" w:rsidRPr="00F8465B" w:rsidRDefault="009D4ED2" w:rsidP="009D4ED2">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19FAD6D6" w14:textId="136C0618" w:rsidR="009D4ED2" w:rsidRDefault="009D4ED2">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r w:rsidRPr="00F8465B">
        <w:rPr>
          <w:rFonts w:ascii="Cambria" w:hAnsi="Cambria"/>
          <w:sz w:val="24"/>
          <w:szCs w:val="24"/>
          <w:lang w:val="es-ES_tradnl"/>
        </w:rPr>
        <w:t xml:space="preserve">Durante los ejercicios </w:t>
      </w:r>
      <w:r w:rsidR="001E0573">
        <w:rPr>
          <w:rFonts w:ascii="Cambria" w:hAnsi="Cambria"/>
          <w:sz w:val="24"/>
          <w:szCs w:val="24"/>
          <w:lang w:val="es-ES_tradnl"/>
        </w:rPr>
        <w:t>20</w:t>
      </w:r>
      <w:r w:rsidR="00430E6A">
        <w:rPr>
          <w:rFonts w:ascii="Cambria" w:hAnsi="Cambria"/>
          <w:sz w:val="24"/>
          <w:szCs w:val="24"/>
          <w:lang w:val="es-ES_tradnl"/>
        </w:rPr>
        <w:t>20</w:t>
      </w:r>
      <w:r w:rsidR="001E0573">
        <w:rPr>
          <w:rFonts w:ascii="Cambria" w:hAnsi="Cambria"/>
          <w:sz w:val="24"/>
          <w:szCs w:val="24"/>
          <w:lang w:val="es-ES_tradnl"/>
        </w:rPr>
        <w:t xml:space="preserve"> </w:t>
      </w:r>
      <w:r w:rsidRPr="00F8465B">
        <w:rPr>
          <w:rFonts w:ascii="Cambria" w:hAnsi="Cambria"/>
          <w:sz w:val="24"/>
          <w:szCs w:val="24"/>
          <w:lang w:val="es-ES_tradnl"/>
        </w:rPr>
        <w:t>y 201</w:t>
      </w:r>
      <w:r w:rsidR="00430E6A">
        <w:rPr>
          <w:rFonts w:ascii="Cambria" w:hAnsi="Cambria"/>
          <w:sz w:val="24"/>
          <w:szCs w:val="24"/>
          <w:lang w:val="es-ES_tradnl"/>
        </w:rPr>
        <w:t>9</w:t>
      </w:r>
      <w:r w:rsidRPr="00F8465B">
        <w:rPr>
          <w:rFonts w:ascii="Cambria" w:hAnsi="Cambria"/>
          <w:sz w:val="24"/>
          <w:szCs w:val="24"/>
          <w:lang w:val="es-ES_tradnl"/>
        </w:rPr>
        <w:t>, la Sociedad no ha realizado operación alguna con acciones propias.</w:t>
      </w:r>
    </w:p>
    <w:p w14:paraId="323291DF" w14:textId="77777777" w:rsidR="00DE5B29" w:rsidRPr="00F8465B" w:rsidRDefault="00DE5B29">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614A18B6" w14:textId="03FAF78B" w:rsidR="009D4ED2" w:rsidRPr="00F8465B" w:rsidRDefault="008F02AC" w:rsidP="00DE5B29">
      <w:pPr>
        <w:keepLines w:val="0"/>
        <w:widowControl/>
        <w:numPr>
          <w:ilvl w:val="0"/>
          <w:numId w:val="13"/>
        </w:numPr>
        <w:tabs>
          <w:tab w:val="clear" w:pos="1080"/>
          <w:tab w:val="num" w:pos="540"/>
        </w:tabs>
        <w:ind w:left="0" w:firstLine="0"/>
        <w:rPr>
          <w:rFonts w:ascii="Cambria" w:eastAsia="Batang" w:hAnsi="Cambria"/>
          <w:b/>
          <w:sz w:val="24"/>
          <w:szCs w:val="24"/>
          <w:u w:val="single"/>
        </w:rPr>
      </w:pPr>
      <w:r w:rsidRPr="00F8465B">
        <w:rPr>
          <w:rFonts w:ascii="Cambria" w:eastAsia="Batang" w:hAnsi="Cambria"/>
          <w:b/>
          <w:sz w:val="24"/>
          <w:szCs w:val="24"/>
          <w:u w:val="single"/>
        </w:rPr>
        <w:t>PERIODO MEDIO DE PAGO A PROVEEDORES</w:t>
      </w:r>
    </w:p>
    <w:p w14:paraId="72A2DCAD" w14:textId="77777777" w:rsidR="009D4ED2" w:rsidRPr="00F8465B" w:rsidRDefault="009D4ED2" w:rsidP="009D4ED2">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6CF8BB87" w14:textId="0BA938E5" w:rsidR="00201AEC" w:rsidRPr="00F8465B" w:rsidRDefault="008F02AC" w:rsidP="00201AEC">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r w:rsidRPr="00F8465B">
        <w:rPr>
          <w:rFonts w:ascii="Cambria" w:hAnsi="Cambria"/>
          <w:sz w:val="24"/>
          <w:szCs w:val="24"/>
          <w:lang w:val="es-ES_tradnl"/>
        </w:rPr>
        <w:t>La disposición adicional quinta de la Ley Orgánica 2/ 2012, de 27 de abril, de Estabilidad Presupuestaria y Sostenibilidad Financiera establece que el plazo máximo para el pago proveedores para las entidades públicas empresariales, sociedades mercantiles y demás entes de derecho público dependientes de las administraciones públicas es de treinta días.</w:t>
      </w:r>
      <w:r w:rsidR="00CE5B9D" w:rsidRPr="00F8465B">
        <w:rPr>
          <w:rFonts w:ascii="Cambria" w:hAnsi="Cambria"/>
          <w:sz w:val="24"/>
          <w:szCs w:val="24"/>
          <w:lang w:val="es-ES_tradnl"/>
        </w:rPr>
        <w:t xml:space="preserve"> </w:t>
      </w:r>
      <w:r w:rsidR="00147207">
        <w:rPr>
          <w:rFonts w:ascii="Cambria" w:hAnsi="Cambria"/>
          <w:sz w:val="24"/>
          <w:szCs w:val="24"/>
          <w:lang w:val="es-ES_tradnl"/>
        </w:rPr>
        <w:t>El</w:t>
      </w:r>
      <w:r w:rsidR="00201AEC" w:rsidRPr="00F8465B">
        <w:rPr>
          <w:rFonts w:ascii="Cambria" w:hAnsi="Cambria"/>
          <w:sz w:val="24"/>
          <w:szCs w:val="24"/>
          <w:lang w:val="es-ES_tradnl"/>
        </w:rPr>
        <w:t xml:space="preserve"> periodo medio de pago a los proveedores en </w:t>
      </w:r>
      <w:r w:rsidR="00201AEC" w:rsidRPr="00AA52BE">
        <w:rPr>
          <w:rFonts w:ascii="Cambria" w:hAnsi="Cambria"/>
          <w:sz w:val="24"/>
          <w:szCs w:val="24"/>
          <w:lang w:val="es-ES_tradnl"/>
        </w:rPr>
        <w:t>el ejercicio 20</w:t>
      </w:r>
      <w:r w:rsidR="00430E6A">
        <w:rPr>
          <w:rFonts w:ascii="Cambria" w:hAnsi="Cambria"/>
          <w:sz w:val="24"/>
          <w:szCs w:val="24"/>
          <w:lang w:val="es-ES_tradnl"/>
        </w:rPr>
        <w:t>20</w:t>
      </w:r>
      <w:r w:rsidR="00201AEC" w:rsidRPr="00AA52BE">
        <w:rPr>
          <w:rFonts w:ascii="Cambria" w:hAnsi="Cambria"/>
          <w:sz w:val="24"/>
          <w:szCs w:val="24"/>
          <w:lang w:val="es-ES_tradnl"/>
        </w:rPr>
        <w:t xml:space="preserve"> ha </w:t>
      </w:r>
      <w:r w:rsidR="00201AEC" w:rsidRPr="00DE5B29">
        <w:rPr>
          <w:rFonts w:ascii="Cambria" w:hAnsi="Cambria"/>
          <w:sz w:val="24"/>
          <w:szCs w:val="24"/>
          <w:lang w:val="es-ES_tradnl"/>
        </w:rPr>
        <w:t xml:space="preserve">sido de </w:t>
      </w:r>
      <w:r w:rsidR="00DE5B29" w:rsidRPr="00DE5B29">
        <w:rPr>
          <w:rFonts w:ascii="Cambria" w:hAnsi="Cambria"/>
          <w:sz w:val="24"/>
          <w:szCs w:val="24"/>
          <w:lang w:val="es-ES_tradnl"/>
        </w:rPr>
        <w:t>18</w:t>
      </w:r>
      <w:r w:rsidR="00147207">
        <w:rPr>
          <w:rFonts w:ascii="Cambria" w:hAnsi="Cambria"/>
          <w:sz w:val="24"/>
          <w:szCs w:val="24"/>
          <w:lang w:val="es-ES_tradnl"/>
        </w:rPr>
        <w:t>,87</w:t>
      </w:r>
      <w:r w:rsidR="00201AEC" w:rsidRPr="00DE5B29">
        <w:rPr>
          <w:rFonts w:ascii="Cambria" w:hAnsi="Cambria"/>
          <w:sz w:val="24"/>
          <w:szCs w:val="24"/>
          <w:lang w:val="es-ES_tradnl"/>
        </w:rPr>
        <w:t xml:space="preserve"> días.</w:t>
      </w:r>
      <w:r w:rsidR="00201AEC" w:rsidRPr="00F8465B">
        <w:rPr>
          <w:rFonts w:ascii="Cambria" w:hAnsi="Cambria"/>
          <w:sz w:val="24"/>
          <w:szCs w:val="24"/>
          <w:lang w:val="es-ES_tradnl"/>
        </w:rPr>
        <w:t xml:space="preserve"> </w:t>
      </w:r>
    </w:p>
    <w:p w14:paraId="1D3F0C6D" w14:textId="5912F8F8" w:rsidR="00DE5B29" w:rsidRDefault="00DE5B29">
      <w:pPr>
        <w:keepLines w:val="0"/>
        <w:widowControl/>
        <w:jc w:val="left"/>
        <w:rPr>
          <w:rFonts w:ascii="Cambria" w:hAnsi="Cambria"/>
          <w:sz w:val="24"/>
          <w:szCs w:val="24"/>
        </w:rPr>
      </w:pPr>
      <w:r>
        <w:rPr>
          <w:rFonts w:ascii="Cambria" w:hAnsi="Cambria"/>
          <w:sz w:val="24"/>
          <w:szCs w:val="24"/>
        </w:rPr>
        <w:br w:type="page"/>
      </w:r>
    </w:p>
    <w:p w14:paraId="47E61D95" w14:textId="77777777" w:rsidR="009D4ED2" w:rsidRPr="00F8465B" w:rsidRDefault="009D4ED2" w:rsidP="009D4ED2">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16CC781C" w14:textId="77777777" w:rsidR="00126610" w:rsidRPr="00F8465B" w:rsidRDefault="00126610" w:rsidP="00126610">
      <w:pPr>
        <w:keepLines w:val="0"/>
        <w:widowControl/>
        <w:numPr>
          <w:ilvl w:val="0"/>
          <w:numId w:val="13"/>
        </w:numPr>
        <w:tabs>
          <w:tab w:val="clear" w:pos="1080"/>
          <w:tab w:val="num" w:pos="540"/>
        </w:tabs>
        <w:ind w:left="0" w:firstLine="0"/>
        <w:rPr>
          <w:rFonts w:ascii="Cambria" w:eastAsia="Batang" w:hAnsi="Cambria"/>
          <w:b/>
          <w:sz w:val="24"/>
          <w:szCs w:val="24"/>
          <w:u w:val="single"/>
        </w:rPr>
      </w:pPr>
      <w:r w:rsidRPr="00F8465B">
        <w:rPr>
          <w:rFonts w:ascii="Cambria" w:eastAsia="Batang" w:hAnsi="Cambria"/>
          <w:b/>
          <w:sz w:val="24"/>
          <w:szCs w:val="24"/>
          <w:u w:val="single"/>
        </w:rPr>
        <w:t>HECHOS POSTERIORES</w:t>
      </w:r>
    </w:p>
    <w:p w14:paraId="3D287ABA" w14:textId="77777777" w:rsidR="00126610" w:rsidRPr="00F8465B" w:rsidRDefault="00126610" w:rsidP="00D207ED">
      <w:pPr>
        <w:pStyle w:val="toa"/>
        <w:keepLines/>
        <w:widowControl w:val="0"/>
        <w:tabs>
          <w:tab w:val="clear" w:pos="9000"/>
          <w:tab w:val="clear" w:pos="9360"/>
          <w:tab w:val="num" w:pos="1174"/>
        </w:tabs>
        <w:suppressAutoHyphens w:val="0"/>
        <w:ind w:left="1134" w:right="49"/>
        <w:jc w:val="both"/>
        <w:rPr>
          <w:rFonts w:ascii="Cambria" w:hAnsi="Cambria"/>
          <w:sz w:val="24"/>
          <w:szCs w:val="24"/>
          <w:lang w:val="es-ES_tradnl"/>
        </w:rPr>
      </w:pPr>
    </w:p>
    <w:p w14:paraId="372B0B6F" w14:textId="77777777" w:rsidR="00DF3D9C" w:rsidRDefault="00DF3D9C" w:rsidP="00DF3D9C">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r>
        <w:rPr>
          <w:rFonts w:ascii="Cambria" w:hAnsi="Cambria"/>
          <w:sz w:val="24"/>
          <w:szCs w:val="24"/>
          <w:lang w:val="es-ES_tradnl"/>
        </w:rPr>
        <w:t xml:space="preserve">Con fecha enero de 2021 </w:t>
      </w:r>
      <w:r w:rsidRPr="0086316A">
        <w:rPr>
          <w:rFonts w:ascii="Cambria" w:hAnsi="Cambria"/>
          <w:sz w:val="24"/>
          <w:szCs w:val="24"/>
          <w:lang w:val="es-ES_tradnl"/>
        </w:rPr>
        <w:t xml:space="preserve">COFIVACASA </w:t>
      </w:r>
      <w:r>
        <w:rPr>
          <w:rFonts w:ascii="Cambria" w:hAnsi="Cambria"/>
          <w:sz w:val="24"/>
          <w:szCs w:val="24"/>
          <w:lang w:val="es-ES_tradnl"/>
        </w:rPr>
        <w:t>pujó</w:t>
      </w:r>
      <w:r w:rsidRPr="0086316A">
        <w:rPr>
          <w:rFonts w:ascii="Cambria" w:hAnsi="Cambria"/>
          <w:sz w:val="24"/>
          <w:szCs w:val="24"/>
          <w:lang w:val="es-ES_tradnl"/>
        </w:rPr>
        <w:t xml:space="preserve"> en la subasta </w:t>
      </w:r>
      <w:r>
        <w:rPr>
          <w:rFonts w:ascii="Cambria" w:hAnsi="Cambria"/>
          <w:sz w:val="24"/>
          <w:szCs w:val="24"/>
          <w:lang w:val="es-ES_tradnl"/>
        </w:rPr>
        <w:t xml:space="preserve">pública </w:t>
      </w:r>
      <w:r w:rsidRPr="0086316A">
        <w:rPr>
          <w:rFonts w:ascii="Cambria" w:hAnsi="Cambria"/>
          <w:sz w:val="24"/>
          <w:szCs w:val="24"/>
          <w:lang w:val="es-ES_tradnl"/>
        </w:rPr>
        <w:t xml:space="preserve">del inmueble que </w:t>
      </w:r>
      <w:r>
        <w:rPr>
          <w:rFonts w:ascii="Cambria" w:hAnsi="Cambria"/>
          <w:sz w:val="24"/>
          <w:szCs w:val="24"/>
          <w:lang w:val="es-ES_tradnl"/>
        </w:rPr>
        <w:t>constituye su</w:t>
      </w:r>
      <w:r w:rsidRPr="0086316A">
        <w:rPr>
          <w:rFonts w:ascii="Cambria" w:hAnsi="Cambria"/>
          <w:sz w:val="24"/>
          <w:szCs w:val="24"/>
          <w:lang w:val="es-ES_tradnl"/>
        </w:rPr>
        <w:t xml:space="preserve"> actual domicilio social. El importe de la puja fue de</w:t>
      </w:r>
      <w:r>
        <w:rPr>
          <w:rFonts w:ascii="Cambria" w:hAnsi="Cambria"/>
          <w:sz w:val="24"/>
          <w:szCs w:val="24"/>
          <w:lang w:val="es-ES_tradnl"/>
        </w:rPr>
        <w:t xml:space="preserve"> 3.363 miles de euros</w:t>
      </w:r>
      <w:r w:rsidRPr="0086316A">
        <w:rPr>
          <w:rFonts w:ascii="Cambria" w:hAnsi="Cambria"/>
          <w:sz w:val="24"/>
          <w:szCs w:val="24"/>
          <w:lang w:val="es-ES_tradnl"/>
        </w:rPr>
        <w:t xml:space="preserve">, resultando COFIVACASA la adjudicataria del </w:t>
      </w:r>
      <w:r>
        <w:rPr>
          <w:rFonts w:ascii="Cambria" w:hAnsi="Cambria"/>
          <w:sz w:val="24"/>
          <w:szCs w:val="24"/>
          <w:lang w:val="es-ES_tradnl"/>
        </w:rPr>
        <w:t>i</w:t>
      </w:r>
      <w:r w:rsidRPr="0086316A">
        <w:rPr>
          <w:rFonts w:ascii="Cambria" w:hAnsi="Cambria"/>
          <w:sz w:val="24"/>
          <w:szCs w:val="24"/>
          <w:lang w:val="es-ES_tradnl"/>
        </w:rPr>
        <w:t>nmueble.</w:t>
      </w:r>
    </w:p>
    <w:p w14:paraId="09626404" w14:textId="77777777" w:rsidR="00DF3D9C" w:rsidRDefault="00DF3D9C" w:rsidP="00DF3D9C">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1EA393E5" w14:textId="77777777" w:rsidR="00DF3D9C" w:rsidRDefault="00DF3D9C" w:rsidP="00DF3D9C">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r w:rsidRPr="00F460A2">
        <w:rPr>
          <w:rFonts w:ascii="Cambria" w:hAnsi="Cambria"/>
          <w:sz w:val="24"/>
          <w:szCs w:val="24"/>
          <w:lang w:val="es-ES_tradnl"/>
        </w:rPr>
        <w:t xml:space="preserve">El Tribunal Superior de Justicia del País Vasco emitió sentencia el 2 de febrero de 2021, en relación con </w:t>
      </w:r>
      <w:r>
        <w:rPr>
          <w:rFonts w:ascii="Cambria" w:hAnsi="Cambria"/>
          <w:sz w:val="24"/>
          <w:szCs w:val="24"/>
          <w:lang w:val="es-ES_tradnl"/>
        </w:rPr>
        <w:t>el</w:t>
      </w:r>
      <w:r w:rsidRPr="00F460A2">
        <w:rPr>
          <w:rFonts w:ascii="Cambria" w:hAnsi="Cambria"/>
          <w:sz w:val="24"/>
          <w:szCs w:val="24"/>
          <w:lang w:val="es-ES_tradnl"/>
        </w:rPr>
        <w:t xml:space="preserve"> pleito de </w:t>
      </w:r>
      <w:r>
        <w:rPr>
          <w:rFonts w:ascii="Cambria" w:hAnsi="Cambria"/>
          <w:sz w:val="24"/>
          <w:szCs w:val="24"/>
          <w:lang w:val="es-ES_tradnl"/>
        </w:rPr>
        <w:t xml:space="preserve">integración en plantilla de </w:t>
      </w:r>
      <w:r w:rsidRPr="00F460A2">
        <w:rPr>
          <w:rFonts w:ascii="Cambria" w:hAnsi="Cambria"/>
          <w:sz w:val="24"/>
          <w:szCs w:val="24"/>
          <w:lang w:val="es-ES_tradnl"/>
        </w:rPr>
        <w:t>54 demandantes, admitiendo parcialmente el recurso contra el Auto de 2 de marzo de 2020, y condenando al pago de determinadas cantidades.</w:t>
      </w:r>
      <w:r>
        <w:rPr>
          <w:rFonts w:ascii="Cambria" w:hAnsi="Cambria"/>
          <w:sz w:val="24"/>
          <w:szCs w:val="24"/>
          <w:lang w:val="es-ES_tradnl"/>
        </w:rPr>
        <w:t xml:space="preserve"> </w:t>
      </w:r>
      <w:r w:rsidRPr="00D86D55">
        <w:rPr>
          <w:rFonts w:ascii="Cambria" w:hAnsi="Cambria"/>
          <w:sz w:val="24"/>
          <w:szCs w:val="24"/>
          <w:lang w:val="es-ES"/>
        </w:rPr>
        <w:t>Dicha sentencia fue aclarada por el Tribunal el 16 de febrero de 2020.</w:t>
      </w:r>
      <w:r>
        <w:rPr>
          <w:rFonts w:ascii="Cambria" w:hAnsi="Cambria"/>
          <w:sz w:val="24"/>
          <w:szCs w:val="24"/>
          <w:lang w:val="es-ES_tradnl"/>
        </w:rPr>
        <w:t xml:space="preserve"> </w:t>
      </w:r>
      <w:r w:rsidRPr="00DA0147">
        <w:rPr>
          <w:rFonts w:ascii="Cambria" w:hAnsi="Cambria"/>
          <w:sz w:val="24"/>
          <w:szCs w:val="24"/>
          <w:lang w:val="es-ES_tradnl"/>
        </w:rPr>
        <w:t>Esta sentencia está en proceso de recurso ante el Supremo.</w:t>
      </w:r>
    </w:p>
    <w:p w14:paraId="046D72A4" w14:textId="77777777" w:rsidR="00DF3D9C" w:rsidRDefault="00DF3D9C" w:rsidP="00DF3D9C">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75D3A4C3" w14:textId="77777777" w:rsidR="00DF3D9C" w:rsidRDefault="00DF3D9C" w:rsidP="00DF3D9C">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r>
        <w:rPr>
          <w:rFonts w:ascii="Cambria" w:hAnsi="Cambria"/>
          <w:sz w:val="24"/>
          <w:szCs w:val="24"/>
          <w:lang w:val="es-ES_tradnl"/>
        </w:rPr>
        <w:t>Por otro lado, no ha sido abonada a su vencimiento de fecha 22 de marzo de 2021 la cuota de un préstamo a largo plazo cuyo importe asciende a 242 miles de euros de principal. El grupo deudor sigue negociando el plan de viabilidad y ha iniciado la solicitud de ayudas públicas, con cargo al Fondo de Solvencia aprobado.</w:t>
      </w:r>
    </w:p>
    <w:p w14:paraId="5364CCF7" w14:textId="77777777" w:rsidR="00DF3D9C" w:rsidRDefault="00DF3D9C" w:rsidP="00DF3D9C">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6F1FF30C" w14:textId="77777777" w:rsidR="00E43D9C" w:rsidRDefault="00DF3D9C" w:rsidP="00E43D9C">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r w:rsidRPr="00A73506">
        <w:rPr>
          <w:rFonts w:ascii="Cambria" w:hAnsi="Cambria"/>
          <w:sz w:val="24"/>
          <w:szCs w:val="24"/>
          <w:lang w:val="es-ES_tradnl"/>
        </w:rPr>
        <w:t xml:space="preserve">La Sociedad Estatal de Participaciones </w:t>
      </w:r>
      <w:r w:rsidRPr="00CA5836">
        <w:rPr>
          <w:rFonts w:ascii="Cambria" w:hAnsi="Cambria"/>
          <w:sz w:val="24"/>
          <w:szCs w:val="24"/>
          <w:lang w:val="es-ES_tradnl"/>
        </w:rPr>
        <w:t>Industriales (SEPI), Accionista Único de COFIVACASA, en su Junta General Extraordinaria de 25 de marzo de 2021, ha adoptado el acuerdo de realizar una aportación de socios por importe de 3.332 miles de euros para compensación de pérdidas con el objeto de reestablecer el</w:t>
      </w:r>
      <w:r w:rsidRPr="00D86D55">
        <w:rPr>
          <w:rFonts w:ascii="Cambria" w:hAnsi="Cambria"/>
          <w:sz w:val="24"/>
          <w:szCs w:val="24"/>
          <w:lang w:val="es-ES_tradnl"/>
        </w:rPr>
        <w:t xml:space="preserve"> equilibrio patrimonial de la compañía.</w:t>
      </w:r>
      <w:r w:rsidR="00E43D9C">
        <w:rPr>
          <w:rFonts w:ascii="Cambria" w:hAnsi="Cambria"/>
          <w:sz w:val="24"/>
          <w:szCs w:val="24"/>
          <w:lang w:val="es-ES_tradnl"/>
        </w:rPr>
        <w:t xml:space="preserve"> Dicha aportación ha sido realizada con fecha 26 de marzo de 2021.</w:t>
      </w:r>
    </w:p>
    <w:p w14:paraId="5D1810F2" w14:textId="37BC0B18" w:rsidR="00DF3D9C" w:rsidRDefault="00DF3D9C" w:rsidP="00DF3D9C">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36AD7540" w14:textId="77777777" w:rsidR="00147661" w:rsidRDefault="00147661" w:rsidP="00126610">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251725D1" w14:textId="174BC512" w:rsidR="009D4ED2" w:rsidRPr="00F8465B" w:rsidRDefault="009D4ED2" w:rsidP="00147661">
      <w:pPr>
        <w:keepLines w:val="0"/>
        <w:widowControl/>
        <w:numPr>
          <w:ilvl w:val="0"/>
          <w:numId w:val="13"/>
        </w:numPr>
        <w:tabs>
          <w:tab w:val="clear" w:pos="1080"/>
          <w:tab w:val="num" w:pos="540"/>
        </w:tabs>
        <w:ind w:left="0" w:firstLine="0"/>
        <w:rPr>
          <w:rFonts w:ascii="Cambria" w:eastAsia="Batang" w:hAnsi="Cambria"/>
          <w:b/>
          <w:sz w:val="24"/>
          <w:szCs w:val="24"/>
          <w:u w:val="single"/>
        </w:rPr>
      </w:pPr>
      <w:r w:rsidRPr="00F8465B">
        <w:rPr>
          <w:rFonts w:ascii="Cambria" w:eastAsia="Batang" w:hAnsi="Cambria"/>
          <w:b/>
          <w:sz w:val="24"/>
          <w:szCs w:val="24"/>
          <w:u w:val="single"/>
        </w:rPr>
        <w:t>RIESGOS DE NEGOCIO</w:t>
      </w:r>
    </w:p>
    <w:p w14:paraId="0412774E" w14:textId="77777777" w:rsidR="009D4ED2" w:rsidRPr="00F8465B" w:rsidRDefault="009D4ED2" w:rsidP="009D4ED2">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53779D89" w14:textId="1CDE3EA3" w:rsidR="009D4ED2" w:rsidRPr="00F8465B" w:rsidRDefault="009D4ED2" w:rsidP="009D4ED2">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r w:rsidRPr="00F8465B">
        <w:rPr>
          <w:rFonts w:ascii="Cambria" w:hAnsi="Cambria"/>
          <w:sz w:val="24"/>
          <w:szCs w:val="24"/>
          <w:lang w:val="es-ES_tradnl"/>
        </w:rPr>
        <w:t>En los ejercicios 20</w:t>
      </w:r>
      <w:r w:rsidR="00430E6A">
        <w:rPr>
          <w:rFonts w:ascii="Cambria" w:hAnsi="Cambria"/>
          <w:sz w:val="24"/>
          <w:szCs w:val="24"/>
          <w:lang w:val="es-ES_tradnl"/>
        </w:rPr>
        <w:t>20</w:t>
      </w:r>
      <w:r w:rsidRPr="00F8465B">
        <w:rPr>
          <w:rFonts w:ascii="Cambria" w:hAnsi="Cambria"/>
          <w:sz w:val="24"/>
          <w:szCs w:val="24"/>
          <w:lang w:val="es-ES_tradnl"/>
        </w:rPr>
        <w:t xml:space="preserve"> y 201</w:t>
      </w:r>
      <w:r w:rsidR="00430E6A">
        <w:rPr>
          <w:rFonts w:ascii="Cambria" w:hAnsi="Cambria"/>
          <w:sz w:val="24"/>
          <w:szCs w:val="24"/>
          <w:lang w:val="es-ES_tradnl"/>
        </w:rPr>
        <w:t>9</w:t>
      </w:r>
      <w:r w:rsidRPr="00F8465B">
        <w:rPr>
          <w:rFonts w:ascii="Cambria" w:hAnsi="Cambria"/>
          <w:sz w:val="24"/>
          <w:szCs w:val="24"/>
          <w:lang w:val="es-ES_tradnl"/>
        </w:rPr>
        <w:t xml:space="preserve">, la Sociedad ha facturado sus servicios, y gestionado sus compras, principalmente en la Euro zona. Este hecho hace que su exposición a riesgos de tipo de cambio sea muy baja. </w:t>
      </w:r>
    </w:p>
    <w:p w14:paraId="2EE3856F" w14:textId="77777777" w:rsidR="009D4ED2" w:rsidRPr="00F8465B" w:rsidRDefault="009D4ED2" w:rsidP="009D4ED2">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6982C60B" w14:textId="77777777" w:rsidR="009D4ED2" w:rsidRDefault="009D4ED2" w:rsidP="009D4ED2">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r w:rsidRPr="00F8465B">
        <w:rPr>
          <w:rFonts w:ascii="Cambria" w:hAnsi="Cambria"/>
          <w:sz w:val="24"/>
          <w:szCs w:val="24"/>
          <w:lang w:val="es-ES_tradnl"/>
        </w:rPr>
        <w:t>La gestión de riesgos en la Sociedad se sustancia en el propio sistema global de gestión y dentro del mismo en un conjunto de procedimientos específicos de actuación, cuyo objetivo es en primer lugar identificar, evaluar y mitigar los riesgos, y posteriormente tener un esquema de cobertura mediante seguros que garantice que las situaciones en que se materializan los riesgos incurridos no ponen en peligro la solvencia financiera de la Sociedad.</w:t>
      </w:r>
    </w:p>
    <w:p w14:paraId="58F48237" w14:textId="77777777" w:rsidR="009D4ED2" w:rsidRPr="00F8465B" w:rsidRDefault="009D4ED2" w:rsidP="009D4ED2">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3734593D" w14:textId="77777777" w:rsidR="009D4ED2" w:rsidRPr="00F8465B" w:rsidRDefault="009D4ED2" w:rsidP="009D4ED2">
      <w:pPr>
        <w:keepLines w:val="0"/>
        <w:widowControl/>
        <w:numPr>
          <w:ilvl w:val="0"/>
          <w:numId w:val="13"/>
        </w:numPr>
        <w:tabs>
          <w:tab w:val="clear" w:pos="1080"/>
          <w:tab w:val="num" w:pos="540"/>
        </w:tabs>
        <w:ind w:left="0" w:firstLine="0"/>
        <w:rPr>
          <w:rFonts w:ascii="Cambria" w:eastAsia="Batang" w:hAnsi="Cambria"/>
          <w:b/>
          <w:sz w:val="24"/>
          <w:szCs w:val="24"/>
          <w:u w:val="single"/>
        </w:rPr>
      </w:pPr>
      <w:r w:rsidRPr="00F8465B">
        <w:rPr>
          <w:rFonts w:ascii="Cambria" w:eastAsia="Batang" w:hAnsi="Cambria"/>
          <w:b/>
          <w:sz w:val="24"/>
          <w:szCs w:val="24"/>
          <w:u w:val="single"/>
        </w:rPr>
        <w:t>USO DE INSTRUMENTOS FINANCIEROS DERIVADOS</w:t>
      </w:r>
    </w:p>
    <w:p w14:paraId="6E504A28" w14:textId="77777777" w:rsidR="009D4ED2" w:rsidRPr="00F8465B" w:rsidRDefault="009D4ED2" w:rsidP="009D4ED2">
      <w:pPr>
        <w:pStyle w:val="toa"/>
        <w:keepLines/>
        <w:widowControl w:val="0"/>
        <w:tabs>
          <w:tab w:val="clear" w:pos="9000"/>
          <w:tab w:val="clear" w:pos="9360"/>
          <w:tab w:val="num" w:pos="1174"/>
        </w:tabs>
        <w:suppressAutoHyphens w:val="0"/>
        <w:ind w:left="540" w:right="49"/>
        <w:jc w:val="both"/>
        <w:rPr>
          <w:rFonts w:ascii="Cambria" w:hAnsi="Cambria"/>
          <w:sz w:val="24"/>
          <w:szCs w:val="24"/>
          <w:lang w:val="es-ES_tradnl"/>
        </w:rPr>
      </w:pPr>
    </w:p>
    <w:p w14:paraId="1939C7EF" w14:textId="4B25B5DD" w:rsidR="003D546F" w:rsidRPr="009A6D5F" w:rsidRDefault="009D4ED2" w:rsidP="002D6127">
      <w:pPr>
        <w:pStyle w:val="toa"/>
        <w:keepLines/>
        <w:widowControl w:val="0"/>
        <w:tabs>
          <w:tab w:val="clear" w:pos="9000"/>
          <w:tab w:val="clear" w:pos="9360"/>
          <w:tab w:val="num" w:pos="1174"/>
        </w:tabs>
        <w:suppressAutoHyphens w:val="0"/>
        <w:ind w:left="540" w:right="49"/>
        <w:jc w:val="both"/>
        <w:rPr>
          <w:rFonts w:ascii="Cambria" w:hAnsi="Cambria"/>
          <w:sz w:val="24"/>
          <w:szCs w:val="24"/>
          <w:lang w:val="es-ES"/>
        </w:rPr>
      </w:pPr>
      <w:r w:rsidRPr="009A6D5F">
        <w:rPr>
          <w:rFonts w:ascii="Cambria" w:hAnsi="Cambria"/>
          <w:sz w:val="24"/>
          <w:szCs w:val="24"/>
          <w:lang w:val="es-ES_tradnl"/>
        </w:rPr>
        <w:t>Al cierre de los ejercicios 20</w:t>
      </w:r>
      <w:r w:rsidR="00430E6A">
        <w:rPr>
          <w:rFonts w:ascii="Cambria" w:hAnsi="Cambria"/>
          <w:sz w:val="24"/>
          <w:szCs w:val="24"/>
          <w:lang w:val="es-ES_tradnl"/>
        </w:rPr>
        <w:t>20</w:t>
      </w:r>
      <w:r w:rsidRPr="009A6D5F">
        <w:rPr>
          <w:rFonts w:ascii="Cambria" w:hAnsi="Cambria"/>
          <w:sz w:val="24"/>
          <w:szCs w:val="24"/>
          <w:lang w:val="es-ES_tradnl"/>
        </w:rPr>
        <w:t xml:space="preserve"> y 201</w:t>
      </w:r>
      <w:r w:rsidR="00430E6A">
        <w:rPr>
          <w:rFonts w:ascii="Cambria" w:hAnsi="Cambria"/>
          <w:sz w:val="24"/>
          <w:szCs w:val="24"/>
          <w:lang w:val="es-ES_tradnl"/>
        </w:rPr>
        <w:t>9</w:t>
      </w:r>
      <w:r w:rsidRPr="009A6D5F">
        <w:rPr>
          <w:rFonts w:ascii="Cambria" w:hAnsi="Cambria"/>
          <w:sz w:val="24"/>
          <w:szCs w:val="24"/>
          <w:lang w:val="es-ES_tradnl"/>
        </w:rPr>
        <w:t>, la Sociedad no mantiene instrumentos financieros derivados. Tampoco los han mantenido durante ambos ejercicios.</w:t>
      </w:r>
    </w:p>
    <w:p w14:paraId="58B7E8C6" w14:textId="62006C55" w:rsidR="00147207" w:rsidRDefault="00147207">
      <w:pPr>
        <w:keepLines w:val="0"/>
        <w:widowControl/>
        <w:jc w:val="left"/>
        <w:rPr>
          <w:rFonts w:ascii="Cambria" w:hAnsi="Cambria"/>
          <w:sz w:val="24"/>
          <w:szCs w:val="24"/>
        </w:rPr>
      </w:pPr>
      <w:r>
        <w:rPr>
          <w:rFonts w:ascii="Cambria" w:hAnsi="Cambria"/>
          <w:sz w:val="24"/>
          <w:szCs w:val="24"/>
        </w:rPr>
        <w:br w:type="page"/>
      </w:r>
    </w:p>
    <w:p w14:paraId="4548DE7B" w14:textId="77777777" w:rsidR="00C019B7" w:rsidRPr="009A6D5F" w:rsidRDefault="00C019B7" w:rsidP="000F52A6">
      <w:pPr>
        <w:pStyle w:val="toa"/>
        <w:keepLines/>
        <w:widowControl w:val="0"/>
        <w:tabs>
          <w:tab w:val="clear" w:pos="9000"/>
          <w:tab w:val="clear" w:pos="9360"/>
          <w:tab w:val="num" w:pos="1174"/>
        </w:tabs>
        <w:suppressAutoHyphens w:val="0"/>
        <w:ind w:right="49"/>
        <w:jc w:val="both"/>
        <w:rPr>
          <w:rFonts w:ascii="Cambria" w:hAnsi="Cambria"/>
          <w:sz w:val="24"/>
          <w:szCs w:val="24"/>
          <w:lang w:val="es-ES_tradnl"/>
        </w:rPr>
      </w:pPr>
    </w:p>
    <w:p w14:paraId="2269E2AD" w14:textId="77777777" w:rsidR="00C019B7" w:rsidRPr="009A6D5F" w:rsidRDefault="00C019B7" w:rsidP="0038002D">
      <w:pPr>
        <w:keepLines w:val="0"/>
        <w:widowControl/>
        <w:numPr>
          <w:ilvl w:val="0"/>
          <w:numId w:val="13"/>
        </w:numPr>
        <w:tabs>
          <w:tab w:val="clear" w:pos="1080"/>
          <w:tab w:val="num" w:pos="540"/>
        </w:tabs>
        <w:ind w:left="0" w:firstLine="0"/>
        <w:rPr>
          <w:rFonts w:ascii="Cambria" w:eastAsia="Batang" w:hAnsi="Cambria"/>
          <w:b/>
          <w:sz w:val="24"/>
          <w:szCs w:val="24"/>
          <w:u w:val="single"/>
        </w:rPr>
      </w:pPr>
      <w:r w:rsidRPr="009A6D5F">
        <w:rPr>
          <w:rFonts w:ascii="Cambria" w:eastAsia="Batang" w:hAnsi="Cambria"/>
          <w:b/>
          <w:sz w:val="24"/>
          <w:szCs w:val="24"/>
          <w:u w:val="single"/>
        </w:rPr>
        <w:t>INFORMACION MEDIOAMBIENTAL</w:t>
      </w:r>
    </w:p>
    <w:p w14:paraId="5329CC28" w14:textId="77777777" w:rsidR="00C019B7" w:rsidRPr="009A6D5F" w:rsidRDefault="00C019B7" w:rsidP="00C019B7">
      <w:pPr>
        <w:pStyle w:val="toa"/>
        <w:keepLines/>
        <w:widowControl w:val="0"/>
        <w:tabs>
          <w:tab w:val="clear" w:pos="9000"/>
          <w:tab w:val="clear" w:pos="9360"/>
        </w:tabs>
        <w:suppressAutoHyphens w:val="0"/>
        <w:ind w:right="49"/>
        <w:jc w:val="both"/>
        <w:rPr>
          <w:rFonts w:ascii="Cambria" w:hAnsi="Cambria"/>
          <w:sz w:val="24"/>
          <w:szCs w:val="24"/>
          <w:lang w:val="es-ES_tradnl"/>
        </w:rPr>
      </w:pPr>
    </w:p>
    <w:p w14:paraId="0589F50C" w14:textId="7CD5827F" w:rsidR="00C019B7" w:rsidRPr="009A6D5F" w:rsidRDefault="00C019B7" w:rsidP="00BF0B50">
      <w:pPr>
        <w:pStyle w:val="Ttulo1a"/>
        <w:ind w:left="567"/>
        <w:rPr>
          <w:rFonts w:ascii="Cambria" w:hAnsi="Cambria"/>
          <w:sz w:val="24"/>
          <w:szCs w:val="24"/>
        </w:rPr>
      </w:pPr>
      <w:r w:rsidRPr="009A6D5F">
        <w:rPr>
          <w:rFonts w:ascii="Cambria" w:hAnsi="Cambria"/>
          <w:sz w:val="24"/>
          <w:szCs w:val="24"/>
        </w:rPr>
        <w:t xml:space="preserve">Dentro de los planes de abandono de la producción y cierre de la mina de Cala (proveniente de la empresa absorbida </w:t>
      </w:r>
      <w:r w:rsidR="009D1B5C">
        <w:rPr>
          <w:rFonts w:ascii="Cambria" w:hAnsi="Cambria"/>
          <w:sz w:val="24"/>
          <w:szCs w:val="24"/>
        </w:rPr>
        <w:t>PRESUR)</w:t>
      </w:r>
      <w:r w:rsidRPr="009A6D5F">
        <w:rPr>
          <w:rFonts w:ascii="Cambria" w:hAnsi="Cambria"/>
          <w:sz w:val="24"/>
          <w:szCs w:val="24"/>
        </w:rPr>
        <w:t xml:space="preserve">, y para cumplir con la legislación medioambiental, se realizó en el año 2002 un proyecto de restauración de la mina, en el que se recogían las medidas y trabajos a realizar para cumplir con dicha legislación. En el ejercicio 2003 se comenzaron dichos trabajos de restauración, habiéndose continuado con los mismos en los años siguientes. </w:t>
      </w:r>
      <w:r w:rsidR="00A866F1" w:rsidRPr="009A6D5F">
        <w:rPr>
          <w:rFonts w:ascii="Cambria" w:hAnsi="Cambria"/>
          <w:sz w:val="24"/>
          <w:szCs w:val="24"/>
        </w:rPr>
        <w:t>La finalización de dichos trabajos está condicionada por el tema de los posibles derechos mineros.</w:t>
      </w:r>
    </w:p>
    <w:p w14:paraId="188A9106" w14:textId="77777777" w:rsidR="00A866F1" w:rsidRPr="009A6D5F" w:rsidRDefault="00A866F1" w:rsidP="00C019B7">
      <w:pPr>
        <w:pStyle w:val="toa"/>
        <w:keepLines/>
        <w:widowControl w:val="0"/>
        <w:tabs>
          <w:tab w:val="clear" w:pos="9000"/>
          <w:tab w:val="clear" w:pos="9360"/>
        </w:tabs>
        <w:suppressAutoHyphens w:val="0"/>
        <w:ind w:left="567" w:right="49"/>
        <w:jc w:val="both"/>
        <w:rPr>
          <w:rFonts w:ascii="Cambria" w:hAnsi="Cambria"/>
          <w:sz w:val="24"/>
          <w:szCs w:val="24"/>
          <w:lang w:val="es-ES_tradnl"/>
        </w:rPr>
      </w:pPr>
    </w:p>
    <w:p w14:paraId="16EA477C" w14:textId="77777777" w:rsidR="00A866F1" w:rsidRPr="00F8465B" w:rsidRDefault="00A866F1" w:rsidP="00C019B7">
      <w:pPr>
        <w:pStyle w:val="toa"/>
        <w:keepLines/>
        <w:widowControl w:val="0"/>
        <w:tabs>
          <w:tab w:val="clear" w:pos="9000"/>
          <w:tab w:val="clear" w:pos="9360"/>
        </w:tabs>
        <w:suppressAutoHyphens w:val="0"/>
        <w:ind w:left="567" w:right="49"/>
        <w:jc w:val="both"/>
        <w:rPr>
          <w:rFonts w:ascii="Cambria" w:hAnsi="Cambria"/>
          <w:sz w:val="24"/>
          <w:szCs w:val="24"/>
          <w:lang w:val="es-ES_tradnl"/>
        </w:rPr>
      </w:pPr>
      <w:r w:rsidRPr="009A6D5F">
        <w:rPr>
          <w:rFonts w:ascii="Cambria" w:hAnsi="Cambria"/>
          <w:sz w:val="24"/>
          <w:szCs w:val="24"/>
          <w:lang w:val="es-ES_tradnl"/>
        </w:rPr>
        <w:t>La sociedad no cuenta con ningún</w:t>
      </w:r>
      <w:r w:rsidRPr="00F8465B">
        <w:rPr>
          <w:rFonts w:ascii="Cambria" w:hAnsi="Cambria"/>
          <w:sz w:val="24"/>
          <w:szCs w:val="24"/>
          <w:lang w:val="es-ES_tradnl"/>
        </w:rPr>
        <w:t xml:space="preserve"> inmovilizado que tenga actividad industrial</w:t>
      </w:r>
      <w:r w:rsidR="00A7353A" w:rsidRPr="00F8465B">
        <w:rPr>
          <w:rFonts w:ascii="Cambria" w:hAnsi="Cambria"/>
          <w:sz w:val="24"/>
          <w:szCs w:val="24"/>
          <w:lang w:val="es-ES_tradnl"/>
        </w:rPr>
        <w:t>.</w:t>
      </w:r>
    </w:p>
    <w:p w14:paraId="34C50B48" w14:textId="77777777" w:rsidR="00A7353A" w:rsidRPr="00F8465B" w:rsidRDefault="00A7353A" w:rsidP="00C019B7">
      <w:pPr>
        <w:pStyle w:val="toa"/>
        <w:keepLines/>
        <w:widowControl w:val="0"/>
        <w:tabs>
          <w:tab w:val="clear" w:pos="9000"/>
          <w:tab w:val="clear" w:pos="9360"/>
        </w:tabs>
        <w:suppressAutoHyphens w:val="0"/>
        <w:ind w:left="567" w:right="49"/>
        <w:jc w:val="both"/>
        <w:rPr>
          <w:rFonts w:ascii="Cambria" w:hAnsi="Cambria"/>
          <w:sz w:val="24"/>
          <w:szCs w:val="24"/>
          <w:lang w:val="es-ES_tradnl"/>
        </w:rPr>
      </w:pPr>
    </w:p>
    <w:p w14:paraId="064E9B95" w14:textId="77777777" w:rsidR="00C019B7" w:rsidRPr="00F8465B" w:rsidRDefault="00C019B7" w:rsidP="000F52A6">
      <w:pPr>
        <w:pStyle w:val="toa"/>
        <w:keepLines/>
        <w:widowControl w:val="0"/>
        <w:tabs>
          <w:tab w:val="clear" w:pos="9000"/>
          <w:tab w:val="clear" w:pos="9360"/>
          <w:tab w:val="num" w:pos="1174"/>
        </w:tabs>
        <w:suppressAutoHyphens w:val="0"/>
        <w:ind w:right="49"/>
        <w:jc w:val="both"/>
        <w:rPr>
          <w:rFonts w:ascii="Cambria" w:hAnsi="Cambria"/>
          <w:sz w:val="24"/>
          <w:szCs w:val="24"/>
          <w:lang w:val="es-ES_tradnl"/>
        </w:rPr>
      </w:pPr>
    </w:p>
    <w:p w14:paraId="10B34F1D" w14:textId="56099373" w:rsidR="00CE5B9D" w:rsidRPr="00F8465B" w:rsidRDefault="00F063E7" w:rsidP="00CE5B9D">
      <w:pPr>
        <w:tabs>
          <w:tab w:val="num" w:pos="1174"/>
        </w:tabs>
        <w:ind w:right="49"/>
        <w:jc w:val="right"/>
        <w:rPr>
          <w:rFonts w:ascii="Cambria" w:hAnsi="Cambria"/>
          <w:sz w:val="24"/>
          <w:szCs w:val="24"/>
          <w:lang w:val="es-ES"/>
        </w:rPr>
      </w:pPr>
      <w:r w:rsidRPr="00CA5836">
        <w:rPr>
          <w:rFonts w:ascii="Cambria" w:hAnsi="Cambria"/>
          <w:sz w:val="24"/>
          <w:szCs w:val="24"/>
          <w:lang w:val="es-ES"/>
        </w:rPr>
        <w:t>Madrid,</w:t>
      </w:r>
      <w:r w:rsidR="00531725" w:rsidRPr="00CA5836">
        <w:rPr>
          <w:rFonts w:ascii="Cambria" w:hAnsi="Cambria"/>
          <w:sz w:val="24"/>
          <w:szCs w:val="24"/>
          <w:lang w:val="es-ES"/>
        </w:rPr>
        <w:t xml:space="preserve"> </w:t>
      </w:r>
      <w:r w:rsidR="00147207" w:rsidRPr="00CA5836">
        <w:rPr>
          <w:rFonts w:ascii="Cambria" w:hAnsi="Cambria"/>
          <w:sz w:val="24"/>
          <w:szCs w:val="24"/>
          <w:lang w:val="es-ES"/>
        </w:rPr>
        <w:t xml:space="preserve">29 </w:t>
      </w:r>
      <w:r w:rsidR="00CE5B9D" w:rsidRPr="00CA5836">
        <w:rPr>
          <w:rFonts w:ascii="Cambria" w:hAnsi="Cambria"/>
          <w:sz w:val="24"/>
          <w:szCs w:val="24"/>
          <w:lang w:val="es-ES"/>
        </w:rPr>
        <w:t xml:space="preserve">de </w:t>
      </w:r>
      <w:r w:rsidR="00147661" w:rsidRPr="00CA5836">
        <w:rPr>
          <w:rFonts w:ascii="Cambria" w:hAnsi="Cambria"/>
          <w:sz w:val="24"/>
          <w:szCs w:val="24"/>
          <w:lang w:val="es-ES"/>
        </w:rPr>
        <w:t xml:space="preserve">marzo </w:t>
      </w:r>
      <w:r w:rsidR="00CE5B9D" w:rsidRPr="00CA5836">
        <w:rPr>
          <w:rFonts w:ascii="Cambria" w:hAnsi="Cambria"/>
          <w:sz w:val="24"/>
          <w:szCs w:val="24"/>
          <w:lang w:val="es-ES"/>
        </w:rPr>
        <w:t>de 20</w:t>
      </w:r>
      <w:r w:rsidR="005C6D46" w:rsidRPr="00CA5836">
        <w:rPr>
          <w:rFonts w:ascii="Cambria" w:hAnsi="Cambria"/>
          <w:sz w:val="24"/>
          <w:szCs w:val="24"/>
          <w:lang w:val="es-ES"/>
        </w:rPr>
        <w:t>2</w:t>
      </w:r>
      <w:r w:rsidR="00430E6A" w:rsidRPr="00CA5836">
        <w:rPr>
          <w:rFonts w:ascii="Cambria" w:hAnsi="Cambria"/>
          <w:sz w:val="24"/>
          <w:szCs w:val="24"/>
          <w:lang w:val="es-ES"/>
        </w:rPr>
        <w:t>1</w:t>
      </w:r>
    </w:p>
    <w:p w14:paraId="49EED6EA" w14:textId="7874E6B4" w:rsidR="00CE5B9D" w:rsidRDefault="00CE5B9D" w:rsidP="00CE5B9D">
      <w:pPr>
        <w:tabs>
          <w:tab w:val="num" w:pos="1174"/>
        </w:tabs>
        <w:ind w:left="540" w:right="49"/>
        <w:rPr>
          <w:rFonts w:ascii="Cambria" w:hAnsi="Cambria"/>
          <w:sz w:val="24"/>
          <w:szCs w:val="24"/>
        </w:rPr>
      </w:pPr>
    </w:p>
    <w:p w14:paraId="37C36FC4" w14:textId="44027BC0" w:rsidR="00DA4445" w:rsidRDefault="00DA4445" w:rsidP="00CE5B9D">
      <w:pPr>
        <w:tabs>
          <w:tab w:val="num" w:pos="1174"/>
        </w:tabs>
        <w:ind w:left="540" w:right="49"/>
        <w:rPr>
          <w:rFonts w:ascii="Cambria" w:hAnsi="Cambria"/>
          <w:sz w:val="24"/>
          <w:szCs w:val="24"/>
        </w:rPr>
      </w:pPr>
    </w:p>
    <w:p w14:paraId="2E523B09" w14:textId="23AF8A49" w:rsidR="00E43D9C" w:rsidRDefault="00E43D9C" w:rsidP="00CE5B9D">
      <w:pPr>
        <w:tabs>
          <w:tab w:val="num" w:pos="1174"/>
        </w:tabs>
        <w:ind w:left="540" w:right="49"/>
        <w:rPr>
          <w:rFonts w:ascii="Cambria" w:hAnsi="Cambria"/>
          <w:sz w:val="24"/>
          <w:szCs w:val="24"/>
        </w:rPr>
      </w:pPr>
    </w:p>
    <w:p w14:paraId="2058C6F9" w14:textId="08D5F7A2" w:rsidR="00E43D9C" w:rsidRDefault="00E43D9C" w:rsidP="00CE5B9D">
      <w:pPr>
        <w:tabs>
          <w:tab w:val="num" w:pos="1174"/>
        </w:tabs>
        <w:ind w:left="540" w:right="49"/>
        <w:rPr>
          <w:rFonts w:ascii="Cambria" w:hAnsi="Cambria"/>
          <w:sz w:val="24"/>
          <w:szCs w:val="24"/>
        </w:rPr>
      </w:pPr>
    </w:p>
    <w:p w14:paraId="1389A5AC" w14:textId="77777777" w:rsidR="00E43D9C" w:rsidRDefault="00E43D9C" w:rsidP="00CE5B9D">
      <w:pPr>
        <w:tabs>
          <w:tab w:val="num" w:pos="1174"/>
        </w:tabs>
        <w:ind w:left="540" w:right="49"/>
        <w:rPr>
          <w:rFonts w:ascii="Cambria" w:hAnsi="Cambria"/>
          <w:sz w:val="24"/>
          <w:szCs w:val="24"/>
        </w:rPr>
      </w:pPr>
    </w:p>
    <w:p w14:paraId="206891DC" w14:textId="77777777" w:rsidR="00DA4445" w:rsidRPr="00F8465B" w:rsidRDefault="00DA4445" w:rsidP="00CE5B9D">
      <w:pPr>
        <w:tabs>
          <w:tab w:val="num" w:pos="1174"/>
        </w:tabs>
        <w:ind w:left="540" w:right="49"/>
        <w:rPr>
          <w:rFonts w:ascii="Cambria" w:hAnsi="Cambria"/>
          <w:sz w:val="24"/>
          <w:szCs w:val="24"/>
        </w:rPr>
      </w:pPr>
    </w:p>
    <w:p w14:paraId="6AB79E81" w14:textId="7D0E2FC8" w:rsidR="00CE5B9D" w:rsidRPr="00D96A4F" w:rsidRDefault="00CE5B9D" w:rsidP="00CE5B9D">
      <w:pPr>
        <w:tabs>
          <w:tab w:val="left" w:pos="720"/>
          <w:tab w:val="right" w:pos="8504"/>
        </w:tabs>
        <w:jc w:val="left"/>
        <w:rPr>
          <w:rFonts w:ascii="Cambria" w:hAnsi="Cambria"/>
          <w:sz w:val="24"/>
          <w:szCs w:val="24"/>
        </w:rPr>
      </w:pPr>
      <w:r w:rsidRPr="00F8465B">
        <w:rPr>
          <w:rFonts w:ascii="Cambria" w:hAnsi="Cambria"/>
          <w:sz w:val="24"/>
          <w:szCs w:val="24"/>
        </w:rPr>
        <w:t>Fdo.:</w:t>
      </w:r>
      <w:r w:rsidRPr="00F8465B">
        <w:rPr>
          <w:rFonts w:ascii="Cambria" w:hAnsi="Cambria"/>
          <w:sz w:val="24"/>
          <w:szCs w:val="24"/>
        </w:rPr>
        <w:tab/>
      </w:r>
      <w:r w:rsidR="005C6D46">
        <w:rPr>
          <w:rFonts w:ascii="Cambria" w:hAnsi="Cambria"/>
          <w:sz w:val="24"/>
          <w:szCs w:val="24"/>
        </w:rPr>
        <w:t>Jorge Pipaón Pulido</w:t>
      </w:r>
    </w:p>
    <w:p w14:paraId="2148B05A" w14:textId="77777777" w:rsidR="00CE5B9D" w:rsidRPr="00CE5B9D" w:rsidRDefault="00E940E5" w:rsidP="00CE5B9D">
      <w:pPr>
        <w:tabs>
          <w:tab w:val="left" w:pos="720"/>
          <w:tab w:val="right" w:pos="8504"/>
        </w:tabs>
        <w:ind w:left="709"/>
        <w:jc w:val="left"/>
        <w:rPr>
          <w:rFonts w:ascii="Cambria" w:hAnsi="Cambria"/>
          <w:sz w:val="24"/>
          <w:szCs w:val="24"/>
        </w:rPr>
      </w:pPr>
      <w:r w:rsidRPr="00D96A4F">
        <w:rPr>
          <w:rFonts w:ascii="Cambria" w:hAnsi="Cambria"/>
          <w:sz w:val="24"/>
          <w:szCs w:val="24"/>
        </w:rPr>
        <w:t>Administrador</w:t>
      </w:r>
      <w:r w:rsidR="00CE5B9D" w:rsidRPr="00D96A4F">
        <w:rPr>
          <w:rFonts w:ascii="Cambria" w:hAnsi="Cambria"/>
          <w:sz w:val="24"/>
          <w:szCs w:val="24"/>
        </w:rPr>
        <w:t xml:space="preserve"> </w:t>
      </w:r>
      <w:r w:rsidRPr="00D96A4F">
        <w:rPr>
          <w:rFonts w:ascii="Cambria" w:hAnsi="Cambria"/>
          <w:sz w:val="24"/>
          <w:szCs w:val="24"/>
        </w:rPr>
        <w:t>Único</w:t>
      </w:r>
    </w:p>
    <w:p w14:paraId="7CA23F56" w14:textId="77777777" w:rsidR="00990666" w:rsidRPr="00F66CFE" w:rsidRDefault="00990666" w:rsidP="00CE5B9D">
      <w:pPr>
        <w:pStyle w:val="toa"/>
        <w:keepLines/>
        <w:widowControl w:val="0"/>
        <w:tabs>
          <w:tab w:val="clear" w:pos="9000"/>
          <w:tab w:val="clear" w:pos="9360"/>
          <w:tab w:val="num" w:pos="1174"/>
        </w:tabs>
        <w:suppressAutoHyphens w:val="0"/>
        <w:ind w:right="49"/>
        <w:jc w:val="both"/>
        <w:rPr>
          <w:rFonts w:ascii="Cambria" w:hAnsi="Cambria"/>
          <w:sz w:val="24"/>
          <w:szCs w:val="24"/>
          <w:lang w:val="es-ES"/>
        </w:rPr>
      </w:pPr>
    </w:p>
    <w:sectPr w:rsidR="00990666" w:rsidRPr="00F66CFE" w:rsidSect="00C735D0">
      <w:headerReference w:type="even" r:id="rId36"/>
      <w:headerReference w:type="default" r:id="rId37"/>
      <w:headerReference w:type="first" r:id="rId38"/>
      <w:pgSz w:w="11906" w:h="16838" w:code="9"/>
      <w:pgMar w:top="284" w:right="1133" w:bottom="284" w:left="1701" w:header="62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45DDD" w14:textId="77777777" w:rsidR="009D204C" w:rsidRDefault="009D204C">
      <w:r>
        <w:separator/>
      </w:r>
    </w:p>
  </w:endnote>
  <w:endnote w:type="continuationSeparator" w:id="0">
    <w:p w14:paraId="1C36F066" w14:textId="77777777" w:rsidR="009D204C" w:rsidRDefault="009D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037FE" w14:textId="77777777" w:rsidR="005B1D74" w:rsidRDefault="005B1D74" w:rsidP="00C46A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D80EFAD" w14:textId="77777777" w:rsidR="005B1D74" w:rsidRDefault="005B1D74" w:rsidP="00C46A0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A2C3B" w14:textId="77777777" w:rsidR="005B1D74" w:rsidRDefault="005B1D7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09F89C1" w14:textId="77777777" w:rsidR="005B1D74" w:rsidRDefault="005B1D74">
    <w:pPr>
      <w:spacing w:before="140" w:line="100" w:lineRule="exact"/>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929F1" w14:textId="77777777" w:rsidR="005B1D74" w:rsidRDefault="005B1D74" w:rsidP="00C46A04">
    <w:pPr>
      <w:pStyle w:val="Piedepgina"/>
      <w:framePr w:wrap="around" w:vAnchor="text" w:hAnchor="margin" w:xAlign="right" w:y="1"/>
      <w:rPr>
        <w:rStyle w:val="Nmerodepgina"/>
      </w:rPr>
    </w:pPr>
  </w:p>
  <w:p w14:paraId="12AAE53C" w14:textId="77777777" w:rsidR="005B1D74" w:rsidRPr="00CD176B" w:rsidRDefault="005B1D74" w:rsidP="00CD176B"/>
  <w:p w14:paraId="4128EABD" w14:textId="77777777" w:rsidR="005B1D74" w:rsidRPr="00124CB0" w:rsidRDefault="005B1D74" w:rsidP="00124CB0">
    <w:pPr>
      <w:pStyle w:val="Piedepgina"/>
      <w:rPr>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C4D14" w14:textId="77777777" w:rsidR="005B1D74" w:rsidRDefault="005B1D74" w:rsidP="00BC592E">
    <w:pPr>
      <w:pStyle w:val="Piedepgina"/>
      <w:framePr w:wrap="around" w:vAnchor="text" w:hAnchor="margin" w:xAlign="right" w:y="1"/>
      <w:rPr>
        <w:rStyle w:val="Nmerodepgina"/>
      </w:rPr>
    </w:pPr>
  </w:p>
  <w:p w14:paraId="2CA5CB83" w14:textId="77777777" w:rsidR="005B1D74" w:rsidRPr="00084215" w:rsidRDefault="005B1D74" w:rsidP="00C46A04">
    <w:pPr>
      <w:spacing w:before="140" w:line="100" w:lineRule="exact"/>
      <w:ind w:right="360"/>
      <w:jc w:val="center"/>
      <w:rPr>
        <w:rFonts w:ascii="Cambria" w:hAnsi="Cambria" w:cs="Arial"/>
        <w:sz w:val="18"/>
      </w:rPr>
    </w:pPr>
    <w:r w:rsidRPr="00084215">
      <w:rPr>
        <w:rFonts w:ascii="Cambria" w:hAnsi="Cambria" w:cs="Arial"/>
        <w:snapToGrid w:val="0"/>
        <w:sz w:val="18"/>
        <w:szCs w:val="18"/>
      </w:rPr>
      <w:tab/>
      <w:t xml:space="preserve">- </w:t>
    </w:r>
    <w:r w:rsidRPr="00084215">
      <w:rPr>
        <w:rFonts w:ascii="Cambria" w:hAnsi="Cambria" w:cs="Arial"/>
        <w:snapToGrid w:val="0"/>
        <w:sz w:val="18"/>
        <w:szCs w:val="18"/>
      </w:rPr>
      <w:fldChar w:fldCharType="begin"/>
    </w:r>
    <w:r w:rsidRPr="00084215">
      <w:rPr>
        <w:rFonts w:ascii="Cambria" w:hAnsi="Cambria" w:cs="Arial"/>
        <w:snapToGrid w:val="0"/>
        <w:sz w:val="18"/>
        <w:szCs w:val="18"/>
      </w:rPr>
      <w:instrText xml:space="preserve"> PAGE </w:instrText>
    </w:r>
    <w:r w:rsidRPr="00084215">
      <w:rPr>
        <w:rFonts w:ascii="Cambria" w:hAnsi="Cambria" w:cs="Arial"/>
        <w:snapToGrid w:val="0"/>
        <w:sz w:val="18"/>
        <w:szCs w:val="18"/>
      </w:rPr>
      <w:fldChar w:fldCharType="separate"/>
    </w:r>
    <w:r>
      <w:rPr>
        <w:rFonts w:ascii="Cambria" w:hAnsi="Cambria" w:cs="Arial"/>
        <w:noProof/>
        <w:snapToGrid w:val="0"/>
        <w:sz w:val="18"/>
        <w:szCs w:val="18"/>
      </w:rPr>
      <w:t>1</w:t>
    </w:r>
    <w:r w:rsidRPr="00084215">
      <w:rPr>
        <w:rFonts w:ascii="Cambria" w:hAnsi="Cambria" w:cs="Arial"/>
        <w:snapToGrid w:val="0"/>
        <w:sz w:val="18"/>
        <w:szCs w:val="18"/>
      </w:rPr>
      <w:fldChar w:fldCharType="end"/>
    </w:r>
    <w:r w:rsidRPr="00084215">
      <w:rPr>
        <w:rFonts w:ascii="Cambria" w:hAnsi="Cambria" w:cs="Arial"/>
        <w:snapToGrid w:val="0"/>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68B23" w14:textId="77777777" w:rsidR="005B1D74" w:rsidRDefault="005B1D74" w:rsidP="004C1C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DA4B620" w14:textId="77777777" w:rsidR="005B1D74" w:rsidRDefault="005B1D74" w:rsidP="004C1CB2">
    <w:pPr>
      <w:pStyle w:val="Piedepgina"/>
      <w:framePr w:wrap="around" w:vAnchor="text" w:hAnchor="margin" w:xAlign="right" w:y="1"/>
      <w:ind w:right="360"/>
      <w:rPr>
        <w:rStyle w:val="Nmerodepgina"/>
      </w:rPr>
    </w:pPr>
  </w:p>
  <w:p w14:paraId="22EBBF7F" w14:textId="77777777" w:rsidR="005B1D74" w:rsidRPr="00E64A17" w:rsidRDefault="005B1D74" w:rsidP="00C46A04">
    <w:pPr>
      <w:pStyle w:val="Piedepgina"/>
      <w:ind w:right="360"/>
      <w:jc w:val="center"/>
      <w:rPr>
        <w:rFonts w:ascii="Arial" w:hAnsi="Arial" w:cs="Arial"/>
        <w:sz w:val="16"/>
        <w:szCs w:val="16"/>
      </w:rPr>
    </w:pPr>
    <w:r w:rsidRPr="00E64A17">
      <w:rPr>
        <w:rFonts w:ascii="Arial" w:hAnsi="Arial" w:cs="Arial"/>
        <w:sz w:val="16"/>
        <w:szCs w:val="16"/>
      </w:rPr>
      <w:t xml:space="preserve">Memoria de Cuentas Anuales </w:t>
    </w:r>
  </w:p>
  <w:p w14:paraId="491E24C2" w14:textId="77777777" w:rsidR="005B1D74" w:rsidRPr="00124CB0" w:rsidRDefault="005B1D74" w:rsidP="00124CB0">
    <w:pPr>
      <w:pStyle w:val="Piedepgina"/>
      <w:rPr>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D021D" w14:textId="77777777" w:rsidR="005B1D74" w:rsidRDefault="005B1D74" w:rsidP="00BC592E">
    <w:pPr>
      <w:pStyle w:val="Piedepgina"/>
      <w:framePr w:wrap="around" w:vAnchor="text" w:hAnchor="margin" w:xAlign="right" w:y="1"/>
      <w:rPr>
        <w:rStyle w:val="Nmerodepgina"/>
      </w:rPr>
    </w:pPr>
  </w:p>
  <w:p w14:paraId="11A6F0DF" w14:textId="77777777" w:rsidR="005B1D74" w:rsidRPr="00084215" w:rsidRDefault="005B1D74" w:rsidP="00C46A04">
    <w:pPr>
      <w:spacing w:before="140" w:line="100" w:lineRule="exact"/>
      <w:ind w:right="360"/>
      <w:jc w:val="center"/>
      <w:rPr>
        <w:rFonts w:ascii="Cambria" w:hAnsi="Cambria" w:cs="Arial"/>
        <w:sz w:val="18"/>
        <w:szCs w:val="18"/>
      </w:rPr>
    </w:pPr>
    <w:r w:rsidRPr="00084215">
      <w:rPr>
        <w:rFonts w:ascii="Cambria" w:hAnsi="Cambria" w:cs="Arial"/>
        <w:snapToGrid w:val="0"/>
        <w:sz w:val="18"/>
        <w:szCs w:val="18"/>
      </w:rPr>
      <w:t xml:space="preserve">- </w:t>
    </w:r>
    <w:r w:rsidRPr="00084215">
      <w:rPr>
        <w:rFonts w:ascii="Cambria" w:hAnsi="Cambria" w:cs="Arial"/>
        <w:snapToGrid w:val="0"/>
        <w:sz w:val="18"/>
        <w:szCs w:val="18"/>
      </w:rPr>
      <w:fldChar w:fldCharType="begin"/>
    </w:r>
    <w:r w:rsidRPr="00084215">
      <w:rPr>
        <w:rFonts w:ascii="Cambria" w:hAnsi="Cambria" w:cs="Arial"/>
        <w:snapToGrid w:val="0"/>
        <w:sz w:val="18"/>
        <w:szCs w:val="18"/>
      </w:rPr>
      <w:instrText xml:space="preserve"> PAGE </w:instrText>
    </w:r>
    <w:r w:rsidRPr="00084215">
      <w:rPr>
        <w:rFonts w:ascii="Cambria" w:hAnsi="Cambria" w:cs="Arial"/>
        <w:snapToGrid w:val="0"/>
        <w:sz w:val="18"/>
        <w:szCs w:val="18"/>
      </w:rPr>
      <w:fldChar w:fldCharType="separate"/>
    </w:r>
    <w:r>
      <w:rPr>
        <w:rFonts w:ascii="Cambria" w:hAnsi="Cambria" w:cs="Arial"/>
        <w:noProof/>
        <w:snapToGrid w:val="0"/>
        <w:sz w:val="18"/>
        <w:szCs w:val="18"/>
      </w:rPr>
      <w:t>52</w:t>
    </w:r>
    <w:r w:rsidRPr="00084215">
      <w:rPr>
        <w:rFonts w:ascii="Cambria" w:hAnsi="Cambria" w:cs="Arial"/>
        <w:snapToGrid w:val="0"/>
        <w:sz w:val="18"/>
        <w:szCs w:val="18"/>
      </w:rPr>
      <w:fldChar w:fldCharType="end"/>
    </w:r>
    <w:r w:rsidRPr="00084215">
      <w:rPr>
        <w:rFonts w:ascii="Cambria" w:hAnsi="Cambria" w:cs="Arial"/>
        <w:snapToGrid w:val="0"/>
        <w:sz w:val="18"/>
        <w:szCs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86336" w14:textId="77777777" w:rsidR="005B1D74" w:rsidRDefault="005B1D74" w:rsidP="00C46A04">
    <w:pPr>
      <w:pStyle w:val="Piedepgina"/>
      <w:framePr w:wrap="around" w:vAnchor="text" w:hAnchor="margin" w:xAlign="right" w:y="1"/>
      <w:rPr>
        <w:rStyle w:val="Nmerodepgina"/>
      </w:rPr>
    </w:pPr>
  </w:p>
  <w:p w14:paraId="4BB30F45" w14:textId="77777777" w:rsidR="005B1D74" w:rsidRPr="00084215" w:rsidRDefault="005B1D74" w:rsidP="00C46A04">
    <w:pPr>
      <w:pStyle w:val="Piedepgina"/>
      <w:ind w:right="360"/>
      <w:jc w:val="center"/>
      <w:rPr>
        <w:rFonts w:ascii="Cambria" w:hAnsi="Cambria" w:cs="Arial"/>
        <w:sz w:val="18"/>
        <w:szCs w:val="16"/>
      </w:rPr>
    </w:pPr>
    <w:r w:rsidRPr="00084215">
      <w:rPr>
        <w:rFonts w:ascii="Cambria" w:hAnsi="Cambria" w:cs="Arial"/>
        <w:snapToGrid w:val="0"/>
        <w:sz w:val="18"/>
        <w:szCs w:val="16"/>
      </w:rPr>
      <w:t xml:space="preserve">- </w:t>
    </w:r>
    <w:r w:rsidRPr="00084215">
      <w:rPr>
        <w:rFonts w:ascii="Cambria" w:hAnsi="Cambria" w:cs="Arial"/>
        <w:snapToGrid w:val="0"/>
        <w:sz w:val="18"/>
        <w:szCs w:val="16"/>
      </w:rPr>
      <w:fldChar w:fldCharType="begin"/>
    </w:r>
    <w:r w:rsidRPr="00084215">
      <w:rPr>
        <w:rFonts w:ascii="Cambria" w:hAnsi="Cambria" w:cs="Arial"/>
        <w:snapToGrid w:val="0"/>
        <w:sz w:val="18"/>
        <w:szCs w:val="16"/>
      </w:rPr>
      <w:instrText xml:space="preserve"> PAGE </w:instrText>
    </w:r>
    <w:r w:rsidRPr="00084215">
      <w:rPr>
        <w:rFonts w:ascii="Cambria" w:hAnsi="Cambria" w:cs="Arial"/>
        <w:snapToGrid w:val="0"/>
        <w:sz w:val="18"/>
        <w:szCs w:val="16"/>
      </w:rPr>
      <w:fldChar w:fldCharType="separate"/>
    </w:r>
    <w:r>
      <w:rPr>
        <w:rFonts w:ascii="Cambria" w:hAnsi="Cambria" w:cs="Arial"/>
        <w:noProof/>
        <w:snapToGrid w:val="0"/>
        <w:sz w:val="18"/>
        <w:szCs w:val="16"/>
      </w:rPr>
      <w:t>5</w:t>
    </w:r>
    <w:r w:rsidRPr="00084215">
      <w:rPr>
        <w:rFonts w:ascii="Cambria" w:hAnsi="Cambria" w:cs="Arial"/>
        <w:snapToGrid w:val="0"/>
        <w:sz w:val="18"/>
        <w:szCs w:val="16"/>
      </w:rPr>
      <w:fldChar w:fldCharType="end"/>
    </w:r>
    <w:r w:rsidRPr="00084215">
      <w:rPr>
        <w:rFonts w:ascii="Cambria" w:hAnsi="Cambria" w:cs="Arial"/>
        <w:snapToGrid w:val="0"/>
        <w:sz w:val="18"/>
        <w:szCs w:val="16"/>
      </w:rPr>
      <w:t xml:space="preserve"> -</w:t>
    </w:r>
  </w:p>
  <w:p w14:paraId="2F5D9F43" w14:textId="77777777" w:rsidR="005B1D74" w:rsidRPr="00124CB0" w:rsidRDefault="005B1D74" w:rsidP="00124CB0">
    <w:pPr>
      <w:pStyle w:val="Piedepgina"/>
      <w:rPr>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2F1DD" w14:textId="77777777" w:rsidR="005B1D74" w:rsidRDefault="005B1D7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9E5977B" w14:textId="77777777" w:rsidR="005B1D74" w:rsidRDefault="005B1D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C9895" w14:textId="77777777" w:rsidR="009D204C" w:rsidRDefault="009D204C">
      <w:r>
        <w:separator/>
      </w:r>
    </w:p>
  </w:footnote>
  <w:footnote w:type="continuationSeparator" w:id="0">
    <w:p w14:paraId="2BCBBE5B" w14:textId="77777777" w:rsidR="009D204C" w:rsidRDefault="009D2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4BB9F" w14:textId="77777777" w:rsidR="005B1D74" w:rsidRDefault="005B1D74" w:rsidP="0021539E">
    <w:pPr>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0CDEB9E7" w14:textId="77777777" w:rsidR="005B1D74" w:rsidRDefault="005B1D74">
    <w:pP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56A2E" w14:textId="77777777" w:rsidR="005B1D74" w:rsidRDefault="005B1D74">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17421" w14:textId="77777777" w:rsidR="005B1D74" w:rsidRDefault="005B1D74" w:rsidP="00047906">
    <w:pPr>
      <w:pStyle w:val="Encabezado"/>
    </w:pPr>
    <w:r>
      <w:object w:dxaOrig="8866" w:dyaOrig="4351" w14:anchorId="77F10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2pt;height:66pt">
          <v:imagedata r:id="rId1" o:title=""/>
        </v:shape>
        <o:OLEObject Type="Embed" ProgID="MSPhotoEd.3" ShapeID="_x0000_i1028" DrawAspect="Content" ObjectID="_1679471306" r:id="rId2"/>
      </w:obje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7D5B1" w14:textId="77777777" w:rsidR="005B1D74" w:rsidRDefault="005B1D74">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E0CF" w14:textId="77777777" w:rsidR="005B1D74" w:rsidRDefault="005B1D74">
    <w:pPr>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16CB4290" w14:textId="77777777" w:rsidR="005B1D74" w:rsidRDefault="005B1D74">
    <w:pPr>
      <w:ind w:right="36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6DE96" w14:textId="77777777" w:rsidR="005B1D74" w:rsidRDefault="005B1D74">
    <w:pPr>
      <w:pStyle w:val="Encabezado"/>
      <w:ind w:right="360"/>
    </w:pPr>
  </w:p>
  <w:p w14:paraId="19A60054" w14:textId="77777777" w:rsidR="005B1D74" w:rsidRDefault="005B1D74" w:rsidP="00DA16AC">
    <w:pPr>
      <w:pStyle w:val="Encabezado"/>
      <w:ind w:left="-567" w:right="360"/>
    </w:pPr>
    <w:r>
      <w:object w:dxaOrig="8866" w:dyaOrig="4351" w14:anchorId="75C80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2pt;height:66pt">
          <v:imagedata r:id="rId1" o:title=""/>
        </v:shape>
        <o:OLEObject Type="Embed" ProgID="MSPhotoEd.3" ShapeID="_x0000_i1029" DrawAspect="Content" ObjectID="_1679471307" r:id="rId2"/>
      </w:obje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60A36" w14:textId="77777777" w:rsidR="005B1D74" w:rsidRDefault="005B1D74" w:rsidP="00DA16AC">
    <w:pPr>
      <w:pStyle w:val="Encabezado"/>
      <w:tabs>
        <w:tab w:val="left" w:pos="8250"/>
      </w:tabs>
      <w:ind w:left="-567" w:right="360"/>
    </w:pPr>
    <w:r>
      <w:object w:dxaOrig="8866" w:dyaOrig="4351" w14:anchorId="1699C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2pt;height:66pt">
          <v:imagedata r:id="rId1" o:title=""/>
        </v:shape>
        <o:OLEObject Type="Embed" ProgID="MSPhotoEd.3" ShapeID="_x0000_i1030" DrawAspect="Content" ObjectID="_1679471308" r:id="rId2"/>
      </w:obje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3FB39" w14:textId="77777777" w:rsidR="005B1D74" w:rsidRDefault="005B1D74">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2EE36" w14:textId="77777777" w:rsidR="005B1D74" w:rsidRDefault="005B1D74">
    <w:pPr>
      <w:pStyle w:val="Encabezado"/>
      <w:framePr w:wrap="around" w:vAnchor="text" w:hAnchor="margin" w:xAlign="right" w:y="1"/>
      <w:rPr>
        <w:rStyle w:val="Nmerodepgina"/>
        <w:b/>
        <w:bCs/>
      </w:rPr>
    </w:pPr>
  </w:p>
  <w:p w14:paraId="13D97732" w14:textId="77777777" w:rsidR="005B1D74" w:rsidRDefault="005B1D74" w:rsidP="00047906">
    <w:pPr>
      <w:ind w:left="-567" w:right="360"/>
      <w:jc w:val="left"/>
      <w:rPr>
        <w:lang w:val="es-ES"/>
      </w:rPr>
    </w:pPr>
    <w:r>
      <w:object w:dxaOrig="8866" w:dyaOrig="4351" w14:anchorId="25385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2pt;height:66pt">
          <v:imagedata r:id="rId1" o:title=""/>
        </v:shape>
        <o:OLEObject Type="Embed" ProgID="MSPhotoEd.3" ShapeID="_x0000_i1031" DrawAspect="Content" ObjectID="_1679471309" r:id="rId2"/>
      </w:obje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605C6" w14:textId="77777777" w:rsidR="005B1D74" w:rsidRDefault="005B1D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CEF0A" w14:textId="77777777" w:rsidR="005B1D74" w:rsidRDefault="005B1D74">
    <w:pPr>
      <w:pStyle w:val="Encabezado"/>
      <w:framePr w:wrap="around" w:vAnchor="text" w:hAnchor="margin" w:xAlign="right" w:y="1"/>
      <w:rPr>
        <w:rStyle w:val="Nmerodepgina"/>
        <w:b/>
        <w:bCs/>
      </w:rPr>
    </w:pPr>
    <w:r>
      <w:rPr>
        <w:rStyle w:val="Nmerodepgina"/>
        <w:b/>
        <w:bCs/>
      </w:rPr>
      <w:fldChar w:fldCharType="begin"/>
    </w:r>
    <w:r>
      <w:rPr>
        <w:rStyle w:val="Nmerodepgina"/>
        <w:b/>
        <w:bCs/>
      </w:rPr>
      <w:instrText xml:space="preserve">PAGE  </w:instrText>
    </w:r>
    <w:r>
      <w:rPr>
        <w:rStyle w:val="Nmerodepgina"/>
        <w:b/>
        <w:bCs/>
      </w:rPr>
      <w:fldChar w:fldCharType="separate"/>
    </w:r>
    <w:r>
      <w:rPr>
        <w:rStyle w:val="Nmerodepgina"/>
        <w:b/>
        <w:bCs/>
        <w:noProof/>
      </w:rPr>
      <w:t>3</w:t>
    </w:r>
    <w:r>
      <w:rPr>
        <w:rStyle w:val="Nmerodepgina"/>
        <w:b/>
        <w:bCs/>
      </w:rPr>
      <w:fldChar w:fldCharType="end"/>
    </w:r>
  </w:p>
  <w:p w14:paraId="555B19E3" w14:textId="77777777" w:rsidR="005B1D74" w:rsidRDefault="005B1D74">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A36AA" w14:textId="77777777" w:rsidR="005B1D74" w:rsidRDefault="005B1D74" w:rsidP="00047906">
    <w:pPr>
      <w:pStyle w:val="Encabezado"/>
      <w:tabs>
        <w:tab w:val="left" w:pos="8250"/>
      </w:tabs>
      <w:ind w:left="-567"/>
    </w:pPr>
    <w:r>
      <w:object w:dxaOrig="8866" w:dyaOrig="4351" w14:anchorId="50038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66pt">
          <v:imagedata r:id="rId1" o:title=""/>
        </v:shape>
        <o:OLEObject Type="Embed" ProgID="MSPhotoEd.3" ShapeID="_x0000_i1025" DrawAspect="Content" ObjectID="_1679471303" r:id="rId2"/>
      </w:object>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AA17C" w14:textId="77777777" w:rsidR="005B1D74" w:rsidRDefault="005B1D74">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E448B" w14:textId="77777777" w:rsidR="005B1D74" w:rsidRDefault="005B1D74">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0D288" w14:textId="77777777" w:rsidR="005B1D74" w:rsidRDefault="005B1D74" w:rsidP="00047906">
    <w:pPr>
      <w:pStyle w:val="Encabezado"/>
      <w:tabs>
        <w:tab w:val="left" w:pos="8250"/>
      </w:tabs>
      <w:ind w:left="-567"/>
    </w:pPr>
    <w:r>
      <w:object w:dxaOrig="8866" w:dyaOrig="4351" w14:anchorId="32EBD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66pt">
          <v:imagedata r:id="rId1" o:title=""/>
        </v:shape>
        <o:OLEObject Type="Embed" ProgID="MSPhotoEd.3" ShapeID="_x0000_i1026" DrawAspect="Content" ObjectID="_1679471304" r:id="rId2"/>
      </w:object>
    </w: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91AD" w14:textId="77777777" w:rsidR="005B1D74" w:rsidRDefault="005B1D74">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13F23" w14:textId="77777777" w:rsidR="005B1D74" w:rsidRDefault="005B1D74" w:rsidP="00BC592E">
    <w:pPr>
      <w:pStyle w:val="Encabezado"/>
      <w:framePr w:wrap="around" w:vAnchor="text" w:hAnchor="margin" w:xAlign="right" w:y="1"/>
      <w:rPr>
        <w:rStyle w:val="Nmerodepgina"/>
      </w:rPr>
    </w:pPr>
  </w:p>
  <w:p w14:paraId="1ECFCE86" w14:textId="77777777" w:rsidR="005B1D74" w:rsidRPr="0021539E" w:rsidRDefault="005B1D74" w:rsidP="00047906">
    <w:pPr>
      <w:pStyle w:val="Encabezado"/>
      <w:ind w:left="-567" w:right="360"/>
    </w:pPr>
    <w:r>
      <w:object w:dxaOrig="8866" w:dyaOrig="4351" w14:anchorId="1C0E9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2pt;height:66pt">
          <v:imagedata r:id="rId1" o:title=""/>
        </v:shape>
        <o:OLEObject Type="Embed" ProgID="MSPhotoEd.3" ShapeID="_x0000_i1027" DrawAspect="Content" ObjectID="_1679471305" r:id="rId2"/>
      </w:obje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50CB2" w14:textId="77777777" w:rsidR="005B1D74" w:rsidRDefault="005B1D74">
    <w:pPr>
      <w:pStyle w:val="Encabezado"/>
      <w:tabs>
        <w:tab w:val="left" w:pos="8250"/>
      </w:tabs>
      <w:ind w:right="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37E93E4"/>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singleLevel"/>
    <w:tmpl w:val="05B0955E"/>
    <w:lvl w:ilvl="0">
      <w:start w:val="1"/>
      <w:numFmt w:val="decimal"/>
      <w:lvlText w:val="%1."/>
      <w:lvlJc w:val="left"/>
      <w:pPr>
        <w:tabs>
          <w:tab w:val="num" w:pos="360"/>
        </w:tabs>
        <w:ind w:left="360" w:hanging="360"/>
      </w:pPr>
    </w:lvl>
  </w:abstractNum>
  <w:abstractNum w:abstractNumId="2" w15:restartNumberingAfterBreak="0">
    <w:nsid w:val="FFFFFFFB"/>
    <w:multiLevelType w:val="multilevel"/>
    <w:tmpl w:val="0876F2F0"/>
    <w:lvl w:ilvl="0">
      <w:start w:val="1"/>
      <w:numFmt w:val="decimal"/>
      <w:lvlText w:val="%1."/>
      <w:lvlJc w:val="left"/>
      <w:pPr>
        <w:tabs>
          <w:tab w:val="num" w:pos="360"/>
        </w:tabs>
        <w:ind w:left="360" w:hanging="360"/>
      </w:pPr>
      <w:rPr>
        <w:rFonts w:ascii="Times New Roman" w:hAnsi="Times New Roman" w:hint="default"/>
        <w:sz w:val="24"/>
      </w:rPr>
    </w:lvl>
    <w:lvl w:ilvl="1">
      <w:start w:val="1"/>
      <w:numFmt w:val="lowerLetter"/>
      <w:lvlText w:val="%2)"/>
      <w:lvlJc w:val="left"/>
      <w:pPr>
        <w:tabs>
          <w:tab w:val="num" w:pos="644"/>
        </w:tabs>
        <w:ind w:left="644" w:hanging="360"/>
      </w:pPr>
      <w:rPr>
        <w:rFonts w:ascii="Times New Roman" w:hAnsi="Times New Roman" w:hint="default"/>
        <w:sz w:val="24"/>
      </w:rPr>
    </w:lvl>
    <w:lvl w:ilvl="2">
      <w:start w:val="1"/>
      <w:numFmt w:val="lowerLetter"/>
      <w:pStyle w:val="Ttulo3"/>
      <w:lvlText w:val="(%3)"/>
      <w:lvlJc w:val="left"/>
      <w:pPr>
        <w:tabs>
          <w:tab w:val="num" w:pos="1361"/>
        </w:tabs>
        <w:ind w:left="1361" w:hanging="453"/>
      </w:pPr>
      <w:rPr>
        <w:rFonts w:hint="default"/>
        <w:sz w:val="20"/>
      </w:rPr>
    </w:lvl>
    <w:lvl w:ilvl="3">
      <w:start w:val="1"/>
      <w:numFmt w:val="lowerLetter"/>
      <w:lvlText w:val="%4)"/>
      <w:lvlJc w:val="left"/>
      <w:pPr>
        <w:tabs>
          <w:tab w:val="num" w:pos="0"/>
        </w:tabs>
        <w:ind w:left="2324" w:hanging="708"/>
      </w:pPr>
      <w:rPr>
        <w:rFonts w:hint="default"/>
      </w:rPr>
    </w:lvl>
    <w:lvl w:ilvl="4">
      <w:start w:val="1"/>
      <w:numFmt w:val="decimal"/>
      <w:lvlText w:val="(%5)"/>
      <w:lvlJc w:val="left"/>
      <w:pPr>
        <w:tabs>
          <w:tab w:val="num" w:pos="0"/>
        </w:tabs>
        <w:ind w:left="3032" w:hanging="708"/>
      </w:pPr>
      <w:rPr>
        <w:rFonts w:hint="default"/>
      </w:rPr>
    </w:lvl>
    <w:lvl w:ilvl="5">
      <w:start w:val="1"/>
      <w:numFmt w:val="lowerLetter"/>
      <w:pStyle w:val="Ttulo6"/>
      <w:lvlText w:val="(%6)"/>
      <w:lvlJc w:val="left"/>
      <w:pPr>
        <w:tabs>
          <w:tab w:val="num" w:pos="0"/>
        </w:tabs>
        <w:ind w:left="3740" w:hanging="708"/>
      </w:pPr>
      <w:rPr>
        <w:rFonts w:hint="default"/>
      </w:rPr>
    </w:lvl>
    <w:lvl w:ilvl="6">
      <w:start w:val="1"/>
      <w:numFmt w:val="lowerRoman"/>
      <w:pStyle w:val="Ttulo7"/>
      <w:lvlText w:val="(%7)"/>
      <w:lvlJc w:val="left"/>
      <w:pPr>
        <w:tabs>
          <w:tab w:val="num" w:pos="0"/>
        </w:tabs>
        <w:ind w:left="4448" w:hanging="708"/>
      </w:pPr>
      <w:rPr>
        <w:rFonts w:hint="default"/>
      </w:rPr>
    </w:lvl>
    <w:lvl w:ilvl="7">
      <w:start w:val="1"/>
      <w:numFmt w:val="lowerLetter"/>
      <w:pStyle w:val="Ttulo8"/>
      <w:lvlText w:val="(%8)"/>
      <w:lvlJc w:val="left"/>
      <w:pPr>
        <w:tabs>
          <w:tab w:val="num" w:pos="0"/>
        </w:tabs>
        <w:ind w:left="5156" w:hanging="708"/>
      </w:pPr>
      <w:rPr>
        <w:rFonts w:hint="default"/>
      </w:rPr>
    </w:lvl>
    <w:lvl w:ilvl="8">
      <w:start w:val="1"/>
      <w:numFmt w:val="lowerRoman"/>
      <w:lvlText w:val="(%9)"/>
      <w:lvlJc w:val="left"/>
      <w:pPr>
        <w:tabs>
          <w:tab w:val="num" w:pos="0"/>
        </w:tabs>
        <w:ind w:left="5864" w:hanging="708"/>
      </w:pPr>
      <w:rPr>
        <w:rFonts w:hint="default"/>
      </w:rPr>
    </w:lvl>
  </w:abstractNum>
  <w:abstractNum w:abstractNumId="3" w15:restartNumberingAfterBreak="0">
    <w:nsid w:val="07433D82"/>
    <w:multiLevelType w:val="hybridMultilevel"/>
    <w:tmpl w:val="E7B48274"/>
    <w:lvl w:ilvl="0" w:tplc="C9C2D676">
      <w:start w:val="1"/>
      <w:numFmt w:val="decimal"/>
      <w:lvlText w:val="%1."/>
      <w:lvlJc w:val="right"/>
      <w:pPr>
        <w:tabs>
          <w:tab w:val="num" w:pos="1003"/>
        </w:tabs>
        <w:ind w:left="1003"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8A65E56"/>
    <w:multiLevelType w:val="hybridMultilevel"/>
    <w:tmpl w:val="A6720C96"/>
    <w:lvl w:ilvl="0" w:tplc="7E40C9AE">
      <w:start w:val="1"/>
      <w:numFmt w:val="bullet"/>
      <w:lvlText w:val="-"/>
      <w:lvlJc w:val="left"/>
      <w:pPr>
        <w:tabs>
          <w:tab w:val="num" w:pos="3163"/>
        </w:tabs>
        <w:ind w:left="3163" w:hanging="360"/>
      </w:pPr>
      <w:rPr>
        <w:rFonts w:ascii="Sylfaen" w:hAnsi="Sylfaen" w:hint="default"/>
      </w:rPr>
    </w:lvl>
    <w:lvl w:ilvl="1" w:tplc="7E40C9AE">
      <w:start w:val="1"/>
      <w:numFmt w:val="bullet"/>
      <w:lvlText w:val="-"/>
      <w:lvlJc w:val="left"/>
      <w:pPr>
        <w:tabs>
          <w:tab w:val="num" w:pos="3163"/>
        </w:tabs>
        <w:ind w:left="3163" w:hanging="360"/>
      </w:pPr>
      <w:rPr>
        <w:rFonts w:ascii="Sylfaen" w:hAnsi="Sylfaen" w:hint="default"/>
      </w:rPr>
    </w:lvl>
    <w:lvl w:ilvl="2" w:tplc="0C0A0005" w:tentative="1">
      <w:start w:val="1"/>
      <w:numFmt w:val="bullet"/>
      <w:lvlText w:val=""/>
      <w:lvlJc w:val="left"/>
      <w:pPr>
        <w:tabs>
          <w:tab w:val="num" w:pos="3883"/>
        </w:tabs>
        <w:ind w:left="3883" w:hanging="360"/>
      </w:pPr>
      <w:rPr>
        <w:rFonts w:ascii="Wingdings" w:hAnsi="Wingdings" w:hint="default"/>
      </w:rPr>
    </w:lvl>
    <w:lvl w:ilvl="3" w:tplc="0C0A0001" w:tentative="1">
      <w:start w:val="1"/>
      <w:numFmt w:val="bullet"/>
      <w:lvlText w:val=""/>
      <w:lvlJc w:val="left"/>
      <w:pPr>
        <w:tabs>
          <w:tab w:val="num" w:pos="4603"/>
        </w:tabs>
        <w:ind w:left="4603" w:hanging="360"/>
      </w:pPr>
      <w:rPr>
        <w:rFonts w:ascii="Symbol" w:hAnsi="Symbol" w:hint="default"/>
      </w:rPr>
    </w:lvl>
    <w:lvl w:ilvl="4" w:tplc="0C0A0003" w:tentative="1">
      <w:start w:val="1"/>
      <w:numFmt w:val="bullet"/>
      <w:lvlText w:val="o"/>
      <w:lvlJc w:val="left"/>
      <w:pPr>
        <w:tabs>
          <w:tab w:val="num" w:pos="5323"/>
        </w:tabs>
        <w:ind w:left="5323" w:hanging="360"/>
      </w:pPr>
      <w:rPr>
        <w:rFonts w:ascii="Courier New" w:hAnsi="Courier New" w:cs="Courier New" w:hint="default"/>
      </w:rPr>
    </w:lvl>
    <w:lvl w:ilvl="5" w:tplc="0C0A0005" w:tentative="1">
      <w:start w:val="1"/>
      <w:numFmt w:val="bullet"/>
      <w:lvlText w:val=""/>
      <w:lvlJc w:val="left"/>
      <w:pPr>
        <w:tabs>
          <w:tab w:val="num" w:pos="6043"/>
        </w:tabs>
        <w:ind w:left="6043" w:hanging="360"/>
      </w:pPr>
      <w:rPr>
        <w:rFonts w:ascii="Wingdings" w:hAnsi="Wingdings" w:hint="default"/>
      </w:rPr>
    </w:lvl>
    <w:lvl w:ilvl="6" w:tplc="0C0A0001" w:tentative="1">
      <w:start w:val="1"/>
      <w:numFmt w:val="bullet"/>
      <w:lvlText w:val=""/>
      <w:lvlJc w:val="left"/>
      <w:pPr>
        <w:tabs>
          <w:tab w:val="num" w:pos="6763"/>
        </w:tabs>
        <w:ind w:left="6763" w:hanging="360"/>
      </w:pPr>
      <w:rPr>
        <w:rFonts w:ascii="Symbol" w:hAnsi="Symbol" w:hint="default"/>
      </w:rPr>
    </w:lvl>
    <w:lvl w:ilvl="7" w:tplc="0C0A0003" w:tentative="1">
      <w:start w:val="1"/>
      <w:numFmt w:val="bullet"/>
      <w:lvlText w:val="o"/>
      <w:lvlJc w:val="left"/>
      <w:pPr>
        <w:tabs>
          <w:tab w:val="num" w:pos="7483"/>
        </w:tabs>
        <w:ind w:left="7483" w:hanging="360"/>
      </w:pPr>
      <w:rPr>
        <w:rFonts w:ascii="Courier New" w:hAnsi="Courier New" w:cs="Courier New" w:hint="default"/>
      </w:rPr>
    </w:lvl>
    <w:lvl w:ilvl="8" w:tplc="0C0A0005" w:tentative="1">
      <w:start w:val="1"/>
      <w:numFmt w:val="bullet"/>
      <w:lvlText w:val=""/>
      <w:lvlJc w:val="left"/>
      <w:pPr>
        <w:tabs>
          <w:tab w:val="num" w:pos="8203"/>
        </w:tabs>
        <w:ind w:left="8203" w:hanging="360"/>
      </w:pPr>
      <w:rPr>
        <w:rFonts w:ascii="Wingdings" w:hAnsi="Wingdings" w:hint="default"/>
      </w:rPr>
    </w:lvl>
  </w:abstractNum>
  <w:abstractNum w:abstractNumId="5" w15:restartNumberingAfterBreak="0">
    <w:nsid w:val="1AC23489"/>
    <w:multiLevelType w:val="hybridMultilevel"/>
    <w:tmpl w:val="46E085D4"/>
    <w:lvl w:ilvl="0" w:tplc="0C0A0017">
      <w:start w:val="1"/>
      <w:numFmt w:val="lowerLetter"/>
      <w:lvlText w:val="%1)"/>
      <w:lvlJc w:val="left"/>
      <w:pPr>
        <w:ind w:left="1117" w:hanging="360"/>
      </w:p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6" w15:restartNumberingAfterBreak="0">
    <w:nsid w:val="1EC228BE"/>
    <w:multiLevelType w:val="singleLevel"/>
    <w:tmpl w:val="7CE284C6"/>
    <w:lvl w:ilvl="0">
      <w:start w:val="1"/>
      <w:numFmt w:val="lowerLetter"/>
      <w:lvlText w:val="%1)"/>
      <w:legacy w:legacy="1" w:legacySpace="0" w:legacyIndent="397"/>
      <w:lvlJc w:val="left"/>
      <w:pPr>
        <w:ind w:left="851" w:hanging="397"/>
      </w:pPr>
    </w:lvl>
  </w:abstractNum>
  <w:abstractNum w:abstractNumId="7" w15:restartNumberingAfterBreak="0">
    <w:nsid w:val="21ED3CDC"/>
    <w:multiLevelType w:val="multilevel"/>
    <w:tmpl w:val="9E78E8A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3DC563C"/>
    <w:multiLevelType w:val="hybridMultilevel"/>
    <w:tmpl w:val="16A2C5F8"/>
    <w:lvl w:ilvl="0" w:tplc="CF3CAD74">
      <w:start w:val="2"/>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0B1C30"/>
    <w:multiLevelType w:val="multilevel"/>
    <w:tmpl w:val="0C0A001F"/>
    <w:styleLink w:val="111111"/>
    <w:lvl w:ilvl="0">
      <w:start w:val="9"/>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46F559E"/>
    <w:multiLevelType w:val="hybridMultilevel"/>
    <w:tmpl w:val="2F1A6332"/>
    <w:lvl w:ilvl="0" w:tplc="0C0A000B">
      <w:numFmt w:val="decimal"/>
      <w:lvlText w:val=""/>
      <w:lvlJc w:val="left"/>
      <w:pPr>
        <w:tabs>
          <w:tab w:val="num" w:pos="1080"/>
        </w:tabs>
        <w:ind w:left="1080" w:hanging="360"/>
      </w:pPr>
      <w:rPr>
        <w:rFonts w:ascii="Wingdings" w:hAnsi="Wingdings" w:hint="default"/>
        <w:b/>
        <w:i w:val="0"/>
        <w:color w:val="000000"/>
        <w:sz w:val="18"/>
        <w:szCs w:val="18"/>
        <w14:shadow w14:blurRad="0" w14:dist="0" w14:dir="0" w14:sx="0" w14:sy="0" w14:kx="0" w14:ky="0" w14:algn="none">
          <w14:srgbClr w14:val="000000"/>
        </w14:shadow>
        <w14:textOutline w14:w="0" w14:cap="rnd" w14:cmpd="sng" w14:algn="ctr">
          <w14:noFill/>
          <w14:prstDash w14:val="solid"/>
          <w14:bevel/>
        </w14:textOutline>
      </w:rPr>
    </w:lvl>
    <w:lvl w:ilvl="1" w:tplc="6792B944">
      <w:start w:val="1"/>
      <w:numFmt w:val="decimal"/>
      <w:lvlText w:val="%2."/>
      <w:lvlJc w:val="left"/>
      <w:pPr>
        <w:tabs>
          <w:tab w:val="num" w:pos="1440"/>
        </w:tabs>
        <w:ind w:left="1440" w:hanging="360"/>
      </w:pPr>
      <w:rPr>
        <w:rFonts w:ascii="Tahoma" w:hAnsi="Tahoma" w:cs="Times New Roman" w:hint="default"/>
        <w:b/>
        <w:i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2" w:tplc="606A225A">
      <w:numFmt w:val="decimal"/>
      <w:lvlText w:val="•"/>
      <w:lvlJc w:val="left"/>
      <w:pPr>
        <w:tabs>
          <w:tab w:val="num" w:pos="2160"/>
        </w:tabs>
        <w:ind w:left="2160" w:hanging="360"/>
      </w:pPr>
      <w:rPr>
        <w:rFonts w:ascii="Tahoma" w:hAnsi="Tahoma" w:cs="Times New Roman" w:hint="default"/>
        <w:b/>
        <w:i w:val="0"/>
        <w:color w:val="auto"/>
        <w:sz w:val="22"/>
        <w:szCs w:val="22"/>
        <w14:shadow w14:blurRad="0" w14:dist="0" w14:dir="0" w14:sx="0" w14:sy="0" w14:kx="0" w14:ky="0" w14:algn="none">
          <w14:srgbClr w14:val="000000"/>
        </w14:shadow>
        <w14:textOutline w14:w="0" w14:cap="rnd" w14:cmpd="sng" w14:algn="ctr">
          <w14:noFill/>
          <w14:prstDash w14:val="solid"/>
          <w14:bevel/>
        </w14:textOutline>
      </w:rPr>
    </w:lvl>
    <w:lvl w:ilvl="3" w:tplc="0C0A0001">
      <w:numFmt w:val="decimal"/>
      <w:lvlText w:val=""/>
      <w:lvlJc w:val="left"/>
      <w:pPr>
        <w:tabs>
          <w:tab w:val="num" w:pos="2880"/>
        </w:tabs>
        <w:ind w:left="2880" w:hanging="360"/>
      </w:pPr>
      <w:rPr>
        <w:rFonts w:ascii="Symbol" w:hAnsi="Symbol" w:hint="default"/>
      </w:rPr>
    </w:lvl>
    <w:lvl w:ilvl="4" w:tplc="0C0A0003">
      <w:numFmt w:val="decimal"/>
      <w:lvlText w:val="o"/>
      <w:lvlJc w:val="left"/>
      <w:pPr>
        <w:tabs>
          <w:tab w:val="num" w:pos="3600"/>
        </w:tabs>
        <w:ind w:left="3600" w:hanging="360"/>
      </w:pPr>
      <w:rPr>
        <w:rFonts w:ascii="Courier New" w:hAnsi="Courier New" w:cs="Courier New" w:hint="default"/>
      </w:rPr>
    </w:lvl>
    <w:lvl w:ilvl="5" w:tplc="0C0A0005">
      <w:numFmt w:val="decimal"/>
      <w:lvlText w:val=""/>
      <w:lvlJc w:val="left"/>
      <w:pPr>
        <w:tabs>
          <w:tab w:val="num" w:pos="4320"/>
        </w:tabs>
        <w:ind w:left="4320" w:hanging="360"/>
      </w:pPr>
      <w:rPr>
        <w:rFonts w:ascii="Wingdings" w:hAnsi="Wingdings" w:hint="default"/>
      </w:rPr>
    </w:lvl>
    <w:lvl w:ilvl="6" w:tplc="0C0A0001">
      <w:numFmt w:val="decimal"/>
      <w:lvlText w:val=""/>
      <w:lvlJc w:val="left"/>
      <w:pPr>
        <w:tabs>
          <w:tab w:val="num" w:pos="5040"/>
        </w:tabs>
        <w:ind w:left="5040" w:hanging="360"/>
      </w:pPr>
      <w:rPr>
        <w:rFonts w:ascii="Symbol" w:hAnsi="Symbol" w:hint="default"/>
      </w:rPr>
    </w:lvl>
    <w:lvl w:ilvl="7" w:tplc="0C0A0003">
      <w:numFmt w:val="decimal"/>
      <w:lvlText w:val="o"/>
      <w:lvlJc w:val="left"/>
      <w:pPr>
        <w:tabs>
          <w:tab w:val="num" w:pos="5760"/>
        </w:tabs>
        <w:ind w:left="5760" w:hanging="360"/>
      </w:pPr>
      <w:rPr>
        <w:rFonts w:ascii="Courier New" w:hAnsi="Courier New" w:cs="Courier New" w:hint="default"/>
      </w:rPr>
    </w:lvl>
    <w:lvl w:ilvl="8" w:tplc="0C0A0005">
      <w:numFmt w:val="decimal"/>
      <w:lvlText w:val=""/>
      <w:lvlJc w:val="left"/>
      <w:pPr>
        <w:tabs>
          <w:tab w:val="num" w:pos="6480"/>
        </w:tabs>
        <w:ind w:left="6480" w:hanging="360"/>
      </w:pPr>
      <w:rPr>
        <w:rFonts w:ascii="Wingdings" w:hAnsi="Wingdings" w:hint="default"/>
      </w:rPr>
    </w:lvl>
  </w:abstractNum>
  <w:abstractNum w:abstractNumId="11" w15:restartNumberingAfterBreak="0">
    <w:nsid w:val="41731110"/>
    <w:multiLevelType w:val="hybridMultilevel"/>
    <w:tmpl w:val="BABC77D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41F22285"/>
    <w:multiLevelType w:val="hybridMultilevel"/>
    <w:tmpl w:val="FEBC3CE2"/>
    <w:lvl w:ilvl="0" w:tplc="0C0A0005">
      <w:numFmt w:val="decimal"/>
      <w:lvlText w:val=""/>
      <w:lvlJc w:val="left"/>
      <w:pPr>
        <w:tabs>
          <w:tab w:val="num" w:pos="1080"/>
        </w:tabs>
        <w:ind w:left="1080" w:hanging="360"/>
      </w:pPr>
      <w:rPr>
        <w:rFonts w:ascii="Wingdings" w:hAnsi="Wingdings" w:hint="default"/>
        <w:b/>
        <w:i w:val="0"/>
        <w:color w:val="000000"/>
        <w:sz w:val="18"/>
        <w:szCs w:val="18"/>
        <w14:shadow w14:blurRad="0" w14:dist="0" w14:dir="0" w14:sx="0" w14:sy="0" w14:kx="0" w14:ky="0" w14:algn="none">
          <w14:srgbClr w14:val="000000"/>
        </w14:shadow>
        <w14:textOutline w14:w="0" w14:cap="rnd" w14:cmpd="sng" w14:algn="ctr">
          <w14:noFill/>
          <w14:prstDash w14:val="solid"/>
          <w14:bevel/>
        </w14:textOutline>
      </w:rPr>
    </w:lvl>
    <w:lvl w:ilvl="1" w:tplc="6792B944">
      <w:start w:val="1"/>
      <w:numFmt w:val="decimal"/>
      <w:lvlText w:val="%2."/>
      <w:lvlJc w:val="left"/>
      <w:pPr>
        <w:tabs>
          <w:tab w:val="num" w:pos="1440"/>
        </w:tabs>
        <w:ind w:left="1440" w:hanging="360"/>
      </w:pPr>
      <w:rPr>
        <w:rFonts w:ascii="Tahoma" w:hAnsi="Tahoma" w:cs="Times New Roman" w:hint="default"/>
        <w:b/>
        <w:i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2" w:tplc="606A225A">
      <w:numFmt w:val="decimal"/>
      <w:lvlText w:val="•"/>
      <w:lvlJc w:val="left"/>
      <w:pPr>
        <w:tabs>
          <w:tab w:val="num" w:pos="2160"/>
        </w:tabs>
        <w:ind w:left="2160" w:hanging="360"/>
      </w:pPr>
      <w:rPr>
        <w:rFonts w:ascii="Tahoma" w:hAnsi="Tahoma" w:cs="Times New Roman" w:hint="default"/>
        <w:b/>
        <w:i w:val="0"/>
        <w:color w:val="auto"/>
        <w:sz w:val="22"/>
        <w:szCs w:val="22"/>
        <w14:shadow w14:blurRad="0" w14:dist="0" w14:dir="0" w14:sx="0" w14:sy="0" w14:kx="0" w14:ky="0" w14:algn="none">
          <w14:srgbClr w14:val="000000"/>
        </w14:shadow>
        <w14:textOutline w14:w="0" w14:cap="rnd" w14:cmpd="sng" w14:algn="ctr">
          <w14:noFill/>
          <w14:prstDash w14:val="solid"/>
          <w14:bevel/>
        </w14:textOutline>
      </w:rPr>
    </w:lvl>
    <w:lvl w:ilvl="3" w:tplc="0C0A0001">
      <w:numFmt w:val="decimal"/>
      <w:lvlText w:val=""/>
      <w:lvlJc w:val="left"/>
      <w:pPr>
        <w:tabs>
          <w:tab w:val="num" w:pos="2880"/>
        </w:tabs>
        <w:ind w:left="2880" w:hanging="360"/>
      </w:pPr>
      <w:rPr>
        <w:rFonts w:ascii="Symbol" w:hAnsi="Symbol" w:hint="default"/>
      </w:rPr>
    </w:lvl>
    <w:lvl w:ilvl="4" w:tplc="0C0A0003">
      <w:numFmt w:val="decimal"/>
      <w:lvlText w:val="o"/>
      <w:lvlJc w:val="left"/>
      <w:pPr>
        <w:tabs>
          <w:tab w:val="num" w:pos="3600"/>
        </w:tabs>
        <w:ind w:left="3600" w:hanging="360"/>
      </w:pPr>
      <w:rPr>
        <w:rFonts w:ascii="Courier New" w:hAnsi="Courier New" w:cs="Courier New" w:hint="default"/>
      </w:rPr>
    </w:lvl>
    <w:lvl w:ilvl="5" w:tplc="0C0A0005">
      <w:numFmt w:val="decimal"/>
      <w:lvlText w:val=""/>
      <w:lvlJc w:val="left"/>
      <w:pPr>
        <w:tabs>
          <w:tab w:val="num" w:pos="4320"/>
        </w:tabs>
        <w:ind w:left="4320" w:hanging="360"/>
      </w:pPr>
      <w:rPr>
        <w:rFonts w:ascii="Wingdings" w:hAnsi="Wingdings" w:hint="default"/>
      </w:rPr>
    </w:lvl>
    <w:lvl w:ilvl="6" w:tplc="0C0A0001">
      <w:numFmt w:val="decimal"/>
      <w:lvlText w:val=""/>
      <w:lvlJc w:val="left"/>
      <w:pPr>
        <w:tabs>
          <w:tab w:val="num" w:pos="5040"/>
        </w:tabs>
        <w:ind w:left="5040" w:hanging="360"/>
      </w:pPr>
      <w:rPr>
        <w:rFonts w:ascii="Symbol" w:hAnsi="Symbol" w:hint="default"/>
      </w:rPr>
    </w:lvl>
    <w:lvl w:ilvl="7" w:tplc="0C0A0003">
      <w:numFmt w:val="decimal"/>
      <w:lvlText w:val="o"/>
      <w:lvlJc w:val="left"/>
      <w:pPr>
        <w:tabs>
          <w:tab w:val="num" w:pos="5760"/>
        </w:tabs>
        <w:ind w:left="5760" w:hanging="360"/>
      </w:pPr>
      <w:rPr>
        <w:rFonts w:ascii="Courier New" w:hAnsi="Courier New" w:cs="Courier New" w:hint="default"/>
      </w:rPr>
    </w:lvl>
    <w:lvl w:ilvl="8" w:tplc="0C0A0005">
      <w:numFmt w:val="decimal"/>
      <w:lvlText w:val=""/>
      <w:lvlJc w:val="left"/>
      <w:pPr>
        <w:tabs>
          <w:tab w:val="num" w:pos="6480"/>
        </w:tabs>
        <w:ind w:left="6480" w:hanging="360"/>
      </w:pPr>
      <w:rPr>
        <w:rFonts w:ascii="Wingdings" w:hAnsi="Wingdings" w:hint="default"/>
      </w:rPr>
    </w:lvl>
  </w:abstractNum>
  <w:abstractNum w:abstractNumId="13" w15:restartNumberingAfterBreak="0">
    <w:nsid w:val="492E28D6"/>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2304F8"/>
    <w:multiLevelType w:val="hybridMultilevel"/>
    <w:tmpl w:val="9B8E31C6"/>
    <w:lvl w:ilvl="0" w:tplc="7CE284C6">
      <w:start w:val="1"/>
      <w:numFmt w:val="lowerLetter"/>
      <w:lvlText w:val="%1)"/>
      <w:legacy w:legacy="1" w:legacySpace="0" w:legacyIndent="397"/>
      <w:lvlJc w:val="left"/>
      <w:pPr>
        <w:ind w:left="1277" w:hanging="397"/>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15" w15:restartNumberingAfterBreak="0">
    <w:nsid w:val="4F9673C5"/>
    <w:multiLevelType w:val="hybridMultilevel"/>
    <w:tmpl w:val="47C6C62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B80A0B"/>
    <w:multiLevelType w:val="hybridMultilevel"/>
    <w:tmpl w:val="1DFEE28C"/>
    <w:lvl w:ilvl="0" w:tplc="D172B5D4">
      <w:start w:val="1"/>
      <w:numFmt w:val="lowerLetter"/>
      <w:lvlText w:val="(%1)"/>
      <w:lvlJc w:val="left"/>
      <w:pPr>
        <w:tabs>
          <w:tab w:val="num" w:pos="1146"/>
        </w:tabs>
        <w:ind w:left="1146" w:hanging="720"/>
      </w:pPr>
      <w:rPr>
        <w:rFonts w:hint="default"/>
      </w:rPr>
    </w:lvl>
    <w:lvl w:ilvl="1" w:tplc="CF3CAD74">
      <w:start w:val="2"/>
      <w:numFmt w:val="bullet"/>
      <w:lvlText w:val="-"/>
      <w:lvlJc w:val="left"/>
      <w:pPr>
        <w:tabs>
          <w:tab w:val="num" w:pos="1506"/>
        </w:tabs>
        <w:ind w:left="1506" w:hanging="360"/>
      </w:pPr>
      <w:rPr>
        <w:rFonts w:ascii="Cambria" w:eastAsia="Times New Roman" w:hAnsi="Cambria" w:cs="Times New Roman"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7" w15:restartNumberingAfterBreak="0">
    <w:nsid w:val="514911E4"/>
    <w:multiLevelType w:val="hybridMultilevel"/>
    <w:tmpl w:val="2F1A6332"/>
    <w:lvl w:ilvl="0" w:tplc="0C0A000B">
      <w:start w:val="1"/>
      <w:numFmt w:val="bullet"/>
      <w:lvlText w:val=""/>
      <w:lvlJc w:val="left"/>
      <w:pPr>
        <w:tabs>
          <w:tab w:val="num" w:pos="1080"/>
        </w:tabs>
        <w:ind w:left="1080" w:hanging="360"/>
      </w:pPr>
      <w:rPr>
        <w:rFonts w:ascii="Wingdings" w:hAnsi="Wingdings" w:hint="default"/>
        <w:b/>
        <w:i w:val="0"/>
        <w:color w:val="000000"/>
        <w:sz w:val="18"/>
        <w:szCs w:val="18"/>
        <w14:shadow w14:blurRad="0" w14:dist="0" w14:dir="0" w14:sx="0" w14:sy="0" w14:kx="0" w14:ky="0" w14:algn="none">
          <w14:srgbClr w14:val="000000"/>
        </w14:shadow>
        <w14:textOutline w14:w="0" w14:cap="rnd" w14:cmpd="sng" w14:algn="ctr">
          <w14:noFill/>
          <w14:prstDash w14:val="solid"/>
          <w14:bevel/>
        </w14:textOutline>
      </w:rPr>
    </w:lvl>
    <w:lvl w:ilvl="1" w:tplc="6792B944">
      <w:start w:val="1"/>
      <w:numFmt w:val="decimal"/>
      <w:lvlText w:val="%2."/>
      <w:lvlJc w:val="left"/>
      <w:pPr>
        <w:tabs>
          <w:tab w:val="num" w:pos="1440"/>
        </w:tabs>
        <w:ind w:left="1440" w:hanging="360"/>
      </w:pPr>
      <w:rPr>
        <w:rFonts w:ascii="Tahoma" w:hAnsi="Tahoma" w:hint="default"/>
        <w:b/>
        <w:i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2" w:tplc="606A225A">
      <w:start w:val="1"/>
      <w:numFmt w:val="bullet"/>
      <w:lvlText w:val="•"/>
      <w:lvlJc w:val="left"/>
      <w:pPr>
        <w:tabs>
          <w:tab w:val="num" w:pos="2160"/>
        </w:tabs>
        <w:ind w:left="2160" w:hanging="360"/>
      </w:pPr>
      <w:rPr>
        <w:rFonts w:ascii="Tahoma" w:hAnsi="Tahoma" w:hint="default"/>
        <w:b/>
        <w:i w:val="0"/>
        <w:color w:val="auto"/>
        <w:sz w:val="22"/>
        <w:szCs w:val="22"/>
        <w14:shadow w14:blurRad="0" w14:dist="0" w14:dir="0" w14:sx="0" w14:sy="0" w14:kx="0" w14:ky="0" w14:algn="none">
          <w14:srgbClr w14:val="000000"/>
        </w14:shadow>
        <w14:textOutline w14:w="0" w14:cap="rnd" w14:cmpd="sng" w14:algn="ctr">
          <w14:noFill/>
          <w14:prstDash w14:val="solid"/>
          <w14:bevel/>
        </w14:textOutline>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30525"/>
    <w:multiLevelType w:val="hybridMultilevel"/>
    <w:tmpl w:val="29947EF0"/>
    <w:lvl w:ilvl="0" w:tplc="EA10123A">
      <w:start w:val="1"/>
      <w:numFmt w:val="bullet"/>
      <w:lvlText w:val="­"/>
      <w:lvlJc w:val="left"/>
      <w:pPr>
        <w:tabs>
          <w:tab w:val="num" w:pos="1440"/>
        </w:tabs>
        <w:ind w:left="1440" w:hanging="360"/>
      </w:pPr>
      <w:rPr>
        <w:rFonts w:ascii="Century Gothic" w:hAnsi="Century Gothic"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7B53FD"/>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57C4819"/>
    <w:multiLevelType w:val="multilevel"/>
    <w:tmpl w:val="AB5EADB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0">
    <w:nsid w:val="65705406"/>
    <w:multiLevelType w:val="hybridMultilevel"/>
    <w:tmpl w:val="5FA6D934"/>
    <w:lvl w:ilvl="0" w:tplc="0C0A000F">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22" w15:restartNumberingAfterBreak="0">
    <w:nsid w:val="668B3A63"/>
    <w:multiLevelType w:val="hybridMultilevel"/>
    <w:tmpl w:val="C64028AE"/>
    <w:lvl w:ilvl="0" w:tplc="7ED07A72">
      <w:numFmt w:val="bullet"/>
      <w:lvlText w:val="-"/>
      <w:lvlJc w:val="left"/>
      <w:pPr>
        <w:ind w:left="1778" w:hanging="360"/>
      </w:pPr>
      <w:rPr>
        <w:rFonts w:ascii="Cambria" w:eastAsia="Times New Roman" w:hAnsi="Cambria" w:cs="Times New Roman"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3" w15:restartNumberingAfterBreak="0">
    <w:nsid w:val="6B71143B"/>
    <w:multiLevelType w:val="multilevel"/>
    <w:tmpl w:val="B0A8BF90"/>
    <w:lvl w:ilvl="0">
      <w:start w:val="1"/>
      <w:numFmt w:val="decimal"/>
      <w:lvlText w:val="%1."/>
      <w:lvlJc w:val="left"/>
      <w:pPr>
        <w:tabs>
          <w:tab w:val="num" w:pos="360"/>
        </w:tabs>
        <w:ind w:left="360" w:hanging="360"/>
      </w:pPr>
      <w:rPr>
        <w:rFonts w:ascii="Cambria" w:hAnsi="Cambria" w:hint="default"/>
        <w:sz w:val="24"/>
        <w:szCs w:val="24"/>
      </w:rPr>
    </w:lvl>
    <w:lvl w:ilvl="1">
      <w:start w:val="6"/>
      <w:numFmt w:val="decimal"/>
      <w:isLgl/>
      <w:lvlText w:val="%1.%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4848"/>
        </w:tabs>
        <w:ind w:left="4848" w:hanging="1440"/>
      </w:pPr>
      <w:rPr>
        <w:rFonts w:hint="default"/>
      </w:rPr>
    </w:lvl>
  </w:abstractNum>
  <w:abstractNum w:abstractNumId="24" w15:restartNumberingAfterBreak="0">
    <w:nsid w:val="6EBD0F42"/>
    <w:multiLevelType w:val="hybridMultilevel"/>
    <w:tmpl w:val="30B285A0"/>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6F125F17"/>
    <w:multiLevelType w:val="hybridMultilevel"/>
    <w:tmpl w:val="FEBC3CE2"/>
    <w:lvl w:ilvl="0" w:tplc="0C0A0005">
      <w:start w:val="1"/>
      <w:numFmt w:val="bullet"/>
      <w:lvlText w:val=""/>
      <w:lvlJc w:val="left"/>
      <w:pPr>
        <w:tabs>
          <w:tab w:val="num" w:pos="1080"/>
        </w:tabs>
        <w:ind w:left="1080" w:hanging="360"/>
      </w:pPr>
      <w:rPr>
        <w:rFonts w:ascii="Wingdings" w:hAnsi="Wingdings" w:hint="default"/>
        <w:b/>
        <w:i w:val="0"/>
        <w:color w:val="000000"/>
        <w:sz w:val="18"/>
        <w:szCs w:val="18"/>
        <w14:shadow w14:blurRad="0" w14:dist="0" w14:dir="0" w14:sx="0" w14:sy="0" w14:kx="0" w14:ky="0" w14:algn="none">
          <w14:srgbClr w14:val="000000"/>
        </w14:shadow>
        <w14:textOutline w14:w="0" w14:cap="rnd" w14:cmpd="sng" w14:algn="ctr">
          <w14:noFill/>
          <w14:prstDash w14:val="solid"/>
          <w14:bevel/>
        </w14:textOutline>
      </w:rPr>
    </w:lvl>
    <w:lvl w:ilvl="1" w:tplc="6792B944">
      <w:start w:val="1"/>
      <w:numFmt w:val="decimal"/>
      <w:lvlText w:val="%2."/>
      <w:lvlJc w:val="left"/>
      <w:pPr>
        <w:tabs>
          <w:tab w:val="num" w:pos="1440"/>
        </w:tabs>
        <w:ind w:left="1440" w:hanging="360"/>
      </w:pPr>
      <w:rPr>
        <w:rFonts w:ascii="Tahoma" w:hAnsi="Tahoma" w:hint="default"/>
        <w:b/>
        <w:i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2" w:tplc="606A225A">
      <w:start w:val="1"/>
      <w:numFmt w:val="bullet"/>
      <w:lvlText w:val="•"/>
      <w:lvlJc w:val="left"/>
      <w:pPr>
        <w:tabs>
          <w:tab w:val="num" w:pos="2160"/>
        </w:tabs>
        <w:ind w:left="2160" w:hanging="360"/>
      </w:pPr>
      <w:rPr>
        <w:rFonts w:ascii="Tahoma" w:hAnsi="Tahoma" w:hint="default"/>
        <w:b/>
        <w:i w:val="0"/>
        <w:color w:val="auto"/>
        <w:sz w:val="22"/>
        <w:szCs w:val="22"/>
        <w14:shadow w14:blurRad="0" w14:dist="0" w14:dir="0" w14:sx="0" w14:sy="0" w14:kx="0" w14:ky="0" w14:algn="none">
          <w14:srgbClr w14:val="000000"/>
        </w14:shadow>
        <w14:textOutline w14:w="0" w14:cap="rnd" w14:cmpd="sng" w14:algn="ctr">
          <w14:noFill/>
          <w14:prstDash w14:val="solid"/>
          <w14:bevel/>
        </w14:textOutline>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A115DC"/>
    <w:multiLevelType w:val="hybridMultilevel"/>
    <w:tmpl w:val="DE02B56C"/>
    <w:lvl w:ilvl="0" w:tplc="6F2A3926">
      <w:start w:val="1"/>
      <w:numFmt w:val="decimal"/>
      <w:lvlText w:val="%1."/>
      <w:lvlJc w:val="left"/>
      <w:pPr>
        <w:ind w:left="720" w:hanging="360"/>
      </w:pPr>
      <w:rPr>
        <w:rFonts w:ascii="Cambria" w:hAnsi="Cambria"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766A0594"/>
    <w:multiLevelType w:val="hybridMultilevel"/>
    <w:tmpl w:val="79FAEE90"/>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8" w15:restartNumberingAfterBreak="0">
    <w:nsid w:val="7ED15E00"/>
    <w:multiLevelType w:val="hybridMultilevel"/>
    <w:tmpl w:val="7206AF92"/>
    <w:lvl w:ilvl="0" w:tplc="5D7A9A6A">
      <w:start w:val="4"/>
      <w:numFmt w:val="bullet"/>
      <w:lvlText w:val="-"/>
      <w:lvlJc w:val="left"/>
      <w:pPr>
        <w:tabs>
          <w:tab w:val="num" w:pos="927"/>
        </w:tabs>
        <w:ind w:left="927" w:hanging="360"/>
      </w:pPr>
      <w:rPr>
        <w:rFonts w:ascii="CG Times" w:eastAsia="Times New Roman" w:hAnsi="CG Times" w:cs="Times New Roman" w:hint="default"/>
      </w:rPr>
    </w:lvl>
    <w:lvl w:ilvl="1" w:tplc="0C0A0003">
      <w:start w:val="1"/>
      <w:numFmt w:val="bullet"/>
      <w:lvlText w:val="o"/>
      <w:lvlJc w:val="left"/>
      <w:pPr>
        <w:tabs>
          <w:tab w:val="num" w:pos="1647"/>
        </w:tabs>
        <w:ind w:left="1647" w:hanging="360"/>
      </w:pPr>
      <w:rPr>
        <w:rFonts w:ascii="Courier New" w:hAnsi="Courier New" w:cs="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num w:numId="1">
    <w:abstractNumId w:val="6"/>
  </w:num>
  <w:num w:numId="2">
    <w:abstractNumId w:val="2"/>
  </w:num>
  <w:num w:numId="3">
    <w:abstractNumId w:val="23"/>
  </w:num>
  <w:num w:numId="4">
    <w:abstractNumId w:val="0"/>
  </w:num>
  <w:num w:numId="5">
    <w:abstractNumId w:val="15"/>
  </w:num>
  <w:num w:numId="6">
    <w:abstractNumId w:val="18"/>
  </w:num>
  <w:num w:numId="7">
    <w:abstractNumId w:val="3"/>
  </w:num>
  <w:num w:numId="8">
    <w:abstractNumId w:val="9"/>
  </w:num>
  <w:num w:numId="9">
    <w:abstractNumId w:val="19"/>
  </w:num>
  <w:num w:numId="10">
    <w:abstractNumId w:val="13"/>
  </w:num>
  <w:num w:numId="11">
    <w:abstractNumId w:val="7"/>
  </w:num>
  <w:num w:numId="12">
    <w:abstractNumId w:val="5"/>
  </w:num>
  <w:num w:numId="13">
    <w:abstractNumId w:val="11"/>
  </w:num>
  <w:num w:numId="14">
    <w:abstractNumId w:val="20"/>
  </w:num>
  <w:num w:numId="15">
    <w:abstractNumId w:val="16"/>
  </w:num>
  <w:num w:numId="16">
    <w:abstractNumId w:val="14"/>
  </w:num>
  <w:num w:numId="17">
    <w:abstractNumId w:val="17"/>
  </w:num>
  <w:num w:numId="18">
    <w:abstractNumId w:val="25"/>
  </w:num>
  <w:num w:numId="19">
    <w:abstractNumId w:val="4"/>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lvlOverride w:ilvl="3"/>
    <w:lvlOverride w:ilvl="4"/>
    <w:lvlOverride w:ilvl="5"/>
    <w:lvlOverride w:ilvl="6"/>
    <w:lvlOverride w:ilvl="7"/>
    <w:lvlOverride w:ilvl="8"/>
  </w:num>
  <w:num w:numId="23">
    <w:abstractNumId w:val="28"/>
  </w:num>
  <w:num w:numId="24">
    <w:abstractNumId w:val="17"/>
    <w:lvlOverride w:ilvl="0"/>
    <w:lvlOverride w:ilvl="1">
      <w:startOverride w:val="1"/>
    </w:lvlOverride>
    <w:lvlOverride w:ilvl="2"/>
    <w:lvlOverride w:ilvl="3"/>
    <w:lvlOverride w:ilvl="4"/>
    <w:lvlOverride w:ilvl="5"/>
    <w:lvlOverride w:ilvl="6"/>
    <w:lvlOverride w:ilvl="7"/>
    <w:lvlOverride w:ilvl="8"/>
  </w:num>
  <w:num w:numId="25">
    <w:abstractNumId w:val="2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lvlOverride w:ilvl="3"/>
    <w:lvlOverride w:ilvl="4"/>
    <w:lvlOverride w:ilvl="5"/>
    <w:lvlOverride w:ilvl="6"/>
    <w:lvlOverride w:ilvl="7"/>
    <w:lvlOverride w:ilvl="8"/>
  </w:num>
  <w:num w:numId="29">
    <w:abstractNumId w:val="4"/>
  </w:num>
  <w:num w:numId="30">
    <w:abstractNumId w:val="17"/>
    <w:lvlOverride w:ilvl="0"/>
    <w:lvlOverride w:ilvl="1">
      <w:startOverride w:val="1"/>
    </w:lvlOverride>
    <w:lvlOverride w:ilvl="2"/>
    <w:lvlOverride w:ilvl="3"/>
    <w:lvlOverride w:ilvl="4"/>
    <w:lvlOverride w:ilvl="5"/>
    <w:lvlOverride w:ilvl="6"/>
    <w:lvlOverride w:ilvl="7"/>
    <w:lvlOverride w:ilvl="8"/>
  </w:num>
  <w:num w:numId="31">
    <w:abstractNumId w:val="25"/>
    <w:lvlOverride w:ilvl="0"/>
    <w:lvlOverride w:ilvl="1">
      <w:startOverride w:val="1"/>
    </w:lvlOverride>
    <w:lvlOverride w:ilvl="2"/>
    <w:lvlOverride w:ilvl="3"/>
    <w:lvlOverride w:ilvl="4"/>
    <w:lvlOverride w:ilvl="5"/>
    <w:lvlOverride w:ilvl="6"/>
    <w:lvlOverride w:ilvl="7"/>
    <w:lvlOverride w:ilvl="8"/>
  </w:num>
  <w:num w:numId="32">
    <w:abstractNumId w:val="10"/>
    <w:lvlOverride w:ilvl="0"/>
    <w:lvlOverride w:ilvl="1">
      <w:startOverride w:val="1"/>
    </w:lvlOverride>
    <w:lvlOverride w:ilvl="2"/>
    <w:lvlOverride w:ilvl="3"/>
    <w:lvlOverride w:ilvl="4"/>
    <w:lvlOverride w:ilvl="5"/>
    <w:lvlOverride w:ilvl="6"/>
    <w:lvlOverride w:ilvl="7"/>
    <w:lvlOverride w:ilvl="8"/>
  </w:num>
  <w:num w:numId="33">
    <w:abstractNumId w:val="27"/>
  </w:num>
  <w:num w:numId="34">
    <w:abstractNumId w:val="24"/>
  </w:num>
  <w:num w:numId="35">
    <w:abstractNumId w:val="22"/>
  </w:num>
  <w:num w:numId="36">
    <w:abstractNumId w:val="1"/>
  </w:num>
  <w:num w:numId="37">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410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2DocOpenMode" w:val="AS2DocumentEdit"/>
  </w:docVars>
  <w:rsids>
    <w:rsidRoot w:val="0061704E"/>
    <w:rsid w:val="0000186C"/>
    <w:rsid w:val="000022E0"/>
    <w:rsid w:val="00002615"/>
    <w:rsid w:val="000027B3"/>
    <w:rsid w:val="00002A98"/>
    <w:rsid w:val="00002ACD"/>
    <w:rsid w:val="00002FE0"/>
    <w:rsid w:val="00003963"/>
    <w:rsid w:val="00004D7F"/>
    <w:rsid w:val="00004E32"/>
    <w:rsid w:val="00005475"/>
    <w:rsid w:val="000056C5"/>
    <w:rsid w:val="0000620D"/>
    <w:rsid w:val="000063CB"/>
    <w:rsid w:val="000067F5"/>
    <w:rsid w:val="000073F1"/>
    <w:rsid w:val="0001023E"/>
    <w:rsid w:val="00010260"/>
    <w:rsid w:val="00010314"/>
    <w:rsid w:val="00011201"/>
    <w:rsid w:val="000112CC"/>
    <w:rsid w:val="0001175D"/>
    <w:rsid w:val="00011EAD"/>
    <w:rsid w:val="00012231"/>
    <w:rsid w:val="0001244A"/>
    <w:rsid w:val="00012BBA"/>
    <w:rsid w:val="00014762"/>
    <w:rsid w:val="0001575B"/>
    <w:rsid w:val="00015DA0"/>
    <w:rsid w:val="00015FD0"/>
    <w:rsid w:val="00016350"/>
    <w:rsid w:val="000171EA"/>
    <w:rsid w:val="000174B8"/>
    <w:rsid w:val="00017D78"/>
    <w:rsid w:val="00017D8B"/>
    <w:rsid w:val="000209EF"/>
    <w:rsid w:val="00021205"/>
    <w:rsid w:val="00021C4C"/>
    <w:rsid w:val="00021D41"/>
    <w:rsid w:val="000222DE"/>
    <w:rsid w:val="00022856"/>
    <w:rsid w:val="00022CBD"/>
    <w:rsid w:val="0002310E"/>
    <w:rsid w:val="00023398"/>
    <w:rsid w:val="00023FB5"/>
    <w:rsid w:val="00024A96"/>
    <w:rsid w:val="00024C07"/>
    <w:rsid w:val="000250FC"/>
    <w:rsid w:val="00025154"/>
    <w:rsid w:val="0002676A"/>
    <w:rsid w:val="000272E7"/>
    <w:rsid w:val="00027AEB"/>
    <w:rsid w:val="00030BB9"/>
    <w:rsid w:val="00031B6A"/>
    <w:rsid w:val="00031BB2"/>
    <w:rsid w:val="00033FA0"/>
    <w:rsid w:val="000342C3"/>
    <w:rsid w:val="0003440B"/>
    <w:rsid w:val="000344C9"/>
    <w:rsid w:val="00034E38"/>
    <w:rsid w:val="00034F9D"/>
    <w:rsid w:val="00035024"/>
    <w:rsid w:val="000351DD"/>
    <w:rsid w:val="00035E9B"/>
    <w:rsid w:val="000366BB"/>
    <w:rsid w:val="00037222"/>
    <w:rsid w:val="000377C4"/>
    <w:rsid w:val="0003790F"/>
    <w:rsid w:val="0004005E"/>
    <w:rsid w:val="000400D4"/>
    <w:rsid w:val="000400D7"/>
    <w:rsid w:val="00040487"/>
    <w:rsid w:val="00040B89"/>
    <w:rsid w:val="0004143A"/>
    <w:rsid w:val="00041C13"/>
    <w:rsid w:val="00043362"/>
    <w:rsid w:val="00043370"/>
    <w:rsid w:val="00044D78"/>
    <w:rsid w:val="00044E36"/>
    <w:rsid w:val="000453B6"/>
    <w:rsid w:val="0004670B"/>
    <w:rsid w:val="00046E9F"/>
    <w:rsid w:val="00047328"/>
    <w:rsid w:val="000473DB"/>
    <w:rsid w:val="00047906"/>
    <w:rsid w:val="00051BA7"/>
    <w:rsid w:val="000523F8"/>
    <w:rsid w:val="00052813"/>
    <w:rsid w:val="00053103"/>
    <w:rsid w:val="000533AD"/>
    <w:rsid w:val="00053E6C"/>
    <w:rsid w:val="000545C9"/>
    <w:rsid w:val="00054E91"/>
    <w:rsid w:val="000564F9"/>
    <w:rsid w:val="000565E0"/>
    <w:rsid w:val="0005720F"/>
    <w:rsid w:val="00060629"/>
    <w:rsid w:val="000608DD"/>
    <w:rsid w:val="00060B6B"/>
    <w:rsid w:val="00061B28"/>
    <w:rsid w:val="00061E26"/>
    <w:rsid w:val="000630EF"/>
    <w:rsid w:val="000635AA"/>
    <w:rsid w:val="00064BFB"/>
    <w:rsid w:val="00064D60"/>
    <w:rsid w:val="00064EC8"/>
    <w:rsid w:val="00064FC5"/>
    <w:rsid w:val="000656A5"/>
    <w:rsid w:val="00065820"/>
    <w:rsid w:val="00065935"/>
    <w:rsid w:val="00066791"/>
    <w:rsid w:val="000667F6"/>
    <w:rsid w:val="00066946"/>
    <w:rsid w:val="000670CA"/>
    <w:rsid w:val="00067126"/>
    <w:rsid w:val="00067208"/>
    <w:rsid w:val="00067269"/>
    <w:rsid w:val="00067561"/>
    <w:rsid w:val="0006779D"/>
    <w:rsid w:val="00067FDD"/>
    <w:rsid w:val="00070126"/>
    <w:rsid w:val="00070264"/>
    <w:rsid w:val="00070465"/>
    <w:rsid w:val="00070B99"/>
    <w:rsid w:val="00070DBE"/>
    <w:rsid w:val="00070EAC"/>
    <w:rsid w:val="000712CC"/>
    <w:rsid w:val="00071D8B"/>
    <w:rsid w:val="00073831"/>
    <w:rsid w:val="00073D7A"/>
    <w:rsid w:val="00075148"/>
    <w:rsid w:val="00075541"/>
    <w:rsid w:val="00077E86"/>
    <w:rsid w:val="00077F1B"/>
    <w:rsid w:val="000818AA"/>
    <w:rsid w:val="00082BAC"/>
    <w:rsid w:val="00083325"/>
    <w:rsid w:val="0008394A"/>
    <w:rsid w:val="00083A37"/>
    <w:rsid w:val="00083FC1"/>
    <w:rsid w:val="000841A2"/>
    <w:rsid w:val="00084215"/>
    <w:rsid w:val="00084F7C"/>
    <w:rsid w:val="00085F51"/>
    <w:rsid w:val="000862AD"/>
    <w:rsid w:val="00086450"/>
    <w:rsid w:val="00086461"/>
    <w:rsid w:val="00086495"/>
    <w:rsid w:val="00086F9F"/>
    <w:rsid w:val="00087820"/>
    <w:rsid w:val="0008791F"/>
    <w:rsid w:val="00087B5D"/>
    <w:rsid w:val="00090489"/>
    <w:rsid w:val="000910E2"/>
    <w:rsid w:val="0009126B"/>
    <w:rsid w:val="000917B4"/>
    <w:rsid w:val="00091C26"/>
    <w:rsid w:val="00092122"/>
    <w:rsid w:val="00093974"/>
    <w:rsid w:val="00094109"/>
    <w:rsid w:val="0009545C"/>
    <w:rsid w:val="00095579"/>
    <w:rsid w:val="00095873"/>
    <w:rsid w:val="00095EB1"/>
    <w:rsid w:val="00095FA8"/>
    <w:rsid w:val="00096E18"/>
    <w:rsid w:val="0009708E"/>
    <w:rsid w:val="000973E4"/>
    <w:rsid w:val="0009747E"/>
    <w:rsid w:val="00097603"/>
    <w:rsid w:val="00097855"/>
    <w:rsid w:val="00097C30"/>
    <w:rsid w:val="00097CBA"/>
    <w:rsid w:val="000A004C"/>
    <w:rsid w:val="000A1FCE"/>
    <w:rsid w:val="000A2858"/>
    <w:rsid w:val="000A2E40"/>
    <w:rsid w:val="000A3017"/>
    <w:rsid w:val="000A3A80"/>
    <w:rsid w:val="000A3EF0"/>
    <w:rsid w:val="000A43E3"/>
    <w:rsid w:val="000A4C1C"/>
    <w:rsid w:val="000A4FB8"/>
    <w:rsid w:val="000A5435"/>
    <w:rsid w:val="000A62E4"/>
    <w:rsid w:val="000A6D0D"/>
    <w:rsid w:val="000A767A"/>
    <w:rsid w:val="000B02C3"/>
    <w:rsid w:val="000B0FB6"/>
    <w:rsid w:val="000B111F"/>
    <w:rsid w:val="000B1C49"/>
    <w:rsid w:val="000B1E3E"/>
    <w:rsid w:val="000B20B1"/>
    <w:rsid w:val="000B2373"/>
    <w:rsid w:val="000B29CB"/>
    <w:rsid w:val="000B2F54"/>
    <w:rsid w:val="000B3218"/>
    <w:rsid w:val="000B34BD"/>
    <w:rsid w:val="000B3FF7"/>
    <w:rsid w:val="000B4321"/>
    <w:rsid w:val="000B48EB"/>
    <w:rsid w:val="000B59F8"/>
    <w:rsid w:val="000B64ED"/>
    <w:rsid w:val="000B6F1E"/>
    <w:rsid w:val="000B7057"/>
    <w:rsid w:val="000B7DFD"/>
    <w:rsid w:val="000C0083"/>
    <w:rsid w:val="000C00BB"/>
    <w:rsid w:val="000C057B"/>
    <w:rsid w:val="000C189F"/>
    <w:rsid w:val="000C1FEC"/>
    <w:rsid w:val="000C2100"/>
    <w:rsid w:val="000C254B"/>
    <w:rsid w:val="000C290D"/>
    <w:rsid w:val="000C34CB"/>
    <w:rsid w:val="000C45AF"/>
    <w:rsid w:val="000C4E27"/>
    <w:rsid w:val="000C4EDC"/>
    <w:rsid w:val="000C522D"/>
    <w:rsid w:val="000C5654"/>
    <w:rsid w:val="000C5BCF"/>
    <w:rsid w:val="000C5DBB"/>
    <w:rsid w:val="000C61B4"/>
    <w:rsid w:val="000C664C"/>
    <w:rsid w:val="000C68E6"/>
    <w:rsid w:val="000C768C"/>
    <w:rsid w:val="000C786C"/>
    <w:rsid w:val="000C7EB2"/>
    <w:rsid w:val="000D016A"/>
    <w:rsid w:val="000D0218"/>
    <w:rsid w:val="000D05FB"/>
    <w:rsid w:val="000D090C"/>
    <w:rsid w:val="000D1B86"/>
    <w:rsid w:val="000D1DB5"/>
    <w:rsid w:val="000D1F87"/>
    <w:rsid w:val="000D200F"/>
    <w:rsid w:val="000D20D6"/>
    <w:rsid w:val="000D2E0E"/>
    <w:rsid w:val="000D32BD"/>
    <w:rsid w:val="000D3540"/>
    <w:rsid w:val="000D36B5"/>
    <w:rsid w:val="000D490B"/>
    <w:rsid w:val="000D51F0"/>
    <w:rsid w:val="000D558E"/>
    <w:rsid w:val="000D5B36"/>
    <w:rsid w:val="000D6625"/>
    <w:rsid w:val="000D6B2E"/>
    <w:rsid w:val="000D73A2"/>
    <w:rsid w:val="000E04A0"/>
    <w:rsid w:val="000E12BE"/>
    <w:rsid w:val="000E1733"/>
    <w:rsid w:val="000E1C3B"/>
    <w:rsid w:val="000E1CBB"/>
    <w:rsid w:val="000E1F61"/>
    <w:rsid w:val="000E2CF2"/>
    <w:rsid w:val="000E3BE8"/>
    <w:rsid w:val="000E4A83"/>
    <w:rsid w:val="000E66EE"/>
    <w:rsid w:val="000E6D58"/>
    <w:rsid w:val="000E7504"/>
    <w:rsid w:val="000E7950"/>
    <w:rsid w:val="000E7CBF"/>
    <w:rsid w:val="000F1785"/>
    <w:rsid w:val="000F1B2E"/>
    <w:rsid w:val="000F2028"/>
    <w:rsid w:val="000F2CE3"/>
    <w:rsid w:val="000F302D"/>
    <w:rsid w:val="000F3D6E"/>
    <w:rsid w:val="000F3DE4"/>
    <w:rsid w:val="000F4AB8"/>
    <w:rsid w:val="000F4D21"/>
    <w:rsid w:val="000F52A6"/>
    <w:rsid w:val="000F5FD8"/>
    <w:rsid w:val="000F61A6"/>
    <w:rsid w:val="000F6348"/>
    <w:rsid w:val="000F65DF"/>
    <w:rsid w:val="000F6B4F"/>
    <w:rsid w:val="001002EB"/>
    <w:rsid w:val="00100748"/>
    <w:rsid w:val="001010CE"/>
    <w:rsid w:val="001011BC"/>
    <w:rsid w:val="001015E4"/>
    <w:rsid w:val="00101C60"/>
    <w:rsid w:val="00101C67"/>
    <w:rsid w:val="00102924"/>
    <w:rsid w:val="00102A27"/>
    <w:rsid w:val="00103CFC"/>
    <w:rsid w:val="001040DF"/>
    <w:rsid w:val="0010411F"/>
    <w:rsid w:val="001044EE"/>
    <w:rsid w:val="00104EA0"/>
    <w:rsid w:val="00104FAC"/>
    <w:rsid w:val="001051A8"/>
    <w:rsid w:val="00105604"/>
    <w:rsid w:val="00105FA9"/>
    <w:rsid w:val="0010685E"/>
    <w:rsid w:val="00106CBF"/>
    <w:rsid w:val="0010715A"/>
    <w:rsid w:val="001071A7"/>
    <w:rsid w:val="00107784"/>
    <w:rsid w:val="00110F09"/>
    <w:rsid w:val="001117B1"/>
    <w:rsid w:val="00112B23"/>
    <w:rsid w:val="00112F66"/>
    <w:rsid w:val="00113236"/>
    <w:rsid w:val="00113732"/>
    <w:rsid w:val="00114585"/>
    <w:rsid w:val="00114604"/>
    <w:rsid w:val="00114A16"/>
    <w:rsid w:val="001150C6"/>
    <w:rsid w:val="001152ED"/>
    <w:rsid w:val="00115677"/>
    <w:rsid w:val="00116978"/>
    <w:rsid w:val="0011789B"/>
    <w:rsid w:val="00117DC2"/>
    <w:rsid w:val="00117EA9"/>
    <w:rsid w:val="00117EDF"/>
    <w:rsid w:val="00117FE4"/>
    <w:rsid w:val="0012011D"/>
    <w:rsid w:val="0012012C"/>
    <w:rsid w:val="0012022B"/>
    <w:rsid w:val="00120373"/>
    <w:rsid w:val="001205DD"/>
    <w:rsid w:val="00120D99"/>
    <w:rsid w:val="00120EB1"/>
    <w:rsid w:val="00120F07"/>
    <w:rsid w:val="001216E5"/>
    <w:rsid w:val="00122512"/>
    <w:rsid w:val="00122FA3"/>
    <w:rsid w:val="00123B75"/>
    <w:rsid w:val="00124943"/>
    <w:rsid w:val="00124CB0"/>
    <w:rsid w:val="00125131"/>
    <w:rsid w:val="00125194"/>
    <w:rsid w:val="00125F17"/>
    <w:rsid w:val="00126610"/>
    <w:rsid w:val="00126B1B"/>
    <w:rsid w:val="00126B65"/>
    <w:rsid w:val="0012737C"/>
    <w:rsid w:val="001274E6"/>
    <w:rsid w:val="00130772"/>
    <w:rsid w:val="00130BA6"/>
    <w:rsid w:val="0013121D"/>
    <w:rsid w:val="00131244"/>
    <w:rsid w:val="0013234B"/>
    <w:rsid w:val="00132797"/>
    <w:rsid w:val="0013312D"/>
    <w:rsid w:val="00133464"/>
    <w:rsid w:val="00133C5B"/>
    <w:rsid w:val="00133CEC"/>
    <w:rsid w:val="001340F9"/>
    <w:rsid w:val="00135F9E"/>
    <w:rsid w:val="001366DC"/>
    <w:rsid w:val="00136F07"/>
    <w:rsid w:val="001375DB"/>
    <w:rsid w:val="00137996"/>
    <w:rsid w:val="00137DA6"/>
    <w:rsid w:val="00137E8D"/>
    <w:rsid w:val="00140F04"/>
    <w:rsid w:val="0014208C"/>
    <w:rsid w:val="001426AB"/>
    <w:rsid w:val="001427FC"/>
    <w:rsid w:val="001428C5"/>
    <w:rsid w:val="00143B78"/>
    <w:rsid w:val="00143C7E"/>
    <w:rsid w:val="0014541E"/>
    <w:rsid w:val="0014578F"/>
    <w:rsid w:val="001468A0"/>
    <w:rsid w:val="001468B4"/>
    <w:rsid w:val="00146FA8"/>
    <w:rsid w:val="00147207"/>
    <w:rsid w:val="00147661"/>
    <w:rsid w:val="00147B74"/>
    <w:rsid w:val="00151E6D"/>
    <w:rsid w:val="001523DF"/>
    <w:rsid w:val="001535DB"/>
    <w:rsid w:val="00153629"/>
    <w:rsid w:val="001538C0"/>
    <w:rsid w:val="00153AD6"/>
    <w:rsid w:val="00153CC5"/>
    <w:rsid w:val="00153FEF"/>
    <w:rsid w:val="0015442E"/>
    <w:rsid w:val="00154CA6"/>
    <w:rsid w:val="00154D7D"/>
    <w:rsid w:val="0015520C"/>
    <w:rsid w:val="001556EB"/>
    <w:rsid w:val="001568B8"/>
    <w:rsid w:val="00157043"/>
    <w:rsid w:val="001602E7"/>
    <w:rsid w:val="001607A7"/>
    <w:rsid w:val="001618F5"/>
    <w:rsid w:val="00162D2D"/>
    <w:rsid w:val="001630B5"/>
    <w:rsid w:val="001635E5"/>
    <w:rsid w:val="001636E1"/>
    <w:rsid w:val="00163CFE"/>
    <w:rsid w:val="00164601"/>
    <w:rsid w:val="00164D57"/>
    <w:rsid w:val="00165FB5"/>
    <w:rsid w:val="001664C4"/>
    <w:rsid w:val="001669B4"/>
    <w:rsid w:val="00167376"/>
    <w:rsid w:val="00170166"/>
    <w:rsid w:val="0017026D"/>
    <w:rsid w:val="00170F01"/>
    <w:rsid w:val="0017151F"/>
    <w:rsid w:val="00171989"/>
    <w:rsid w:val="00171D9B"/>
    <w:rsid w:val="00171EB6"/>
    <w:rsid w:val="00171EE7"/>
    <w:rsid w:val="00172475"/>
    <w:rsid w:val="001724A7"/>
    <w:rsid w:val="00172A4B"/>
    <w:rsid w:val="00172B65"/>
    <w:rsid w:val="00173165"/>
    <w:rsid w:val="00173857"/>
    <w:rsid w:val="0017422F"/>
    <w:rsid w:val="00175639"/>
    <w:rsid w:val="001758AE"/>
    <w:rsid w:val="001763EF"/>
    <w:rsid w:val="00176584"/>
    <w:rsid w:val="001770A7"/>
    <w:rsid w:val="00180A79"/>
    <w:rsid w:val="00180E5F"/>
    <w:rsid w:val="00180EBF"/>
    <w:rsid w:val="0018112D"/>
    <w:rsid w:val="0018255B"/>
    <w:rsid w:val="001826CF"/>
    <w:rsid w:val="00182983"/>
    <w:rsid w:val="00183249"/>
    <w:rsid w:val="00183346"/>
    <w:rsid w:val="0018466C"/>
    <w:rsid w:val="001852F7"/>
    <w:rsid w:val="00185630"/>
    <w:rsid w:val="00187878"/>
    <w:rsid w:val="00193515"/>
    <w:rsid w:val="00193C79"/>
    <w:rsid w:val="00193DA0"/>
    <w:rsid w:val="001940D5"/>
    <w:rsid w:val="001941B6"/>
    <w:rsid w:val="0019471D"/>
    <w:rsid w:val="001950AF"/>
    <w:rsid w:val="001951F7"/>
    <w:rsid w:val="0019565A"/>
    <w:rsid w:val="0019582E"/>
    <w:rsid w:val="0019592E"/>
    <w:rsid w:val="00196704"/>
    <w:rsid w:val="00196D54"/>
    <w:rsid w:val="0019745B"/>
    <w:rsid w:val="001976CC"/>
    <w:rsid w:val="001A1260"/>
    <w:rsid w:val="001A127D"/>
    <w:rsid w:val="001A1AD2"/>
    <w:rsid w:val="001A1D0B"/>
    <w:rsid w:val="001A1E4B"/>
    <w:rsid w:val="001A1E72"/>
    <w:rsid w:val="001A27D6"/>
    <w:rsid w:val="001A41E7"/>
    <w:rsid w:val="001A4CD8"/>
    <w:rsid w:val="001A56D8"/>
    <w:rsid w:val="001A581C"/>
    <w:rsid w:val="001A641C"/>
    <w:rsid w:val="001A6505"/>
    <w:rsid w:val="001A659D"/>
    <w:rsid w:val="001A6852"/>
    <w:rsid w:val="001A693C"/>
    <w:rsid w:val="001A6D63"/>
    <w:rsid w:val="001A72A5"/>
    <w:rsid w:val="001A7839"/>
    <w:rsid w:val="001B11CB"/>
    <w:rsid w:val="001B120F"/>
    <w:rsid w:val="001B2759"/>
    <w:rsid w:val="001B2B25"/>
    <w:rsid w:val="001B3BA9"/>
    <w:rsid w:val="001B3E7E"/>
    <w:rsid w:val="001B4164"/>
    <w:rsid w:val="001B41B1"/>
    <w:rsid w:val="001B49E9"/>
    <w:rsid w:val="001B4A3C"/>
    <w:rsid w:val="001B6436"/>
    <w:rsid w:val="001B65B5"/>
    <w:rsid w:val="001B664F"/>
    <w:rsid w:val="001B711A"/>
    <w:rsid w:val="001B7753"/>
    <w:rsid w:val="001B7FCB"/>
    <w:rsid w:val="001C0391"/>
    <w:rsid w:val="001C070F"/>
    <w:rsid w:val="001C0F95"/>
    <w:rsid w:val="001C0FDE"/>
    <w:rsid w:val="001C1177"/>
    <w:rsid w:val="001C15F2"/>
    <w:rsid w:val="001C1D4A"/>
    <w:rsid w:val="001C2BAF"/>
    <w:rsid w:val="001C2CFA"/>
    <w:rsid w:val="001C2E2F"/>
    <w:rsid w:val="001C2F9F"/>
    <w:rsid w:val="001C3384"/>
    <w:rsid w:val="001C4319"/>
    <w:rsid w:val="001C4EA5"/>
    <w:rsid w:val="001C5DF0"/>
    <w:rsid w:val="001C5E71"/>
    <w:rsid w:val="001C639A"/>
    <w:rsid w:val="001C7C51"/>
    <w:rsid w:val="001D0239"/>
    <w:rsid w:val="001D054B"/>
    <w:rsid w:val="001D0D74"/>
    <w:rsid w:val="001D133A"/>
    <w:rsid w:val="001D153E"/>
    <w:rsid w:val="001D225A"/>
    <w:rsid w:val="001D338B"/>
    <w:rsid w:val="001D368C"/>
    <w:rsid w:val="001D36D5"/>
    <w:rsid w:val="001D3753"/>
    <w:rsid w:val="001D445E"/>
    <w:rsid w:val="001D448B"/>
    <w:rsid w:val="001D4D6C"/>
    <w:rsid w:val="001D4E82"/>
    <w:rsid w:val="001D52F3"/>
    <w:rsid w:val="001D6608"/>
    <w:rsid w:val="001D6A67"/>
    <w:rsid w:val="001D7A14"/>
    <w:rsid w:val="001D7D11"/>
    <w:rsid w:val="001E0573"/>
    <w:rsid w:val="001E1695"/>
    <w:rsid w:val="001E17A7"/>
    <w:rsid w:val="001E3AFF"/>
    <w:rsid w:val="001E40DA"/>
    <w:rsid w:val="001E4292"/>
    <w:rsid w:val="001E42D9"/>
    <w:rsid w:val="001E4829"/>
    <w:rsid w:val="001E5643"/>
    <w:rsid w:val="001E666F"/>
    <w:rsid w:val="001E6F03"/>
    <w:rsid w:val="001E7227"/>
    <w:rsid w:val="001F0051"/>
    <w:rsid w:val="001F0B2B"/>
    <w:rsid w:val="001F151E"/>
    <w:rsid w:val="001F189C"/>
    <w:rsid w:val="001F1A22"/>
    <w:rsid w:val="001F1EAB"/>
    <w:rsid w:val="001F2336"/>
    <w:rsid w:val="001F2821"/>
    <w:rsid w:val="001F2901"/>
    <w:rsid w:val="001F2E9F"/>
    <w:rsid w:val="001F3EF9"/>
    <w:rsid w:val="001F4140"/>
    <w:rsid w:val="001F44AE"/>
    <w:rsid w:val="001F4E0E"/>
    <w:rsid w:val="001F5579"/>
    <w:rsid w:val="0020017E"/>
    <w:rsid w:val="00201726"/>
    <w:rsid w:val="0020178B"/>
    <w:rsid w:val="00201AEC"/>
    <w:rsid w:val="00201C61"/>
    <w:rsid w:val="00201D7B"/>
    <w:rsid w:val="002031B6"/>
    <w:rsid w:val="00204987"/>
    <w:rsid w:val="00204F3F"/>
    <w:rsid w:val="00205456"/>
    <w:rsid w:val="00205FC9"/>
    <w:rsid w:val="00206089"/>
    <w:rsid w:val="00206215"/>
    <w:rsid w:val="002071C6"/>
    <w:rsid w:val="0020729D"/>
    <w:rsid w:val="00207A41"/>
    <w:rsid w:val="00210652"/>
    <w:rsid w:val="0021078D"/>
    <w:rsid w:val="002108D3"/>
    <w:rsid w:val="002113FA"/>
    <w:rsid w:val="0021273A"/>
    <w:rsid w:val="00212CB7"/>
    <w:rsid w:val="00212E18"/>
    <w:rsid w:val="00213ACD"/>
    <w:rsid w:val="00214758"/>
    <w:rsid w:val="002148E9"/>
    <w:rsid w:val="00214BF0"/>
    <w:rsid w:val="0021539E"/>
    <w:rsid w:val="00215F56"/>
    <w:rsid w:val="00216D4E"/>
    <w:rsid w:val="00216D58"/>
    <w:rsid w:val="00217257"/>
    <w:rsid w:val="00217CCD"/>
    <w:rsid w:val="002210A4"/>
    <w:rsid w:val="0022174C"/>
    <w:rsid w:val="002217E0"/>
    <w:rsid w:val="0022294D"/>
    <w:rsid w:val="002240F4"/>
    <w:rsid w:val="002260C2"/>
    <w:rsid w:val="002269D1"/>
    <w:rsid w:val="002277A6"/>
    <w:rsid w:val="00230283"/>
    <w:rsid w:val="002312C5"/>
    <w:rsid w:val="0023158C"/>
    <w:rsid w:val="00231D30"/>
    <w:rsid w:val="0023231D"/>
    <w:rsid w:val="002323FA"/>
    <w:rsid w:val="00232557"/>
    <w:rsid w:val="002325DF"/>
    <w:rsid w:val="00232A5F"/>
    <w:rsid w:val="00233E1A"/>
    <w:rsid w:val="00233ECD"/>
    <w:rsid w:val="0023440A"/>
    <w:rsid w:val="0023487E"/>
    <w:rsid w:val="00234E31"/>
    <w:rsid w:val="00234E4A"/>
    <w:rsid w:val="0023569E"/>
    <w:rsid w:val="00235A54"/>
    <w:rsid w:val="0023623C"/>
    <w:rsid w:val="00236671"/>
    <w:rsid w:val="00236788"/>
    <w:rsid w:val="00236CB9"/>
    <w:rsid w:val="00237309"/>
    <w:rsid w:val="00237C1A"/>
    <w:rsid w:val="00240425"/>
    <w:rsid w:val="002410E2"/>
    <w:rsid w:val="0024195F"/>
    <w:rsid w:val="00242630"/>
    <w:rsid w:val="00242CC7"/>
    <w:rsid w:val="00242E2E"/>
    <w:rsid w:val="002434F4"/>
    <w:rsid w:val="0024399E"/>
    <w:rsid w:val="00243B4B"/>
    <w:rsid w:val="00243BCA"/>
    <w:rsid w:val="00243DE5"/>
    <w:rsid w:val="002448F7"/>
    <w:rsid w:val="00244B0F"/>
    <w:rsid w:val="00244FE2"/>
    <w:rsid w:val="002450D9"/>
    <w:rsid w:val="00246205"/>
    <w:rsid w:val="002467A7"/>
    <w:rsid w:val="00246FA0"/>
    <w:rsid w:val="00247716"/>
    <w:rsid w:val="0024783F"/>
    <w:rsid w:val="00247CC7"/>
    <w:rsid w:val="00250A81"/>
    <w:rsid w:val="00250BFB"/>
    <w:rsid w:val="00251F31"/>
    <w:rsid w:val="00251F8F"/>
    <w:rsid w:val="002528A7"/>
    <w:rsid w:val="00252D92"/>
    <w:rsid w:val="00253380"/>
    <w:rsid w:val="0025382F"/>
    <w:rsid w:val="002538FB"/>
    <w:rsid w:val="00254537"/>
    <w:rsid w:val="002548FA"/>
    <w:rsid w:val="00254B85"/>
    <w:rsid w:val="00254CBB"/>
    <w:rsid w:val="002555D0"/>
    <w:rsid w:val="00255BBA"/>
    <w:rsid w:val="0025620F"/>
    <w:rsid w:val="002570BB"/>
    <w:rsid w:val="0025745A"/>
    <w:rsid w:val="002579AD"/>
    <w:rsid w:val="0026038E"/>
    <w:rsid w:val="00260877"/>
    <w:rsid w:val="002634E5"/>
    <w:rsid w:val="002634F7"/>
    <w:rsid w:val="00263AF7"/>
    <w:rsid w:val="00264B98"/>
    <w:rsid w:val="00264DE6"/>
    <w:rsid w:val="00264E82"/>
    <w:rsid w:val="00264F89"/>
    <w:rsid w:val="00266F59"/>
    <w:rsid w:val="0026742D"/>
    <w:rsid w:val="0027020F"/>
    <w:rsid w:val="00270639"/>
    <w:rsid w:val="0027157A"/>
    <w:rsid w:val="00271CF4"/>
    <w:rsid w:val="0027272D"/>
    <w:rsid w:val="00272894"/>
    <w:rsid w:val="002728F4"/>
    <w:rsid w:val="0027299B"/>
    <w:rsid w:val="00272F97"/>
    <w:rsid w:val="0027398E"/>
    <w:rsid w:val="0027422F"/>
    <w:rsid w:val="00274C1A"/>
    <w:rsid w:val="00275BAC"/>
    <w:rsid w:val="00275E1D"/>
    <w:rsid w:val="00277B96"/>
    <w:rsid w:val="00280254"/>
    <w:rsid w:val="002805C0"/>
    <w:rsid w:val="00280BDA"/>
    <w:rsid w:val="00280F28"/>
    <w:rsid w:val="00281B1A"/>
    <w:rsid w:val="00282137"/>
    <w:rsid w:val="002821CC"/>
    <w:rsid w:val="00282390"/>
    <w:rsid w:val="00282F58"/>
    <w:rsid w:val="00283492"/>
    <w:rsid w:val="002834DD"/>
    <w:rsid w:val="0028392F"/>
    <w:rsid w:val="00283AF1"/>
    <w:rsid w:val="002847EB"/>
    <w:rsid w:val="00284D60"/>
    <w:rsid w:val="00285240"/>
    <w:rsid w:val="002856E0"/>
    <w:rsid w:val="00286332"/>
    <w:rsid w:val="0028634A"/>
    <w:rsid w:val="00286611"/>
    <w:rsid w:val="00290EA5"/>
    <w:rsid w:val="00291299"/>
    <w:rsid w:val="002916AA"/>
    <w:rsid w:val="00292023"/>
    <w:rsid w:val="0029277D"/>
    <w:rsid w:val="0029418A"/>
    <w:rsid w:val="00294C9A"/>
    <w:rsid w:val="00294F9D"/>
    <w:rsid w:val="00295BC2"/>
    <w:rsid w:val="00296A18"/>
    <w:rsid w:val="00297407"/>
    <w:rsid w:val="002977E6"/>
    <w:rsid w:val="00297846"/>
    <w:rsid w:val="00297E9C"/>
    <w:rsid w:val="002A034E"/>
    <w:rsid w:val="002A0CE7"/>
    <w:rsid w:val="002A14FA"/>
    <w:rsid w:val="002A273B"/>
    <w:rsid w:val="002A2BC2"/>
    <w:rsid w:val="002A2DD5"/>
    <w:rsid w:val="002A2E51"/>
    <w:rsid w:val="002A33FE"/>
    <w:rsid w:val="002A3D88"/>
    <w:rsid w:val="002A4CC5"/>
    <w:rsid w:val="002A4FE2"/>
    <w:rsid w:val="002A68BB"/>
    <w:rsid w:val="002A721F"/>
    <w:rsid w:val="002A7C1C"/>
    <w:rsid w:val="002B02FA"/>
    <w:rsid w:val="002B0723"/>
    <w:rsid w:val="002B1C1A"/>
    <w:rsid w:val="002B26CB"/>
    <w:rsid w:val="002B26D7"/>
    <w:rsid w:val="002B2D51"/>
    <w:rsid w:val="002B33ED"/>
    <w:rsid w:val="002B3BCD"/>
    <w:rsid w:val="002B3F3D"/>
    <w:rsid w:val="002B493A"/>
    <w:rsid w:val="002B4A68"/>
    <w:rsid w:val="002B4E7E"/>
    <w:rsid w:val="002B4ED9"/>
    <w:rsid w:val="002B55B3"/>
    <w:rsid w:val="002B56CC"/>
    <w:rsid w:val="002B5B94"/>
    <w:rsid w:val="002B6230"/>
    <w:rsid w:val="002B63C4"/>
    <w:rsid w:val="002B6B22"/>
    <w:rsid w:val="002B6D8F"/>
    <w:rsid w:val="002B7CB4"/>
    <w:rsid w:val="002C02A0"/>
    <w:rsid w:val="002C09A1"/>
    <w:rsid w:val="002C0C0B"/>
    <w:rsid w:val="002C0CF5"/>
    <w:rsid w:val="002C0FD7"/>
    <w:rsid w:val="002C1319"/>
    <w:rsid w:val="002C173C"/>
    <w:rsid w:val="002C25AE"/>
    <w:rsid w:val="002C25EC"/>
    <w:rsid w:val="002C28D3"/>
    <w:rsid w:val="002C2AB1"/>
    <w:rsid w:val="002C33A7"/>
    <w:rsid w:val="002C344B"/>
    <w:rsid w:val="002C3AAC"/>
    <w:rsid w:val="002C3D1F"/>
    <w:rsid w:val="002C3E53"/>
    <w:rsid w:val="002C3F1F"/>
    <w:rsid w:val="002C4978"/>
    <w:rsid w:val="002C4BEC"/>
    <w:rsid w:val="002C5320"/>
    <w:rsid w:val="002C6348"/>
    <w:rsid w:val="002C7034"/>
    <w:rsid w:val="002C7273"/>
    <w:rsid w:val="002C778A"/>
    <w:rsid w:val="002D01BE"/>
    <w:rsid w:val="002D09DE"/>
    <w:rsid w:val="002D1386"/>
    <w:rsid w:val="002D2062"/>
    <w:rsid w:val="002D228F"/>
    <w:rsid w:val="002D232E"/>
    <w:rsid w:val="002D241B"/>
    <w:rsid w:val="002D2C59"/>
    <w:rsid w:val="002D31A7"/>
    <w:rsid w:val="002D3833"/>
    <w:rsid w:val="002D385B"/>
    <w:rsid w:val="002D3E79"/>
    <w:rsid w:val="002D40D7"/>
    <w:rsid w:val="002D414E"/>
    <w:rsid w:val="002D462B"/>
    <w:rsid w:val="002D5072"/>
    <w:rsid w:val="002D50A2"/>
    <w:rsid w:val="002D5392"/>
    <w:rsid w:val="002D5994"/>
    <w:rsid w:val="002D5D45"/>
    <w:rsid w:val="002D6127"/>
    <w:rsid w:val="002D6927"/>
    <w:rsid w:val="002D6B88"/>
    <w:rsid w:val="002E06EA"/>
    <w:rsid w:val="002E07EB"/>
    <w:rsid w:val="002E0DB9"/>
    <w:rsid w:val="002E126C"/>
    <w:rsid w:val="002E1EA8"/>
    <w:rsid w:val="002E1F79"/>
    <w:rsid w:val="002E20D6"/>
    <w:rsid w:val="002E2C87"/>
    <w:rsid w:val="002E3AE7"/>
    <w:rsid w:val="002E4178"/>
    <w:rsid w:val="002E4835"/>
    <w:rsid w:val="002E4AAD"/>
    <w:rsid w:val="002E4C19"/>
    <w:rsid w:val="002E4F2D"/>
    <w:rsid w:val="002E627C"/>
    <w:rsid w:val="002E66DF"/>
    <w:rsid w:val="002E76CC"/>
    <w:rsid w:val="002E7BD1"/>
    <w:rsid w:val="002E7BE9"/>
    <w:rsid w:val="002E7E59"/>
    <w:rsid w:val="002F0D04"/>
    <w:rsid w:val="002F121C"/>
    <w:rsid w:val="002F1365"/>
    <w:rsid w:val="002F14FF"/>
    <w:rsid w:val="002F218E"/>
    <w:rsid w:val="002F25BE"/>
    <w:rsid w:val="002F2E5D"/>
    <w:rsid w:val="002F3ACF"/>
    <w:rsid w:val="002F4471"/>
    <w:rsid w:val="002F45A8"/>
    <w:rsid w:val="002F4AF5"/>
    <w:rsid w:val="002F5064"/>
    <w:rsid w:val="002F5073"/>
    <w:rsid w:val="002F5AA5"/>
    <w:rsid w:val="002F5DF3"/>
    <w:rsid w:val="002F61C9"/>
    <w:rsid w:val="002F71A4"/>
    <w:rsid w:val="003003D8"/>
    <w:rsid w:val="00300618"/>
    <w:rsid w:val="00301D1E"/>
    <w:rsid w:val="003025CF"/>
    <w:rsid w:val="00302B39"/>
    <w:rsid w:val="00302B99"/>
    <w:rsid w:val="00302DFB"/>
    <w:rsid w:val="003033B1"/>
    <w:rsid w:val="003033F6"/>
    <w:rsid w:val="00303DBF"/>
    <w:rsid w:val="00303E2C"/>
    <w:rsid w:val="00303FFC"/>
    <w:rsid w:val="0030493E"/>
    <w:rsid w:val="003055F5"/>
    <w:rsid w:val="00305AEF"/>
    <w:rsid w:val="00306FEF"/>
    <w:rsid w:val="00307528"/>
    <w:rsid w:val="0031074C"/>
    <w:rsid w:val="00310CD4"/>
    <w:rsid w:val="00311153"/>
    <w:rsid w:val="0031158D"/>
    <w:rsid w:val="003116AF"/>
    <w:rsid w:val="00312564"/>
    <w:rsid w:val="003128DA"/>
    <w:rsid w:val="003131FA"/>
    <w:rsid w:val="0031347D"/>
    <w:rsid w:val="003141EA"/>
    <w:rsid w:val="00314425"/>
    <w:rsid w:val="0031450E"/>
    <w:rsid w:val="0031639A"/>
    <w:rsid w:val="0031695C"/>
    <w:rsid w:val="003172B1"/>
    <w:rsid w:val="003200A0"/>
    <w:rsid w:val="003200DF"/>
    <w:rsid w:val="00320D3C"/>
    <w:rsid w:val="003226EA"/>
    <w:rsid w:val="00322F49"/>
    <w:rsid w:val="00323541"/>
    <w:rsid w:val="00323836"/>
    <w:rsid w:val="003244C7"/>
    <w:rsid w:val="0032496D"/>
    <w:rsid w:val="00325223"/>
    <w:rsid w:val="00325478"/>
    <w:rsid w:val="00325A63"/>
    <w:rsid w:val="00325E77"/>
    <w:rsid w:val="00326296"/>
    <w:rsid w:val="00326371"/>
    <w:rsid w:val="0032795A"/>
    <w:rsid w:val="00327B13"/>
    <w:rsid w:val="00327ED0"/>
    <w:rsid w:val="00331BD8"/>
    <w:rsid w:val="00331E74"/>
    <w:rsid w:val="0033254A"/>
    <w:rsid w:val="0033370D"/>
    <w:rsid w:val="0033517C"/>
    <w:rsid w:val="00336296"/>
    <w:rsid w:val="00336A2E"/>
    <w:rsid w:val="003371AC"/>
    <w:rsid w:val="003372DF"/>
    <w:rsid w:val="003402A1"/>
    <w:rsid w:val="003402CC"/>
    <w:rsid w:val="003406ED"/>
    <w:rsid w:val="00340BE8"/>
    <w:rsid w:val="00341408"/>
    <w:rsid w:val="00343302"/>
    <w:rsid w:val="003435E8"/>
    <w:rsid w:val="0034367E"/>
    <w:rsid w:val="0034384E"/>
    <w:rsid w:val="00343BF3"/>
    <w:rsid w:val="003441CC"/>
    <w:rsid w:val="003458B3"/>
    <w:rsid w:val="00346098"/>
    <w:rsid w:val="0034659C"/>
    <w:rsid w:val="00346E96"/>
    <w:rsid w:val="00346F6D"/>
    <w:rsid w:val="00347438"/>
    <w:rsid w:val="00347937"/>
    <w:rsid w:val="0035206F"/>
    <w:rsid w:val="0035286D"/>
    <w:rsid w:val="0035385A"/>
    <w:rsid w:val="0035444D"/>
    <w:rsid w:val="0035632C"/>
    <w:rsid w:val="0035646E"/>
    <w:rsid w:val="00356560"/>
    <w:rsid w:val="003567FB"/>
    <w:rsid w:val="00356A0A"/>
    <w:rsid w:val="00356B0D"/>
    <w:rsid w:val="00357BB3"/>
    <w:rsid w:val="0036024D"/>
    <w:rsid w:val="00360A43"/>
    <w:rsid w:val="00361050"/>
    <w:rsid w:val="00361596"/>
    <w:rsid w:val="00361E2B"/>
    <w:rsid w:val="00361F8B"/>
    <w:rsid w:val="00362530"/>
    <w:rsid w:val="00362E95"/>
    <w:rsid w:val="00363514"/>
    <w:rsid w:val="003635EA"/>
    <w:rsid w:val="003646CF"/>
    <w:rsid w:val="003649FE"/>
    <w:rsid w:val="00365050"/>
    <w:rsid w:val="00365ED0"/>
    <w:rsid w:val="003661EC"/>
    <w:rsid w:val="00366931"/>
    <w:rsid w:val="00366949"/>
    <w:rsid w:val="00366E19"/>
    <w:rsid w:val="003671B7"/>
    <w:rsid w:val="003673DE"/>
    <w:rsid w:val="00367F91"/>
    <w:rsid w:val="00370009"/>
    <w:rsid w:val="00370771"/>
    <w:rsid w:val="00370866"/>
    <w:rsid w:val="003708EC"/>
    <w:rsid w:val="00370D10"/>
    <w:rsid w:val="00371490"/>
    <w:rsid w:val="003718A9"/>
    <w:rsid w:val="00371C4A"/>
    <w:rsid w:val="00373000"/>
    <w:rsid w:val="00373DA8"/>
    <w:rsid w:val="00373DF8"/>
    <w:rsid w:val="00374C30"/>
    <w:rsid w:val="0037527B"/>
    <w:rsid w:val="00375609"/>
    <w:rsid w:val="00376787"/>
    <w:rsid w:val="00377246"/>
    <w:rsid w:val="003774D3"/>
    <w:rsid w:val="00377C70"/>
    <w:rsid w:val="00377F7A"/>
    <w:rsid w:val="0038002D"/>
    <w:rsid w:val="00380156"/>
    <w:rsid w:val="00381228"/>
    <w:rsid w:val="003816E1"/>
    <w:rsid w:val="00381B8C"/>
    <w:rsid w:val="00381D3C"/>
    <w:rsid w:val="00382177"/>
    <w:rsid w:val="0038347C"/>
    <w:rsid w:val="0038364A"/>
    <w:rsid w:val="00383A90"/>
    <w:rsid w:val="00383F27"/>
    <w:rsid w:val="00384B78"/>
    <w:rsid w:val="00384C5C"/>
    <w:rsid w:val="003854DC"/>
    <w:rsid w:val="003858E0"/>
    <w:rsid w:val="00386673"/>
    <w:rsid w:val="00390B1E"/>
    <w:rsid w:val="0039134A"/>
    <w:rsid w:val="00391412"/>
    <w:rsid w:val="00392D6F"/>
    <w:rsid w:val="00393986"/>
    <w:rsid w:val="00393CEB"/>
    <w:rsid w:val="00394711"/>
    <w:rsid w:val="0039498D"/>
    <w:rsid w:val="003949C8"/>
    <w:rsid w:val="00394FD2"/>
    <w:rsid w:val="003950F5"/>
    <w:rsid w:val="003954F5"/>
    <w:rsid w:val="00395D26"/>
    <w:rsid w:val="003963AB"/>
    <w:rsid w:val="003969C5"/>
    <w:rsid w:val="003979A0"/>
    <w:rsid w:val="003A06FF"/>
    <w:rsid w:val="003A11BC"/>
    <w:rsid w:val="003A1351"/>
    <w:rsid w:val="003A21F9"/>
    <w:rsid w:val="003A2254"/>
    <w:rsid w:val="003A24AF"/>
    <w:rsid w:val="003A2AC4"/>
    <w:rsid w:val="003A2BBF"/>
    <w:rsid w:val="003A3473"/>
    <w:rsid w:val="003A39FF"/>
    <w:rsid w:val="003A4CAF"/>
    <w:rsid w:val="003A503C"/>
    <w:rsid w:val="003A57FE"/>
    <w:rsid w:val="003A6B71"/>
    <w:rsid w:val="003A6C86"/>
    <w:rsid w:val="003A71EF"/>
    <w:rsid w:val="003A7D15"/>
    <w:rsid w:val="003B1570"/>
    <w:rsid w:val="003B26F3"/>
    <w:rsid w:val="003B342A"/>
    <w:rsid w:val="003B3919"/>
    <w:rsid w:val="003B39EB"/>
    <w:rsid w:val="003B41E8"/>
    <w:rsid w:val="003B4401"/>
    <w:rsid w:val="003B4B42"/>
    <w:rsid w:val="003B4B6B"/>
    <w:rsid w:val="003B51A1"/>
    <w:rsid w:val="003B541B"/>
    <w:rsid w:val="003B5A3F"/>
    <w:rsid w:val="003B619A"/>
    <w:rsid w:val="003B628A"/>
    <w:rsid w:val="003B7324"/>
    <w:rsid w:val="003B74DB"/>
    <w:rsid w:val="003B7C7A"/>
    <w:rsid w:val="003B7CFE"/>
    <w:rsid w:val="003B7E88"/>
    <w:rsid w:val="003C03E6"/>
    <w:rsid w:val="003C07B9"/>
    <w:rsid w:val="003C22F7"/>
    <w:rsid w:val="003C2D02"/>
    <w:rsid w:val="003C349D"/>
    <w:rsid w:val="003C3EC4"/>
    <w:rsid w:val="003C45DF"/>
    <w:rsid w:val="003C4DFF"/>
    <w:rsid w:val="003C506C"/>
    <w:rsid w:val="003C5167"/>
    <w:rsid w:val="003C5365"/>
    <w:rsid w:val="003C5A04"/>
    <w:rsid w:val="003C5B00"/>
    <w:rsid w:val="003C600C"/>
    <w:rsid w:val="003C65FE"/>
    <w:rsid w:val="003C73F3"/>
    <w:rsid w:val="003D06EB"/>
    <w:rsid w:val="003D0825"/>
    <w:rsid w:val="003D0B8D"/>
    <w:rsid w:val="003D0F0D"/>
    <w:rsid w:val="003D14B9"/>
    <w:rsid w:val="003D15CC"/>
    <w:rsid w:val="003D1EC7"/>
    <w:rsid w:val="003D2132"/>
    <w:rsid w:val="003D2164"/>
    <w:rsid w:val="003D2C8D"/>
    <w:rsid w:val="003D3D3A"/>
    <w:rsid w:val="003D41C1"/>
    <w:rsid w:val="003D490F"/>
    <w:rsid w:val="003D4C21"/>
    <w:rsid w:val="003D4D80"/>
    <w:rsid w:val="003D540E"/>
    <w:rsid w:val="003D546F"/>
    <w:rsid w:val="003D5843"/>
    <w:rsid w:val="003D62F9"/>
    <w:rsid w:val="003D63B9"/>
    <w:rsid w:val="003D679E"/>
    <w:rsid w:val="003D7726"/>
    <w:rsid w:val="003D7CB5"/>
    <w:rsid w:val="003D7DBB"/>
    <w:rsid w:val="003E0040"/>
    <w:rsid w:val="003E0527"/>
    <w:rsid w:val="003E0658"/>
    <w:rsid w:val="003E0730"/>
    <w:rsid w:val="003E1E0C"/>
    <w:rsid w:val="003E2250"/>
    <w:rsid w:val="003E3AE4"/>
    <w:rsid w:val="003E3F33"/>
    <w:rsid w:val="003E5292"/>
    <w:rsid w:val="003E5C33"/>
    <w:rsid w:val="003E5E5A"/>
    <w:rsid w:val="003E6362"/>
    <w:rsid w:val="003E6945"/>
    <w:rsid w:val="003E6E90"/>
    <w:rsid w:val="003E79BA"/>
    <w:rsid w:val="003E7B56"/>
    <w:rsid w:val="003E7FBC"/>
    <w:rsid w:val="003F0327"/>
    <w:rsid w:val="003F0A27"/>
    <w:rsid w:val="003F1BE8"/>
    <w:rsid w:val="003F211F"/>
    <w:rsid w:val="003F234D"/>
    <w:rsid w:val="003F28B3"/>
    <w:rsid w:val="003F30F1"/>
    <w:rsid w:val="003F44C8"/>
    <w:rsid w:val="003F46E6"/>
    <w:rsid w:val="003F4FF1"/>
    <w:rsid w:val="003F5012"/>
    <w:rsid w:val="003F6A4F"/>
    <w:rsid w:val="003F6CEF"/>
    <w:rsid w:val="003F6E2C"/>
    <w:rsid w:val="003F7134"/>
    <w:rsid w:val="003F76A5"/>
    <w:rsid w:val="00400105"/>
    <w:rsid w:val="00400313"/>
    <w:rsid w:val="004016B6"/>
    <w:rsid w:val="00401C9D"/>
    <w:rsid w:val="00402051"/>
    <w:rsid w:val="004024E9"/>
    <w:rsid w:val="00403003"/>
    <w:rsid w:val="00403511"/>
    <w:rsid w:val="0040381C"/>
    <w:rsid w:val="00403AD2"/>
    <w:rsid w:val="00403E4A"/>
    <w:rsid w:val="00404263"/>
    <w:rsid w:val="004051A0"/>
    <w:rsid w:val="0040705E"/>
    <w:rsid w:val="004070D6"/>
    <w:rsid w:val="00407C5A"/>
    <w:rsid w:val="0041062C"/>
    <w:rsid w:val="0041227D"/>
    <w:rsid w:val="0041258B"/>
    <w:rsid w:val="00413572"/>
    <w:rsid w:val="00414BB7"/>
    <w:rsid w:val="00414D91"/>
    <w:rsid w:val="00415F57"/>
    <w:rsid w:val="0041660D"/>
    <w:rsid w:val="00416B07"/>
    <w:rsid w:val="004172D5"/>
    <w:rsid w:val="00417ACE"/>
    <w:rsid w:val="00420D98"/>
    <w:rsid w:val="00420E64"/>
    <w:rsid w:val="00420F50"/>
    <w:rsid w:val="004210D0"/>
    <w:rsid w:val="00421731"/>
    <w:rsid w:val="00421B65"/>
    <w:rsid w:val="00421BA5"/>
    <w:rsid w:val="00421E12"/>
    <w:rsid w:val="004223C8"/>
    <w:rsid w:val="004224AE"/>
    <w:rsid w:val="004226BD"/>
    <w:rsid w:val="004227F1"/>
    <w:rsid w:val="00422EB1"/>
    <w:rsid w:val="00423768"/>
    <w:rsid w:val="004237CF"/>
    <w:rsid w:val="004237E5"/>
    <w:rsid w:val="00423918"/>
    <w:rsid w:val="004239FC"/>
    <w:rsid w:val="00423B55"/>
    <w:rsid w:val="004243C6"/>
    <w:rsid w:val="00424E63"/>
    <w:rsid w:val="00424FA1"/>
    <w:rsid w:val="004259B9"/>
    <w:rsid w:val="00427602"/>
    <w:rsid w:val="004302A9"/>
    <w:rsid w:val="00430532"/>
    <w:rsid w:val="0043089E"/>
    <w:rsid w:val="00430E6A"/>
    <w:rsid w:val="00430EC0"/>
    <w:rsid w:val="00431340"/>
    <w:rsid w:val="004325B0"/>
    <w:rsid w:val="00432857"/>
    <w:rsid w:val="004331D1"/>
    <w:rsid w:val="00433223"/>
    <w:rsid w:val="0043323C"/>
    <w:rsid w:val="00433575"/>
    <w:rsid w:val="004345ED"/>
    <w:rsid w:val="0043469A"/>
    <w:rsid w:val="00434917"/>
    <w:rsid w:val="00434A8F"/>
    <w:rsid w:val="00434CF0"/>
    <w:rsid w:val="0043522E"/>
    <w:rsid w:val="004355F3"/>
    <w:rsid w:val="00436B9F"/>
    <w:rsid w:val="004370C7"/>
    <w:rsid w:val="004370FC"/>
    <w:rsid w:val="00437733"/>
    <w:rsid w:val="004405FE"/>
    <w:rsid w:val="00440C8B"/>
    <w:rsid w:val="004413E2"/>
    <w:rsid w:val="004418AB"/>
    <w:rsid w:val="00441F7E"/>
    <w:rsid w:val="00442511"/>
    <w:rsid w:val="00442984"/>
    <w:rsid w:val="00443564"/>
    <w:rsid w:val="00443C33"/>
    <w:rsid w:val="00444063"/>
    <w:rsid w:val="00444D5C"/>
    <w:rsid w:val="00445B0B"/>
    <w:rsid w:val="004463CE"/>
    <w:rsid w:val="00446E49"/>
    <w:rsid w:val="00450B30"/>
    <w:rsid w:val="004519A6"/>
    <w:rsid w:val="00451D62"/>
    <w:rsid w:val="00452745"/>
    <w:rsid w:val="00452A4E"/>
    <w:rsid w:val="00452FFF"/>
    <w:rsid w:val="0045301E"/>
    <w:rsid w:val="004530D6"/>
    <w:rsid w:val="00453E17"/>
    <w:rsid w:val="00454995"/>
    <w:rsid w:val="00454C1B"/>
    <w:rsid w:val="00454CCD"/>
    <w:rsid w:val="00454CD9"/>
    <w:rsid w:val="00455449"/>
    <w:rsid w:val="00456937"/>
    <w:rsid w:val="00456D7B"/>
    <w:rsid w:val="0046087D"/>
    <w:rsid w:val="004609E3"/>
    <w:rsid w:val="004612E6"/>
    <w:rsid w:val="004614CD"/>
    <w:rsid w:val="00461599"/>
    <w:rsid w:val="00462775"/>
    <w:rsid w:val="00463562"/>
    <w:rsid w:val="00463578"/>
    <w:rsid w:val="0046370F"/>
    <w:rsid w:val="00463CBA"/>
    <w:rsid w:val="004648BB"/>
    <w:rsid w:val="00464F86"/>
    <w:rsid w:val="004655F3"/>
    <w:rsid w:val="004677FD"/>
    <w:rsid w:val="004701A0"/>
    <w:rsid w:val="004708EE"/>
    <w:rsid w:val="00470C6E"/>
    <w:rsid w:val="00471951"/>
    <w:rsid w:val="00471ADD"/>
    <w:rsid w:val="00471FBB"/>
    <w:rsid w:val="00472222"/>
    <w:rsid w:val="00473353"/>
    <w:rsid w:val="004740D0"/>
    <w:rsid w:val="0047459A"/>
    <w:rsid w:val="00474833"/>
    <w:rsid w:val="00474C1A"/>
    <w:rsid w:val="00475601"/>
    <w:rsid w:val="00475643"/>
    <w:rsid w:val="00475CA2"/>
    <w:rsid w:val="00476F69"/>
    <w:rsid w:val="00476FA3"/>
    <w:rsid w:val="0047708C"/>
    <w:rsid w:val="00477EDE"/>
    <w:rsid w:val="00477F30"/>
    <w:rsid w:val="004809F8"/>
    <w:rsid w:val="0048140E"/>
    <w:rsid w:val="00481921"/>
    <w:rsid w:val="00481928"/>
    <w:rsid w:val="004820CF"/>
    <w:rsid w:val="00482226"/>
    <w:rsid w:val="00482514"/>
    <w:rsid w:val="00482C80"/>
    <w:rsid w:val="004832BE"/>
    <w:rsid w:val="00483477"/>
    <w:rsid w:val="00483BB2"/>
    <w:rsid w:val="00484200"/>
    <w:rsid w:val="00484873"/>
    <w:rsid w:val="00484D27"/>
    <w:rsid w:val="004850A3"/>
    <w:rsid w:val="0048547A"/>
    <w:rsid w:val="00486011"/>
    <w:rsid w:val="00486475"/>
    <w:rsid w:val="00486911"/>
    <w:rsid w:val="004874FD"/>
    <w:rsid w:val="0048761F"/>
    <w:rsid w:val="00491416"/>
    <w:rsid w:val="00491EAB"/>
    <w:rsid w:val="00493CBC"/>
    <w:rsid w:val="00494045"/>
    <w:rsid w:val="0049478B"/>
    <w:rsid w:val="00496456"/>
    <w:rsid w:val="00496A45"/>
    <w:rsid w:val="004A099F"/>
    <w:rsid w:val="004A1B38"/>
    <w:rsid w:val="004A1C1B"/>
    <w:rsid w:val="004A2C0D"/>
    <w:rsid w:val="004A2FBD"/>
    <w:rsid w:val="004A3FFD"/>
    <w:rsid w:val="004A44BC"/>
    <w:rsid w:val="004A4602"/>
    <w:rsid w:val="004A495E"/>
    <w:rsid w:val="004A54F9"/>
    <w:rsid w:val="004A551E"/>
    <w:rsid w:val="004A6294"/>
    <w:rsid w:val="004A6652"/>
    <w:rsid w:val="004A6A91"/>
    <w:rsid w:val="004A7356"/>
    <w:rsid w:val="004A7C67"/>
    <w:rsid w:val="004A7FF7"/>
    <w:rsid w:val="004B073A"/>
    <w:rsid w:val="004B3722"/>
    <w:rsid w:val="004B4EFA"/>
    <w:rsid w:val="004B58D7"/>
    <w:rsid w:val="004B625B"/>
    <w:rsid w:val="004B6748"/>
    <w:rsid w:val="004B6939"/>
    <w:rsid w:val="004B7B05"/>
    <w:rsid w:val="004C04D0"/>
    <w:rsid w:val="004C08A9"/>
    <w:rsid w:val="004C0A9B"/>
    <w:rsid w:val="004C0FC9"/>
    <w:rsid w:val="004C126B"/>
    <w:rsid w:val="004C1B8E"/>
    <w:rsid w:val="004C1CB2"/>
    <w:rsid w:val="004C2275"/>
    <w:rsid w:val="004C2B3B"/>
    <w:rsid w:val="004C2D16"/>
    <w:rsid w:val="004C2E8A"/>
    <w:rsid w:val="004C3EFF"/>
    <w:rsid w:val="004C3FFF"/>
    <w:rsid w:val="004C4B51"/>
    <w:rsid w:val="004C4E3C"/>
    <w:rsid w:val="004C4EE6"/>
    <w:rsid w:val="004C5DDC"/>
    <w:rsid w:val="004C7380"/>
    <w:rsid w:val="004C761A"/>
    <w:rsid w:val="004C76F0"/>
    <w:rsid w:val="004C7787"/>
    <w:rsid w:val="004C7AA6"/>
    <w:rsid w:val="004D003B"/>
    <w:rsid w:val="004D0E24"/>
    <w:rsid w:val="004D1091"/>
    <w:rsid w:val="004D1211"/>
    <w:rsid w:val="004D2564"/>
    <w:rsid w:val="004D2BC9"/>
    <w:rsid w:val="004D2E42"/>
    <w:rsid w:val="004D3552"/>
    <w:rsid w:val="004D36B1"/>
    <w:rsid w:val="004D3CB7"/>
    <w:rsid w:val="004D4367"/>
    <w:rsid w:val="004D4EB6"/>
    <w:rsid w:val="004D52F1"/>
    <w:rsid w:val="004D54C8"/>
    <w:rsid w:val="004D683B"/>
    <w:rsid w:val="004D6A0D"/>
    <w:rsid w:val="004D7CD4"/>
    <w:rsid w:val="004E0653"/>
    <w:rsid w:val="004E0A11"/>
    <w:rsid w:val="004E0B01"/>
    <w:rsid w:val="004E175A"/>
    <w:rsid w:val="004E258E"/>
    <w:rsid w:val="004E2B3A"/>
    <w:rsid w:val="004E3529"/>
    <w:rsid w:val="004E35C7"/>
    <w:rsid w:val="004E3606"/>
    <w:rsid w:val="004E4144"/>
    <w:rsid w:val="004E47FB"/>
    <w:rsid w:val="004E4F8E"/>
    <w:rsid w:val="004E55F1"/>
    <w:rsid w:val="004E5D42"/>
    <w:rsid w:val="004E5DAB"/>
    <w:rsid w:val="004E6BAA"/>
    <w:rsid w:val="004E727D"/>
    <w:rsid w:val="004E7B65"/>
    <w:rsid w:val="004F076D"/>
    <w:rsid w:val="004F1357"/>
    <w:rsid w:val="004F1913"/>
    <w:rsid w:val="004F20CA"/>
    <w:rsid w:val="004F2791"/>
    <w:rsid w:val="004F31DD"/>
    <w:rsid w:val="004F3491"/>
    <w:rsid w:val="004F34F3"/>
    <w:rsid w:val="004F3625"/>
    <w:rsid w:val="004F3FF9"/>
    <w:rsid w:val="004F46D1"/>
    <w:rsid w:val="004F4E79"/>
    <w:rsid w:val="004F5A10"/>
    <w:rsid w:val="004F60BA"/>
    <w:rsid w:val="004F666E"/>
    <w:rsid w:val="004F735F"/>
    <w:rsid w:val="005003DA"/>
    <w:rsid w:val="005012B8"/>
    <w:rsid w:val="00502552"/>
    <w:rsid w:val="00502E0B"/>
    <w:rsid w:val="00503037"/>
    <w:rsid w:val="00503487"/>
    <w:rsid w:val="00503DD7"/>
    <w:rsid w:val="005040BA"/>
    <w:rsid w:val="00504418"/>
    <w:rsid w:val="00506653"/>
    <w:rsid w:val="00507F16"/>
    <w:rsid w:val="0051000A"/>
    <w:rsid w:val="005100E5"/>
    <w:rsid w:val="005103BD"/>
    <w:rsid w:val="00510FD7"/>
    <w:rsid w:val="0051105F"/>
    <w:rsid w:val="00511D0A"/>
    <w:rsid w:val="00511EA1"/>
    <w:rsid w:val="00512324"/>
    <w:rsid w:val="00512589"/>
    <w:rsid w:val="00513986"/>
    <w:rsid w:val="0051476D"/>
    <w:rsid w:val="00514B32"/>
    <w:rsid w:val="005159B1"/>
    <w:rsid w:val="00516DF2"/>
    <w:rsid w:val="00517D9C"/>
    <w:rsid w:val="0052024E"/>
    <w:rsid w:val="005202A4"/>
    <w:rsid w:val="00520424"/>
    <w:rsid w:val="00520C39"/>
    <w:rsid w:val="00521253"/>
    <w:rsid w:val="00521DF7"/>
    <w:rsid w:val="005226C9"/>
    <w:rsid w:val="00522A30"/>
    <w:rsid w:val="00522A6D"/>
    <w:rsid w:val="00522E95"/>
    <w:rsid w:val="00523950"/>
    <w:rsid w:val="00523F5F"/>
    <w:rsid w:val="00524DB6"/>
    <w:rsid w:val="0052505A"/>
    <w:rsid w:val="005252EF"/>
    <w:rsid w:val="00526042"/>
    <w:rsid w:val="00526B5B"/>
    <w:rsid w:val="0052791C"/>
    <w:rsid w:val="0053004C"/>
    <w:rsid w:val="00530566"/>
    <w:rsid w:val="00530EFA"/>
    <w:rsid w:val="0053128F"/>
    <w:rsid w:val="00531725"/>
    <w:rsid w:val="00532935"/>
    <w:rsid w:val="00532A98"/>
    <w:rsid w:val="00532D12"/>
    <w:rsid w:val="005332AE"/>
    <w:rsid w:val="00534B77"/>
    <w:rsid w:val="005362FF"/>
    <w:rsid w:val="005369FF"/>
    <w:rsid w:val="00536D8D"/>
    <w:rsid w:val="00536E45"/>
    <w:rsid w:val="0053743A"/>
    <w:rsid w:val="005376DA"/>
    <w:rsid w:val="00537AE4"/>
    <w:rsid w:val="00537C62"/>
    <w:rsid w:val="0054040E"/>
    <w:rsid w:val="00540EA7"/>
    <w:rsid w:val="0054199A"/>
    <w:rsid w:val="00541D90"/>
    <w:rsid w:val="0054211E"/>
    <w:rsid w:val="005427A1"/>
    <w:rsid w:val="00542E21"/>
    <w:rsid w:val="005434ED"/>
    <w:rsid w:val="00543E37"/>
    <w:rsid w:val="00543E7B"/>
    <w:rsid w:val="00544917"/>
    <w:rsid w:val="00544BF0"/>
    <w:rsid w:val="00545581"/>
    <w:rsid w:val="00545977"/>
    <w:rsid w:val="005461D4"/>
    <w:rsid w:val="00546928"/>
    <w:rsid w:val="00546B30"/>
    <w:rsid w:val="00546B40"/>
    <w:rsid w:val="00547405"/>
    <w:rsid w:val="005474EA"/>
    <w:rsid w:val="00547FC3"/>
    <w:rsid w:val="005512CA"/>
    <w:rsid w:val="00551509"/>
    <w:rsid w:val="0055155A"/>
    <w:rsid w:val="00551CEB"/>
    <w:rsid w:val="00551E44"/>
    <w:rsid w:val="00552FC4"/>
    <w:rsid w:val="005532AA"/>
    <w:rsid w:val="00553530"/>
    <w:rsid w:val="00553602"/>
    <w:rsid w:val="005541BB"/>
    <w:rsid w:val="005543AC"/>
    <w:rsid w:val="005551C2"/>
    <w:rsid w:val="005552AE"/>
    <w:rsid w:val="00555AD0"/>
    <w:rsid w:val="005564D1"/>
    <w:rsid w:val="00557714"/>
    <w:rsid w:val="00557C76"/>
    <w:rsid w:val="00560D6E"/>
    <w:rsid w:val="0056136B"/>
    <w:rsid w:val="00561394"/>
    <w:rsid w:val="0056165D"/>
    <w:rsid w:val="00561D70"/>
    <w:rsid w:val="00562777"/>
    <w:rsid w:val="00563C05"/>
    <w:rsid w:val="0056434C"/>
    <w:rsid w:val="00564EAE"/>
    <w:rsid w:val="00564FF9"/>
    <w:rsid w:val="00565AD3"/>
    <w:rsid w:val="00565E4D"/>
    <w:rsid w:val="00566122"/>
    <w:rsid w:val="00566CE4"/>
    <w:rsid w:val="00567220"/>
    <w:rsid w:val="0056751B"/>
    <w:rsid w:val="00567C59"/>
    <w:rsid w:val="00567C67"/>
    <w:rsid w:val="0057012A"/>
    <w:rsid w:val="0057012E"/>
    <w:rsid w:val="005705E7"/>
    <w:rsid w:val="00570A8B"/>
    <w:rsid w:val="0057156C"/>
    <w:rsid w:val="00571829"/>
    <w:rsid w:val="00571D35"/>
    <w:rsid w:val="005720C3"/>
    <w:rsid w:val="005722FC"/>
    <w:rsid w:val="005726A8"/>
    <w:rsid w:val="005729B0"/>
    <w:rsid w:val="005730C7"/>
    <w:rsid w:val="00573589"/>
    <w:rsid w:val="0057377B"/>
    <w:rsid w:val="005738F8"/>
    <w:rsid w:val="00574262"/>
    <w:rsid w:val="0057488D"/>
    <w:rsid w:val="005748B0"/>
    <w:rsid w:val="00574961"/>
    <w:rsid w:val="005749F1"/>
    <w:rsid w:val="00574AFA"/>
    <w:rsid w:val="0057686B"/>
    <w:rsid w:val="005803B8"/>
    <w:rsid w:val="005803E7"/>
    <w:rsid w:val="005804FE"/>
    <w:rsid w:val="00580E04"/>
    <w:rsid w:val="00581748"/>
    <w:rsid w:val="005819D1"/>
    <w:rsid w:val="00581B19"/>
    <w:rsid w:val="005835D6"/>
    <w:rsid w:val="005841F7"/>
    <w:rsid w:val="00584E15"/>
    <w:rsid w:val="00585246"/>
    <w:rsid w:val="0058543B"/>
    <w:rsid w:val="0058576A"/>
    <w:rsid w:val="005857B5"/>
    <w:rsid w:val="00586B83"/>
    <w:rsid w:val="00587182"/>
    <w:rsid w:val="0058718B"/>
    <w:rsid w:val="005872E9"/>
    <w:rsid w:val="00587B79"/>
    <w:rsid w:val="00587B8C"/>
    <w:rsid w:val="005902B5"/>
    <w:rsid w:val="005919B6"/>
    <w:rsid w:val="005919C1"/>
    <w:rsid w:val="00591F41"/>
    <w:rsid w:val="00592114"/>
    <w:rsid w:val="0059222E"/>
    <w:rsid w:val="005922BD"/>
    <w:rsid w:val="0059286B"/>
    <w:rsid w:val="00593936"/>
    <w:rsid w:val="00593AA4"/>
    <w:rsid w:val="00594C39"/>
    <w:rsid w:val="00594E8F"/>
    <w:rsid w:val="00594FEF"/>
    <w:rsid w:val="00595007"/>
    <w:rsid w:val="00595341"/>
    <w:rsid w:val="00595DE2"/>
    <w:rsid w:val="00596227"/>
    <w:rsid w:val="00596620"/>
    <w:rsid w:val="0059674A"/>
    <w:rsid w:val="005969D1"/>
    <w:rsid w:val="00596C38"/>
    <w:rsid w:val="00596CFC"/>
    <w:rsid w:val="00597861"/>
    <w:rsid w:val="005A1C88"/>
    <w:rsid w:val="005A258B"/>
    <w:rsid w:val="005A296E"/>
    <w:rsid w:val="005A36B9"/>
    <w:rsid w:val="005A3BED"/>
    <w:rsid w:val="005A4874"/>
    <w:rsid w:val="005A4C27"/>
    <w:rsid w:val="005A502E"/>
    <w:rsid w:val="005A55EE"/>
    <w:rsid w:val="005A5B6D"/>
    <w:rsid w:val="005A5DAE"/>
    <w:rsid w:val="005A60AA"/>
    <w:rsid w:val="005A634C"/>
    <w:rsid w:val="005A6B05"/>
    <w:rsid w:val="005A6EF5"/>
    <w:rsid w:val="005A74C5"/>
    <w:rsid w:val="005A7A3E"/>
    <w:rsid w:val="005A7B0B"/>
    <w:rsid w:val="005B0E84"/>
    <w:rsid w:val="005B1D74"/>
    <w:rsid w:val="005B2166"/>
    <w:rsid w:val="005B2275"/>
    <w:rsid w:val="005B29DF"/>
    <w:rsid w:val="005B377D"/>
    <w:rsid w:val="005B382B"/>
    <w:rsid w:val="005B3D66"/>
    <w:rsid w:val="005B4BFA"/>
    <w:rsid w:val="005B5CD9"/>
    <w:rsid w:val="005B5EFC"/>
    <w:rsid w:val="005B7832"/>
    <w:rsid w:val="005B79CD"/>
    <w:rsid w:val="005B7B1D"/>
    <w:rsid w:val="005B7F38"/>
    <w:rsid w:val="005C00F0"/>
    <w:rsid w:val="005C0387"/>
    <w:rsid w:val="005C065D"/>
    <w:rsid w:val="005C077F"/>
    <w:rsid w:val="005C0B23"/>
    <w:rsid w:val="005C1098"/>
    <w:rsid w:val="005C1C8C"/>
    <w:rsid w:val="005C2006"/>
    <w:rsid w:val="005C224B"/>
    <w:rsid w:val="005C2A7F"/>
    <w:rsid w:val="005C3161"/>
    <w:rsid w:val="005C3F67"/>
    <w:rsid w:val="005C40DE"/>
    <w:rsid w:val="005C4FBC"/>
    <w:rsid w:val="005C52ED"/>
    <w:rsid w:val="005C550B"/>
    <w:rsid w:val="005C5615"/>
    <w:rsid w:val="005C5916"/>
    <w:rsid w:val="005C6696"/>
    <w:rsid w:val="005C6C6E"/>
    <w:rsid w:val="005C6D46"/>
    <w:rsid w:val="005C6DC8"/>
    <w:rsid w:val="005C6F90"/>
    <w:rsid w:val="005C703E"/>
    <w:rsid w:val="005C7C9F"/>
    <w:rsid w:val="005C7D54"/>
    <w:rsid w:val="005C7FA6"/>
    <w:rsid w:val="005D0098"/>
    <w:rsid w:val="005D02D5"/>
    <w:rsid w:val="005D0322"/>
    <w:rsid w:val="005D0597"/>
    <w:rsid w:val="005D0B7F"/>
    <w:rsid w:val="005D0C9D"/>
    <w:rsid w:val="005D2054"/>
    <w:rsid w:val="005D25B1"/>
    <w:rsid w:val="005D293F"/>
    <w:rsid w:val="005D43F6"/>
    <w:rsid w:val="005D45D0"/>
    <w:rsid w:val="005D4743"/>
    <w:rsid w:val="005D5F99"/>
    <w:rsid w:val="005D67E2"/>
    <w:rsid w:val="005D704C"/>
    <w:rsid w:val="005D725A"/>
    <w:rsid w:val="005E066B"/>
    <w:rsid w:val="005E1C76"/>
    <w:rsid w:val="005E1E3B"/>
    <w:rsid w:val="005E2127"/>
    <w:rsid w:val="005E28EE"/>
    <w:rsid w:val="005E31DA"/>
    <w:rsid w:val="005E43ED"/>
    <w:rsid w:val="005E4C0C"/>
    <w:rsid w:val="005E4DA4"/>
    <w:rsid w:val="005E5DD1"/>
    <w:rsid w:val="005E6607"/>
    <w:rsid w:val="005E6D5C"/>
    <w:rsid w:val="005E70D1"/>
    <w:rsid w:val="005E77A8"/>
    <w:rsid w:val="005E7BA6"/>
    <w:rsid w:val="005E7D59"/>
    <w:rsid w:val="005F0574"/>
    <w:rsid w:val="005F08EB"/>
    <w:rsid w:val="005F2379"/>
    <w:rsid w:val="005F28E3"/>
    <w:rsid w:val="005F3187"/>
    <w:rsid w:val="005F3885"/>
    <w:rsid w:val="005F3ADF"/>
    <w:rsid w:val="005F4222"/>
    <w:rsid w:val="005F4769"/>
    <w:rsid w:val="005F4E59"/>
    <w:rsid w:val="005F63D3"/>
    <w:rsid w:val="005F736F"/>
    <w:rsid w:val="005F7E99"/>
    <w:rsid w:val="00600527"/>
    <w:rsid w:val="006008B8"/>
    <w:rsid w:val="006011CB"/>
    <w:rsid w:val="0060134E"/>
    <w:rsid w:val="00601686"/>
    <w:rsid w:val="006017B3"/>
    <w:rsid w:val="00601E79"/>
    <w:rsid w:val="006021F5"/>
    <w:rsid w:val="006025FD"/>
    <w:rsid w:val="00603CAD"/>
    <w:rsid w:val="00604CAE"/>
    <w:rsid w:val="0060567A"/>
    <w:rsid w:val="0060571A"/>
    <w:rsid w:val="0060717E"/>
    <w:rsid w:val="00610351"/>
    <w:rsid w:val="00612A7A"/>
    <w:rsid w:val="00612E3A"/>
    <w:rsid w:val="006135E5"/>
    <w:rsid w:val="006140A3"/>
    <w:rsid w:val="006142BF"/>
    <w:rsid w:val="0061443F"/>
    <w:rsid w:val="00614A8B"/>
    <w:rsid w:val="00614C15"/>
    <w:rsid w:val="00614CBC"/>
    <w:rsid w:val="00614F01"/>
    <w:rsid w:val="0061596C"/>
    <w:rsid w:val="00615C00"/>
    <w:rsid w:val="00615F65"/>
    <w:rsid w:val="0061698E"/>
    <w:rsid w:val="0061704E"/>
    <w:rsid w:val="0062049D"/>
    <w:rsid w:val="00620698"/>
    <w:rsid w:val="00620E1F"/>
    <w:rsid w:val="00621106"/>
    <w:rsid w:val="00621514"/>
    <w:rsid w:val="00622506"/>
    <w:rsid w:val="006229B3"/>
    <w:rsid w:val="00623643"/>
    <w:rsid w:val="006243EE"/>
    <w:rsid w:val="00624DC1"/>
    <w:rsid w:val="00626901"/>
    <w:rsid w:val="00626E8A"/>
    <w:rsid w:val="00627FAF"/>
    <w:rsid w:val="006309B0"/>
    <w:rsid w:val="00631C3D"/>
    <w:rsid w:val="0063296D"/>
    <w:rsid w:val="0063345D"/>
    <w:rsid w:val="00633C2E"/>
    <w:rsid w:val="00633F25"/>
    <w:rsid w:val="00635BC2"/>
    <w:rsid w:val="006370B5"/>
    <w:rsid w:val="006373CD"/>
    <w:rsid w:val="00637A50"/>
    <w:rsid w:val="00637D37"/>
    <w:rsid w:val="0064050F"/>
    <w:rsid w:val="006407C9"/>
    <w:rsid w:val="00641434"/>
    <w:rsid w:val="00642DC2"/>
    <w:rsid w:val="0064342A"/>
    <w:rsid w:val="0064355B"/>
    <w:rsid w:val="00643AE0"/>
    <w:rsid w:val="006441DF"/>
    <w:rsid w:val="0064459F"/>
    <w:rsid w:val="006448F9"/>
    <w:rsid w:val="00645886"/>
    <w:rsid w:val="00645E60"/>
    <w:rsid w:val="00647C58"/>
    <w:rsid w:val="00647EE0"/>
    <w:rsid w:val="00650391"/>
    <w:rsid w:val="00650851"/>
    <w:rsid w:val="00650C59"/>
    <w:rsid w:val="00651ADD"/>
    <w:rsid w:val="00652296"/>
    <w:rsid w:val="00652D25"/>
    <w:rsid w:val="0065415D"/>
    <w:rsid w:val="00654E1A"/>
    <w:rsid w:val="00655028"/>
    <w:rsid w:val="0065581E"/>
    <w:rsid w:val="00655DF1"/>
    <w:rsid w:val="006564EB"/>
    <w:rsid w:val="00656D55"/>
    <w:rsid w:val="00657311"/>
    <w:rsid w:val="0065750F"/>
    <w:rsid w:val="006575E0"/>
    <w:rsid w:val="00657DDF"/>
    <w:rsid w:val="006600B7"/>
    <w:rsid w:val="0066090E"/>
    <w:rsid w:val="00660E77"/>
    <w:rsid w:val="00660EF2"/>
    <w:rsid w:val="0066113C"/>
    <w:rsid w:val="0066295A"/>
    <w:rsid w:val="00662994"/>
    <w:rsid w:val="00662A34"/>
    <w:rsid w:val="006633F5"/>
    <w:rsid w:val="0066407E"/>
    <w:rsid w:val="00664553"/>
    <w:rsid w:val="00664C36"/>
    <w:rsid w:val="006658CC"/>
    <w:rsid w:val="00667136"/>
    <w:rsid w:val="0066747C"/>
    <w:rsid w:val="00667567"/>
    <w:rsid w:val="00667608"/>
    <w:rsid w:val="006676B5"/>
    <w:rsid w:val="00667FCF"/>
    <w:rsid w:val="00670019"/>
    <w:rsid w:val="0067060A"/>
    <w:rsid w:val="006713EA"/>
    <w:rsid w:val="006715C4"/>
    <w:rsid w:val="00671873"/>
    <w:rsid w:val="006728A3"/>
    <w:rsid w:val="00673287"/>
    <w:rsid w:val="006734CC"/>
    <w:rsid w:val="00673590"/>
    <w:rsid w:val="00673B3F"/>
    <w:rsid w:val="00673E44"/>
    <w:rsid w:val="00674665"/>
    <w:rsid w:val="00676746"/>
    <w:rsid w:val="00676912"/>
    <w:rsid w:val="00676980"/>
    <w:rsid w:val="00677496"/>
    <w:rsid w:val="006776B4"/>
    <w:rsid w:val="00677FA7"/>
    <w:rsid w:val="00680BEE"/>
    <w:rsid w:val="00681CE0"/>
    <w:rsid w:val="00681E53"/>
    <w:rsid w:val="00682CED"/>
    <w:rsid w:val="006832D2"/>
    <w:rsid w:val="00683BD1"/>
    <w:rsid w:val="006847C7"/>
    <w:rsid w:val="00685647"/>
    <w:rsid w:val="00686164"/>
    <w:rsid w:val="006870EB"/>
    <w:rsid w:val="00687793"/>
    <w:rsid w:val="00687DC8"/>
    <w:rsid w:val="00690C58"/>
    <w:rsid w:val="0069124E"/>
    <w:rsid w:val="006912F6"/>
    <w:rsid w:val="0069233E"/>
    <w:rsid w:val="006928BC"/>
    <w:rsid w:val="00692C4B"/>
    <w:rsid w:val="00692E55"/>
    <w:rsid w:val="006932D6"/>
    <w:rsid w:val="00693748"/>
    <w:rsid w:val="0069391C"/>
    <w:rsid w:val="00694A83"/>
    <w:rsid w:val="00695133"/>
    <w:rsid w:val="00695E68"/>
    <w:rsid w:val="006960CA"/>
    <w:rsid w:val="006964A4"/>
    <w:rsid w:val="0069658C"/>
    <w:rsid w:val="00696D93"/>
    <w:rsid w:val="0069767E"/>
    <w:rsid w:val="006A02B0"/>
    <w:rsid w:val="006A0395"/>
    <w:rsid w:val="006A063E"/>
    <w:rsid w:val="006A0670"/>
    <w:rsid w:val="006A1C9C"/>
    <w:rsid w:val="006A24F4"/>
    <w:rsid w:val="006A29CE"/>
    <w:rsid w:val="006A2F18"/>
    <w:rsid w:val="006A2FF5"/>
    <w:rsid w:val="006A35F3"/>
    <w:rsid w:val="006A3905"/>
    <w:rsid w:val="006A395C"/>
    <w:rsid w:val="006A456F"/>
    <w:rsid w:val="006A573D"/>
    <w:rsid w:val="006A59FA"/>
    <w:rsid w:val="006A60C1"/>
    <w:rsid w:val="006A65BA"/>
    <w:rsid w:val="006A6CB8"/>
    <w:rsid w:val="006A70DE"/>
    <w:rsid w:val="006A746B"/>
    <w:rsid w:val="006A7AA4"/>
    <w:rsid w:val="006A7F52"/>
    <w:rsid w:val="006B03E0"/>
    <w:rsid w:val="006B136A"/>
    <w:rsid w:val="006B1D8D"/>
    <w:rsid w:val="006B3D41"/>
    <w:rsid w:val="006B403C"/>
    <w:rsid w:val="006B4210"/>
    <w:rsid w:val="006B4CBE"/>
    <w:rsid w:val="006B545D"/>
    <w:rsid w:val="006B5BAB"/>
    <w:rsid w:val="006B5E4F"/>
    <w:rsid w:val="006B6E2F"/>
    <w:rsid w:val="006B7538"/>
    <w:rsid w:val="006C0932"/>
    <w:rsid w:val="006C0CB4"/>
    <w:rsid w:val="006C1196"/>
    <w:rsid w:val="006C13CB"/>
    <w:rsid w:val="006C1877"/>
    <w:rsid w:val="006C1B4F"/>
    <w:rsid w:val="006C235E"/>
    <w:rsid w:val="006C4AC8"/>
    <w:rsid w:val="006C4C60"/>
    <w:rsid w:val="006C58D2"/>
    <w:rsid w:val="006C637D"/>
    <w:rsid w:val="006C765F"/>
    <w:rsid w:val="006C771A"/>
    <w:rsid w:val="006C7873"/>
    <w:rsid w:val="006C7993"/>
    <w:rsid w:val="006C7E06"/>
    <w:rsid w:val="006C7F47"/>
    <w:rsid w:val="006D0758"/>
    <w:rsid w:val="006D1FB9"/>
    <w:rsid w:val="006D2378"/>
    <w:rsid w:val="006D23E2"/>
    <w:rsid w:val="006D295C"/>
    <w:rsid w:val="006D33EB"/>
    <w:rsid w:val="006D3486"/>
    <w:rsid w:val="006D3666"/>
    <w:rsid w:val="006D58DB"/>
    <w:rsid w:val="006D5CAB"/>
    <w:rsid w:val="006D6151"/>
    <w:rsid w:val="006D6609"/>
    <w:rsid w:val="006D6F47"/>
    <w:rsid w:val="006D7314"/>
    <w:rsid w:val="006D7BEA"/>
    <w:rsid w:val="006E0478"/>
    <w:rsid w:val="006E05CA"/>
    <w:rsid w:val="006E078F"/>
    <w:rsid w:val="006E0BAC"/>
    <w:rsid w:val="006E0CD6"/>
    <w:rsid w:val="006E1585"/>
    <w:rsid w:val="006E1E4C"/>
    <w:rsid w:val="006E29AA"/>
    <w:rsid w:val="006E2EAD"/>
    <w:rsid w:val="006E36AC"/>
    <w:rsid w:val="006E3D71"/>
    <w:rsid w:val="006E489C"/>
    <w:rsid w:val="006E4B00"/>
    <w:rsid w:val="006E5009"/>
    <w:rsid w:val="006E5327"/>
    <w:rsid w:val="006E56FA"/>
    <w:rsid w:val="006E5ED4"/>
    <w:rsid w:val="006E76D8"/>
    <w:rsid w:val="006E7AB0"/>
    <w:rsid w:val="006F012B"/>
    <w:rsid w:val="006F0C58"/>
    <w:rsid w:val="006F0D76"/>
    <w:rsid w:val="006F11B4"/>
    <w:rsid w:val="006F1369"/>
    <w:rsid w:val="006F1529"/>
    <w:rsid w:val="006F17FF"/>
    <w:rsid w:val="006F1BDF"/>
    <w:rsid w:val="006F1F5A"/>
    <w:rsid w:val="006F2003"/>
    <w:rsid w:val="006F2DBD"/>
    <w:rsid w:val="006F360F"/>
    <w:rsid w:val="006F36E3"/>
    <w:rsid w:val="006F3A6A"/>
    <w:rsid w:val="006F43E1"/>
    <w:rsid w:val="006F4520"/>
    <w:rsid w:val="006F4AC7"/>
    <w:rsid w:val="006F4EC8"/>
    <w:rsid w:val="006F55B9"/>
    <w:rsid w:val="006F56FB"/>
    <w:rsid w:val="006F5E5D"/>
    <w:rsid w:val="006F676A"/>
    <w:rsid w:val="006F692D"/>
    <w:rsid w:val="006F77B2"/>
    <w:rsid w:val="006F7DCD"/>
    <w:rsid w:val="006F7F0D"/>
    <w:rsid w:val="00700091"/>
    <w:rsid w:val="0070068C"/>
    <w:rsid w:val="007010AA"/>
    <w:rsid w:val="00701C10"/>
    <w:rsid w:val="007021F9"/>
    <w:rsid w:val="007026B1"/>
    <w:rsid w:val="007035C9"/>
    <w:rsid w:val="007037E0"/>
    <w:rsid w:val="007038E3"/>
    <w:rsid w:val="00703B69"/>
    <w:rsid w:val="0070419A"/>
    <w:rsid w:val="0070420C"/>
    <w:rsid w:val="0070479B"/>
    <w:rsid w:val="00705853"/>
    <w:rsid w:val="00705999"/>
    <w:rsid w:val="00705A64"/>
    <w:rsid w:val="00706172"/>
    <w:rsid w:val="007075DD"/>
    <w:rsid w:val="007101ED"/>
    <w:rsid w:val="00710454"/>
    <w:rsid w:val="00710771"/>
    <w:rsid w:val="00710FF6"/>
    <w:rsid w:val="00711595"/>
    <w:rsid w:val="00711A7D"/>
    <w:rsid w:val="007129EF"/>
    <w:rsid w:val="00712D9F"/>
    <w:rsid w:val="00714895"/>
    <w:rsid w:val="0071506B"/>
    <w:rsid w:val="00716226"/>
    <w:rsid w:val="00717592"/>
    <w:rsid w:val="00717C40"/>
    <w:rsid w:val="00721A25"/>
    <w:rsid w:val="00721E26"/>
    <w:rsid w:val="00721E58"/>
    <w:rsid w:val="007221FE"/>
    <w:rsid w:val="00722B03"/>
    <w:rsid w:val="00722C83"/>
    <w:rsid w:val="0072361F"/>
    <w:rsid w:val="007236F5"/>
    <w:rsid w:val="00723724"/>
    <w:rsid w:val="00724D5E"/>
    <w:rsid w:val="00725060"/>
    <w:rsid w:val="00725A4D"/>
    <w:rsid w:val="00725D7C"/>
    <w:rsid w:val="00725F28"/>
    <w:rsid w:val="00726115"/>
    <w:rsid w:val="00726687"/>
    <w:rsid w:val="00727049"/>
    <w:rsid w:val="00727AB1"/>
    <w:rsid w:val="00730BF0"/>
    <w:rsid w:val="00730CBB"/>
    <w:rsid w:val="00731213"/>
    <w:rsid w:val="007316EE"/>
    <w:rsid w:val="00732081"/>
    <w:rsid w:val="00732667"/>
    <w:rsid w:val="00732E5A"/>
    <w:rsid w:val="00733529"/>
    <w:rsid w:val="0073352C"/>
    <w:rsid w:val="00733706"/>
    <w:rsid w:val="00733722"/>
    <w:rsid w:val="00735EF8"/>
    <w:rsid w:val="00735F2E"/>
    <w:rsid w:val="007368C8"/>
    <w:rsid w:val="007378D3"/>
    <w:rsid w:val="007400C4"/>
    <w:rsid w:val="0074098B"/>
    <w:rsid w:val="00740DAD"/>
    <w:rsid w:val="007412B2"/>
    <w:rsid w:val="00741524"/>
    <w:rsid w:val="00741EF0"/>
    <w:rsid w:val="00742360"/>
    <w:rsid w:val="007423EB"/>
    <w:rsid w:val="00742538"/>
    <w:rsid w:val="00742934"/>
    <w:rsid w:val="007432E2"/>
    <w:rsid w:val="0074345B"/>
    <w:rsid w:val="00743ACD"/>
    <w:rsid w:val="007445CA"/>
    <w:rsid w:val="00744C8A"/>
    <w:rsid w:val="00747688"/>
    <w:rsid w:val="00747ADD"/>
    <w:rsid w:val="00747D30"/>
    <w:rsid w:val="00750BCD"/>
    <w:rsid w:val="00750FF6"/>
    <w:rsid w:val="00751398"/>
    <w:rsid w:val="00751D3E"/>
    <w:rsid w:val="007526FC"/>
    <w:rsid w:val="007527CD"/>
    <w:rsid w:val="007529D2"/>
    <w:rsid w:val="007531BB"/>
    <w:rsid w:val="00753AF7"/>
    <w:rsid w:val="00753B9C"/>
    <w:rsid w:val="00753BFD"/>
    <w:rsid w:val="00753F2E"/>
    <w:rsid w:val="00754503"/>
    <w:rsid w:val="00754A8A"/>
    <w:rsid w:val="00754C0D"/>
    <w:rsid w:val="00754DBF"/>
    <w:rsid w:val="00755456"/>
    <w:rsid w:val="007559D8"/>
    <w:rsid w:val="007559EE"/>
    <w:rsid w:val="00755CBB"/>
    <w:rsid w:val="0075696F"/>
    <w:rsid w:val="00757214"/>
    <w:rsid w:val="007575AE"/>
    <w:rsid w:val="00757A8C"/>
    <w:rsid w:val="00757C8B"/>
    <w:rsid w:val="00760961"/>
    <w:rsid w:val="007611E0"/>
    <w:rsid w:val="007624B9"/>
    <w:rsid w:val="00762826"/>
    <w:rsid w:val="00762C7D"/>
    <w:rsid w:val="007632AA"/>
    <w:rsid w:val="0076332E"/>
    <w:rsid w:val="007637CF"/>
    <w:rsid w:val="0076410E"/>
    <w:rsid w:val="0076456E"/>
    <w:rsid w:val="0076458B"/>
    <w:rsid w:val="0076468B"/>
    <w:rsid w:val="00764749"/>
    <w:rsid w:val="007659FA"/>
    <w:rsid w:val="00766044"/>
    <w:rsid w:val="00766301"/>
    <w:rsid w:val="00766E72"/>
    <w:rsid w:val="00767D5A"/>
    <w:rsid w:val="00770545"/>
    <w:rsid w:val="00770666"/>
    <w:rsid w:val="007712F1"/>
    <w:rsid w:val="007713D8"/>
    <w:rsid w:val="00771DB7"/>
    <w:rsid w:val="00771E76"/>
    <w:rsid w:val="007722C0"/>
    <w:rsid w:val="00772498"/>
    <w:rsid w:val="007729B5"/>
    <w:rsid w:val="0077383F"/>
    <w:rsid w:val="00773A05"/>
    <w:rsid w:val="007756E8"/>
    <w:rsid w:val="00775753"/>
    <w:rsid w:val="00775975"/>
    <w:rsid w:val="007760DF"/>
    <w:rsid w:val="00776A06"/>
    <w:rsid w:val="00776AC0"/>
    <w:rsid w:val="00776AD9"/>
    <w:rsid w:val="00777F0E"/>
    <w:rsid w:val="0078068B"/>
    <w:rsid w:val="00781780"/>
    <w:rsid w:val="007818FE"/>
    <w:rsid w:val="00781BCF"/>
    <w:rsid w:val="00782451"/>
    <w:rsid w:val="00782678"/>
    <w:rsid w:val="007835F1"/>
    <w:rsid w:val="0078463C"/>
    <w:rsid w:val="00784DA2"/>
    <w:rsid w:val="0078593D"/>
    <w:rsid w:val="0078696C"/>
    <w:rsid w:val="00786A3B"/>
    <w:rsid w:val="0078701B"/>
    <w:rsid w:val="0078730A"/>
    <w:rsid w:val="00787A77"/>
    <w:rsid w:val="00790984"/>
    <w:rsid w:val="00790F09"/>
    <w:rsid w:val="00791686"/>
    <w:rsid w:val="00791B42"/>
    <w:rsid w:val="007922A1"/>
    <w:rsid w:val="00792960"/>
    <w:rsid w:val="00794146"/>
    <w:rsid w:val="007950D3"/>
    <w:rsid w:val="007952B9"/>
    <w:rsid w:val="00795582"/>
    <w:rsid w:val="00795C6F"/>
    <w:rsid w:val="007963D3"/>
    <w:rsid w:val="00796462"/>
    <w:rsid w:val="00797B95"/>
    <w:rsid w:val="007A0222"/>
    <w:rsid w:val="007A03EF"/>
    <w:rsid w:val="007A1985"/>
    <w:rsid w:val="007A1CEB"/>
    <w:rsid w:val="007A22F9"/>
    <w:rsid w:val="007A2686"/>
    <w:rsid w:val="007A2887"/>
    <w:rsid w:val="007A3607"/>
    <w:rsid w:val="007A44F0"/>
    <w:rsid w:val="007A4BFA"/>
    <w:rsid w:val="007A4C7D"/>
    <w:rsid w:val="007A53F9"/>
    <w:rsid w:val="007A593A"/>
    <w:rsid w:val="007A604C"/>
    <w:rsid w:val="007A7D5B"/>
    <w:rsid w:val="007B0A5B"/>
    <w:rsid w:val="007B0B9E"/>
    <w:rsid w:val="007B0DC3"/>
    <w:rsid w:val="007B0E73"/>
    <w:rsid w:val="007B1120"/>
    <w:rsid w:val="007B1209"/>
    <w:rsid w:val="007B16BA"/>
    <w:rsid w:val="007B1B71"/>
    <w:rsid w:val="007B1C13"/>
    <w:rsid w:val="007B2DD4"/>
    <w:rsid w:val="007B30EC"/>
    <w:rsid w:val="007B3268"/>
    <w:rsid w:val="007B32E5"/>
    <w:rsid w:val="007B365E"/>
    <w:rsid w:val="007B39AF"/>
    <w:rsid w:val="007B3EE5"/>
    <w:rsid w:val="007B451E"/>
    <w:rsid w:val="007B56E7"/>
    <w:rsid w:val="007B5852"/>
    <w:rsid w:val="007B5BA2"/>
    <w:rsid w:val="007B671C"/>
    <w:rsid w:val="007B6EC3"/>
    <w:rsid w:val="007B6FF0"/>
    <w:rsid w:val="007B705F"/>
    <w:rsid w:val="007B7FA9"/>
    <w:rsid w:val="007C02A0"/>
    <w:rsid w:val="007C07E1"/>
    <w:rsid w:val="007C1DF6"/>
    <w:rsid w:val="007C27B5"/>
    <w:rsid w:val="007C34B2"/>
    <w:rsid w:val="007C35A2"/>
    <w:rsid w:val="007C41D7"/>
    <w:rsid w:val="007C57D8"/>
    <w:rsid w:val="007C5CBC"/>
    <w:rsid w:val="007C7023"/>
    <w:rsid w:val="007C77EA"/>
    <w:rsid w:val="007D0B50"/>
    <w:rsid w:val="007D0C89"/>
    <w:rsid w:val="007D0E6B"/>
    <w:rsid w:val="007D1CC9"/>
    <w:rsid w:val="007D21BB"/>
    <w:rsid w:val="007D2BE1"/>
    <w:rsid w:val="007D3289"/>
    <w:rsid w:val="007D3A0D"/>
    <w:rsid w:val="007D3DB5"/>
    <w:rsid w:val="007D4CC6"/>
    <w:rsid w:val="007D5005"/>
    <w:rsid w:val="007D5084"/>
    <w:rsid w:val="007D52D6"/>
    <w:rsid w:val="007D5324"/>
    <w:rsid w:val="007D6387"/>
    <w:rsid w:val="007D6694"/>
    <w:rsid w:val="007E0856"/>
    <w:rsid w:val="007E1A62"/>
    <w:rsid w:val="007E2A84"/>
    <w:rsid w:val="007E2B72"/>
    <w:rsid w:val="007E3178"/>
    <w:rsid w:val="007E33B8"/>
    <w:rsid w:val="007E3812"/>
    <w:rsid w:val="007E3AF1"/>
    <w:rsid w:val="007E4368"/>
    <w:rsid w:val="007E446D"/>
    <w:rsid w:val="007E4A87"/>
    <w:rsid w:val="007E4B4F"/>
    <w:rsid w:val="007E5494"/>
    <w:rsid w:val="007E5A88"/>
    <w:rsid w:val="007E6060"/>
    <w:rsid w:val="007E66BD"/>
    <w:rsid w:val="007E6AFC"/>
    <w:rsid w:val="007E79DA"/>
    <w:rsid w:val="007F027D"/>
    <w:rsid w:val="007F0AEA"/>
    <w:rsid w:val="007F1195"/>
    <w:rsid w:val="007F1DD4"/>
    <w:rsid w:val="007F1E4E"/>
    <w:rsid w:val="007F2B89"/>
    <w:rsid w:val="007F3565"/>
    <w:rsid w:val="007F365E"/>
    <w:rsid w:val="007F3FC4"/>
    <w:rsid w:val="007F479B"/>
    <w:rsid w:val="007F47F2"/>
    <w:rsid w:val="007F4A9A"/>
    <w:rsid w:val="007F5277"/>
    <w:rsid w:val="007F54F5"/>
    <w:rsid w:val="007F5E08"/>
    <w:rsid w:val="007F5E85"/>
    <w:rsid w:val="007F5FAA"/>
    <w:rsid w:val="007F72A1"/>
    <w:rsid w:val="008007E8"/>
    <w:rsid w:val="008008C1"/>
    <w:rsid w:val="00800B30"/>
    <w:rsid w:val="00801386"/>
    <w:rsid w:val="008015FA"/>
    <w:rsid w:val="008017A2"/>
    <w:rsid w:val="0080222F"/>
    <w:rsid w:val="008025F4"/>
    <w:rsid w:val="008026CA"/>
    <w:rsid w:val="0080281E"/>
    <w:rsid w:val="00802AFC"/>
    <w:rsid w:val="0080358E"/>
    <w:rsid w:val="008036F0"/>
    <w:rsid w:val="00803EFD"/>
    <w:rsid w:val="008040C3"/>
    <w:rsid w:val="0080616D"/>
    <w:rsid w:val="0080715D"/>
    <w:rsid w:val="00807628"/>
    <w:rsid w:val="00807744"/>
    <w:rsid w:val="0081031F"/>
    <w:rsid w:val="008106AE"/>
    <w:rsid w:val="008106CC"/>
    <w:rsid w:val="0081130B"/>
    <w:rsid w:val="008117A2"/>
    <w:rsid w:val="00811802"/>
    <w:rsid w:val="00811FDC"/>
    <w:rsid w:val="008126A8"/>
    <w:rsid w:val="008141D8"/>
    <w:rsid w:val="0081443E"/>
    <w:rsid w:val="0081453F"/>
    <w:rsid w:val="0081499D"/>
    <w:rsid w:val="00814D87"/>
    <w:rsid w:val="00814DCC"/>
    <w:rsid w:val="008150C8"/>
    <w:rsid w:val="008152CB"/>
    <w:rsid w:val="00815336"/>
    <w:rsid w:val="00815CFF"/>
    <w:rsid w:val="008161B9"/>
    <w:rsid w:val="008174F5"/>
    <w:rsid w:val="00817521"/>
    <w:rsid w:val="00817F19"/>
    <w:rsid w:val="00820883"/>
    <w:rsid w:val="00820F34"/>
    <w:rsid w:val="00821170"/>
    <w:rsid w:val="008219D3"/>
    <w:rsid w:val="0082243A"/>
    <w:rsid w:val="0082342D"/>
    <w:rsid w:val="008239AA"/>
    <w:rsid w:val="00824BAA"/>
    <w:rsid w:val="00825DAD"/>
    <w:rsid w:val="008264A7"/>
    <w:rsid w:val="0082659E"/>
    <w:rsid w:val="008265C4"/>
    <w:rsid w:val="00830A51"/>
    <w:rsid w:val="00830B27"/>
    <w:rsid w:val="00831BC1"/>
    <w:rsid w:val="0083222C"/>
    <w:rsid w:val="0083251C"/>
    <w:rsid w:val="00833094"/>
    <w:rsid w:val="00833483"/>
    <w:rsid w:val="00833FB9"/>
    <w:rsid w:val="008346BE"/>
    <w:rsid w:val="0083476F"/>
    <w:rsid w:val="008349B6"/>
    <w:rsid w:val="008353CE"/>
    <w:rsid w:val="0083540C"/>
    <w:rsid w:val="00835704"/>
    <w:rsid w:val="00835B1A"/>
    <w:rsid w:val="00836D4A"/>
    <w:rsid w:val="008370BC"/>
    <w:rsid w:val="008375F5"/>
    <w:rsid w:val="00837DD7"/>
    <w:rsid w:val="00840610"/>
    <w:rsid w:val="00841066"/>
    <w:rsid w:val="00841CDB"/>
    <w:rsid w:val="008423E4"/>
    <w:rsid w:val="00842CBB"/>
    <w:rsid w:val="00842E97"/>
    <w:rsid w:val="008439F7"/>
    <w:rsid w:val="0084536B"/>
    <w:rsid w:val="008463BB"/>
    <w:rsid w:val="00846418"/>
    <w:rsid w:val="00850267"/>
    <w:rsid w:val="00850A3A"/>
    <w:rsid w:val="00850B32"/>
    <w:rsid w:val="008512C8"/>
    <w:rsid w:val="00851459"/>
    <w:rsid w:val="00851D60"/>
    <w:rsid w:val="008522D0"/>
    <w:rsid w:val="008522DF"/>
    <w:rsid w:val="00852DFE"/>
    <w:rsid w:val="00853706"/>
    <w:rsid w:val="008537A3"/>
    <w:rsid w:val="00853A4A"/>
    <w:rsid w:val="008540FA"/>
    <w:rsid w:val="00855471"/>
    <w:rsid w:val="0085552A"/>
    <w:rsid w:val="00855D83"/>
    <w:rsid w:val="00856475"/>
    <w:rsid w:val="00856766"/>
    <w:rsid w:val="008568D4"/>
    <w:rsid w:val="00857799"/>
    <w:rsid w:val="0086001A"/>
    <w:rsid w:val="00860733"/>
    <w:rsid w:val="00860E02"/>
    <w:rsid w:val="0086134A"/>
    <w:rsid w:val="00861BA2"/>
    <w:rsid w:val="00862B25"/>
    <w:rsid w:val="00863067"/>
    <w:rsid w:val="00863175"/>
    <w:rsid w:val="0086393B"/>
    <w:rsid w:val="00864112"/>
    <w:rsid w:val="00864927"/>
    <w:rsid w:val="0086555F"/>
    <w:rsid w:val="00865D4A"/>
    <w:rsid w:val="00866796"/>
    <w:rsid w:val="0086688D"/>
    <w:rsid w:val="00866D4C"/>
    <w:rsid w:val="00867062"/>
    <w:rsid w:val="00867356"/>
    <w:rsid w:val="00871B2B"/>
    <w:rsid w:val="00871CA5"/>
    <w:rsid w:val="00873AB7"/>
    <w:rsid w:val="00873ECF"/>
    <w:rsid w:val="00874B13"/>
    <w:rsid w:val="00875D3D"/>
    <w:rsid w:val="008774E0"/>
    <w:rsid w:val="00877703"/>
    <w:rsid w:val="0087773D"/>
    <w:rsid w:val="00877997"/>
    <w:rsid w:val="00880470"/>
    <w:rsid w:val="00880FEE"/>
    <w:rsid w:val="008814ED"/>
    <w:rsid w:val="00884C56"/>
    <w:rsid w:val="008850A4"/>
    <w:rsid w:val="0088556A"/>
    <w:rsid w:val="0088600E"/>
    <w:rsid w:val="0088618A"/>
    <w:rsid w:val="00886A1B"/>
    <w:rsid w:val="00887D83"/>
    <w:rsid w:val="00887E18"/>
    <w:rsid w:val="008906E2"/>
    <w:rsid w:val="00891962"/>
    <w:rsid w:val="008919A8"/>
    <w:rsid w:val="00891C68"/>
    <w:rsid w:val="00892891"/>
    <w:rsid w:val="00892FC2"/>
    <w:rsid w:val="0089303D"/>
    <w:rsid w:val="008931BE"/>
    <w:rsid w:val="00893C95"/>
    <w:rsid w:val="00893E33"/>
    <w:rsid w:val="00894F68"/>
    <w:rsid w:val="0089525E"/>
    <w:rsid w:val="0089543A"/>
    <w:rsid w:val="0089562D"/>
    <w:rsid w:val="00895644"/>
    <w:rsid w:val="008959E6"/>
    <w:rsid w:val="00895B14"/>
    <w:rsid w:val="0089678E"/>
    <w:rsid w:val="00896E98"/>
    <w:rsid w:val="00897FBA"/>
    <w:rsid w:val="008A01A3"/>
    <w:rsid w:val="008A0309"/>
    <w:rsid w:val="008A06F7"/>
    <w:rsid w:val="008A0D1D"/>
    <w:rsid w:val="008A0F43"/>
    <w:rsid w:val="008A1057"/>
    <w:rsid w:val="008A10EB"/>
    <w:rsid w:val="008A18E0"/>
    <w:rsid w:val="008A2B8D"/>
    <w:rsid w:val="008A2F82"/>
    <w:rsid w:val="008A3A6D"/>
    <w:rsid w:val="008A3F74"/>
    <w:rsid w:val="008A4037"/>
    <w:rsid w:val="008A4530"/>
    <w:rsid w:val="008A5018"/>
    <w:rsid w:val="008A5FE8"/>
    <w:rsid w:val="008A6AD9"/>
    <w:rsid w:val="008A791B"/>
    <w:rsid w:val="008A7EA6"/>
    <w:rsid w:val="008B03C0"/>
    <w:rsid w:val="008B0A7C"/>
    <w:rsid w:val="008B0FA6"/>
    <w:rsid w:val="008B1163"/>
    <w:rsid w:val="008B2210"/>
    <w:rsid w:val="008B2A67"/>
    <w:rsid w:val="008B2EE2"/>
    <w:rsid w:val="008B34FC"/>
    <w:rsid w:val="008B3670"/>
    <w:rsid w:val="008B3BEC"/>
    <w:rsid w:val="008B4B91"/>
    <w:rsid w:val="008B541C"/>
    <w:rsid w:val="008B574B"/>
    <w:rsid w:val="008B639A"/>
    <w:rsid w:val="008B6E36"/>
    <w:rsid w:val="008C08D6"/>
    <w:rsid w:val="008C0CEC"/>
    <w:rsid w:val="008C0D8E"/>
    <w:rsid w:val="008C27F7"/>
    <w:rsid w:val="008C2A1B"/>
    <w:rsid w:val="008C319A"/>
    <w:rsid w:val="008C3D71"/>
    <w:rsid w:val="008C4452"/>
    <w:rsid w:val="008C4584"/>
    <w:rsid w:val="008C4DAC"/>
    <w:rsid w:val="008C50E1"/>
    <w:rsid w:val="008C5395"/>
    <w:rsid w:val="008C6473"/>
    <w:rsid w:val="008C70CA"/>
    <w:rsid w:val="008C71C3"/>
    <w:rsid w:val="008C74B2"/>
    <w:rsid w:val="008C7A3F"/>
    <w:rsid w:val="008C7A60"/>
    <w:rsid w:val="008D07AE"/>
    <w:rsid w:val="008D0C59"/>
    <w:rsid w:val="008D2C5A"/>
    <w:rsid w:val="008D33B8"/>
    <w:rsid w:val="008D3741"/>
    <w:rsid w:val="008D380A"/>
    <w:rsid w:val="008D3EBC"/>
    <w:rsid w:val="008D45EC"/>
    <w:rsid w:val="008D4973"/>
    <w:rsid w:val="008D4A81"/>
    <w:rsid w:val="008D4B9F"/>
    <w:rsid w:val="008D5614"/>
    <w:rsid w:val="008D631F"/>
    <w:rsid w:val="008D63CA"/>
    <w:rsid w:val="008D681D"/>
    <w:rsid w:val="008D6BFD"/>
    <w:rsid w:val="008D6CD7"/>
    <w:rsid w:val="008E4F23"/>
    <w:rsid w:val="008E4F53"/>
    <w:rsid w:val="008E4F8D"/>
    <w:rsid w:val="008E59B6"/>
    <w:rsid w:val="008E5C49"/>
    <w:rsid w:val="008E6527"/>
    <w:rsid w:val="008E66C5"/>
    <w:rsid w:val="008E6B24"/>
    <w:rsid w:val="008E6E7C"/>
    <w:rsid w:val="008E77B0"/>
    <w:rsid w:val="008F00FD"/>
    <w:rsid w:val="008F02AC"/>
    <w:rsid w:val="008F083C"/>
    <w:rsid w:val="008F10C7"/>
    <w:rsid w:val="008F192F"/>
    <w:rsid w:val="008F1A53"/>
    <w:rsid w:val="008F21A4"/>
    <w:rsid w:val="008F2305"/>
    <w:rsid w:val="008F2DC8"/>
    <w:rsid w:val="008F2F1E"/>
    <w:rsid w:val="008F3722"/>
    <w:rsid w:val="008F38DA"/>
    <w:rsid w:val="008F3CCF"/>
    <w:rsid w:val="008F3CF0"/>
    <w:rsid w:val="008F3D4B"/>
    <w:rsid w:val="008F4347"/>
    <w:rsid w:val="008F459D"/>
    <w:rsid w:val="008F517D"/>
    <w:rsid w:val="008F55BF"/>
    <w:rsid w:val="008F578A"/>
    <w:rsid w:val="008F651F"/>
    <w:rsid w:val="008F6A73"/>
    <w:rsid w:val="008F7205"/>
    <w:rsid w:val="008F7215"/>
    <w:rsid w:val="008F74FE"/>
    <w:rsid w:val="008F759C"/>
    <w:rsid w:val="00900794"/>
    <w:rsid w:val="00900842"/>
    <w:rsid w:val="00900FF0"/>
    <w:rsid w:val="009011FF"/>
    <w:rsid w:val="009021E4"/>
    <w:rsid w:val="00902653"/>
    <w:rsid w:val="00902806"/>
    <w:rsid w:val="009036C4"/>
    <w:rsid w:val="00903B1B"/>
    <w:rsid w:val="00903D72"/>
    <w:rsid w:val="009040DE"/>
    <w:rsid w:val="00904F84"/>
    <w:rsid w:val="00905F2D"/>
    <w:rsid w:val="009063C9"/>
    <w:rsid w:val="00906444"/>
    <w:rsid w:val="009071D2"/>
    <w:rsid w:val="009075A2"/>
    <w:rsid w:val="00910310"/>
    <w:rsid w:val="00911143"/>
    <w:rsid w:val="00911276"/>
    <w:rsid w:val="009121C7"/>
    <w:rsid w:val="00912BC6"/>
    <w:rsid w:val="009135A8"/>
    <w:rsid w:val="0091364D"/>
    <w:rsid w:val="00913689"/>
    <w:rsid w:val="00913F7F"/>
    <w:rsid w:val="009141CB"/>
    <w:rsid w:val="00914AD1"/>
    <w:rsid w:val="0091520C"/>
    <w:rsid w:val="00915846"/>
    <w:rsid w:val="00915BF9"/>
    <w:rsid w:val="0091602C"/>
    <w:rsid w:val="00916414"/>
    <w:rsid w:val="00916CB7"/>
    <w:rsid w:val="00916E48"/>
    <w:rsid w:val="009203AC"/>
    <w:rsid w:val="00920CD0"/>
    <w:rsid w:val="00921897"/>
    <w:rsid w:val="00922481"/>
    <w:rsid w:val="0092339B"/>
    <w:rsid w:val="0092430C"/>
    <w:rsid w:val="009269EB"/>
    <w:rsid w:val="00926C80"/>
    <w:rsid w:val="00927123"/>
    <w:rsid w:val="009279D7"/>
    <w:rsid w:val="00927A2A"/>
    <w:rsid w:val="00927B94"/>
    <w:rsid w:val="00930308"/>
    <w:rsid w:val="0093047F"/>
    <w:rsid w:val="00931346"/>
    <w:rsid w:val="009317A5"/>
    <w:rsid w:val="00931B0D"/>
    <w:rsid w:val="009323DC"/>
    <w:rsid w:val="0093267F"/>
    <w:rsid w:val="00933189"/>
    <w:rsid w:val="00933583"/>
    <w:rsid w:val="00933811"/>
    <w:rsid w:val="00933969"/>
    <w:rsid w:val="00933AC8"/>
    <w:rsid w:val="0093473B"/>
    <w:rsid w:val="00934C51"/>
    <w:rsid w:val="00935137"/>
    <w:rsid w:val="00937461"/>
    <w:rsid w:val="00940299"/>
    <w:rsid w:val="0094029D"/>
    <w:rsid w:val="00940698"/>
    <w:rsid w:val="0094113D"/>
    <w:rsid w:val="009418DB"/>
    <w:rsid w:val="009423E4"/>
    <w:rsid w:val="0094264D"/>
    <w:rsid w:val="0094281F"/>
    <w:rsid w:val="00942DB6"/>
    <w:rsid w:val="00943926"/>
    <w:rsid w:val="00944411"/>
    <w:rsid w:val="00945068"/>
    <w:rsid w:val="00945A11"/>
    <w:rsid w:val="00945EFC"/>
    <w:rsid w:val="00945F8B"/>
    <w:rsid w:val="00946086"/>
    <w:rsid w:val="009462D3"/>
    <w:rsid w:val="00946CC5"/>
    <w:rsid w:val="00946E70"/>
    <w:rsid w:val="00947513"/>
    <w:rsid w:val="0094755C"/>
    <w:rsid w:val="00947E48"/>
    <w:rsid w:val="0095028E"/>
    <w:rsid w:val="00950F78"/>
    <w:rsid w:val="00951003"/>
    <w:rsid w:val="009512E1"/>
    <w:rsid w:val="00951918"/>
    <w:rsid w:val="00951BDB"/>
    <w:rsid w:val="00951BFD"/>
    <w:rsid w:val="0095260E"/>
    <w:rsid w:val="009547EC"/>
    <w:rsid w:val="00954BDB"/>
    <w:rsid w:val="009550BB"/>
    <w:rsid w:val="009550D3"/>
    <w:rsid w:val="0095569C"/>
    <w:rsid w:val="009561A3"/>
    <w:rsid w:val="0095695C"/>
    <w:rsid w:val="00956962"/>
    <w:rsid w:val="009570F4"/>
    <w:rsid w:val="00957985"/>
    <w:rsid w:val="009607D5"/>
    <w:rsid w:val="00961020"/>
    <w:rsid w:val="0096165A"/>
    <w:rsid w:val="00961C0C"/>
    <w:rsid w:val="00962278"/>
    <w:rsid w:val="0096238F"/>
    <w:rsid w:val="009623BC"/>
    <w:rsid w:val="0096272F"/>
    <w:rsid w:val="00962761"/>
    <w:rsid w:val="0096353E"/>
    <w:rsid w:val="00963760"/>
    <w:rsid w:val="0096551D"/>
    <w:rsid w:val="009670C3"/>
    <w:rsid w:val="00967DEB"/>
    <w:rsid w:val="00971B21"/>
    <w:rsid w:val="00971B6A"/>
    <w:rsid w:val="00972892"/>
    <w:rsid w:val="00972956"/>
    <w:rsid w:val="00972AA0"/>
    <w:rsid w:val="00973FEE"/>
    <w:rsid w:val="009742EB"/>
    <w:rsid w:val="00974B9D"/>
    <w:rsid w:val="009750C4"/>
    <w:rsid w:val="009754F5"/>
    <w:rsid w:val="00975649"/>
    <w:rsid w:val="00976001"/>
    <w:rsid w:val="00976497"/>
    <w:rsid w:val="009768E7"/>
    <w:rsid w:val="00976B0E"/>
    <w:rsid w:val="00976C22"/>
    <w:rsid w:val="009777B8"/>
    <w:rsid w:val="00977835"/>
    <w:rsid w:val="00977E0D"/>
    <w:rsid w:val="00980146"/>
    <w:rsid w:val="00980CD9"/>
    <w:rsid w:val="0098175D"/>
    <w:rsid w:val="00981FE9"/>
    <w:rsid w:val="009825EA"/>
    <w:rsid w:val="00982CF2"/>
    <w:rsid w:val="009849A8"/>
    <w:rsid w:val="009850D0"/>
    <w:rsid w:val="00985753"/>
    <w:rsid w:val="00986B2F"/>
    <w:rsid w:val="00987090"/>
    <w:rsid w:val="0098749B"/>
    <w:rsid w:val="00987B74"/>
    <w:rsid w:val="00987D41"/>
    <w:rsid w:val="00990666"/>
    <w:rsid w:val="00990FE1"/>
    <w:rsid w:val="0099102E"/>
    <w:rsid w:val="00991134"/>
    <w:rsid w:val="00992316"/>
    <w:rsid w:val="00992429"/>
    <w:rsid w:val="00992647"/>
    <w:rsid w:val="00992788"/>
    <w:rsid w:val="00992B34"/>
    <w:rsid w:val="00993A74"/>
    <w:rsid w:val="00993B9B"/>
    <w:rsid w:val="00994EE1"/>
    <w:rsid w:val="0099529B"/>
    <w:rsid w:val="0099586B"/>
    <w:rsid w:val="009969D9"/>
    <w:rsid w:val="00996B10"/>
    <w:rsid w:val="0099780B"/>
    <w:rsid w:val="009A13D4"/>
    <w:rsid w:val="009A18BC"/>
    <w:rsid w:val="009A1DFF"/>
    <w:rsid w:val="009A2739"/>
    <w:rsid w:val="009A28AE"/>
    <w:rsid w:val="009A3013"/>
    <w:rsid w:val="009A33D2"/>
    <w:rsid w:val="009A4B1E"/>
    <w:rsid w:val="009A4CC2"/>
    <w:rsid w:val="009A4F29"/>
    <w:rsid w:val="009A5238"/>
    <w:rsid w:val="009A5FE6"/>
    <w:rsid w:val="009A6178"/>
    <w:rsid w:val="009A62FF"/>
    <w:rsid w:val="009A6D5F"/>
    <w:rsid w:val="009A7DA4"/>
    <w:rsid w:val="009A7F53"/>
    <w:rsid w:val="009B0046"/>
    <w:rsid w:val="009B14C3"/>
    <w:rsid w:val="009B16C8"/>
    <w:rsid w:val="009B2E4A"/>
    <w:rsid w:val="009B4BD3"/>
    <w:rsid w:val="009B51E9"/>
    <w:rsid w:val="009B58C6"/>
    <w:rsid w:val="009B5F43"/>
    <w:rsid w:val="009B6410"/>
    <w:rsid w:val="009B66CD"/>
    <w:rsid w:val="009B6AB1"/>
    <w:rsid w:val="009B74D4"/>
    <w:rsid w:val="009B786A"/>
    <w:rsid w:val="009C01F5"/>
    <w:rsid w:val="009C12DC"/>
    <w:rsid w:val="009C1415"/>
    <w:rsid w:val="009C15CC"/>
    <w:rsid w:val="009C2C7E"/>
    <w:rsid w:val="009C2D79"/>
    <w:rsid w:val="009C3081"/>
    <w:rsid w:val="009C339C"/>
    <w:rsid w:val="009C3872"/>
    <w:rsid w:val="009C3EFF"/>
    <w:rsid w:val="009C40B6"/>
    <w:rsid w:val="009C64A5"/>
    <w:rsid w:val="009C657A"/>
    <w:rsid w:val="009C6AAB"/>
    <w:rsid w:val="009C6EFB"/>
    <w:rsid w:val="009C7439"/>
    <w:rsid w:val="009C7831"/>
    <w:rsid w:val="009C7B4A"/>
    <w:rsid w:val="009D0BE4"/>
    <w:rsid w:val="009D1555"/>
    <w:rsid w:val="009D1B5C"/>
    <w:rsid w:val="009D1F61"/>
    <w:rsid w:val="009D204C"/>
    <w:rsid w:val="009D284B"/>
    <w:rsid w:val="009D2FC4"/>
    <w:rsid w:val="009D3305"/>
    <w:rsid w:val="009D4806"/>
    <w:rsid w:val="009D4A72"/>
    <w:rsid w:val="009D4ED2"/>
    <w:rsid w:val="009D5072"/>
    <w:rsid w:val="009D5274"/>
    <w:rsid w:val="009D5A28"/>
    <w:rsid w:val="009D75EF"/>
    <w:rsid w:val="009D7BAA"/>
    <w:rsid w:val="009E06ED"/>
    <w:rsid w:val="009E1674"/>
    <w:rsid w:val="009E22F3"/>
    <w:rsid w:val="009E2405"/>
    <w:rsid w:val="009E2C8A"/>
    <w:rsid w:val="009E2CC2"/>
    <w:rsid w:val="009E3478"/>
    <w:rsid w:val="009E3760"/>
    <w:rsid w:val="009E4656"/>
    <w:rsid w:val="009E4B29"/>
    <w:rsid w:val="009E5177"/>
    <w:rsid w:val="009E52D0"/>
    <w:rsid w:val="009E592E"/>
    <w:rsid w:val="009E7894"/>
    <w:rsid w:val="009E7B1A"/>
    <w:rsid w:val="009E7BB6"/>
    <w:rsid w:val="009F11B0"/>
    <w:rsid w:val="009F18C4"/>
    <w:rsid w:val="009F2E87"/>
    <w:rsid w:val="009F3012"/>
    <w:rsid w:val="009F3EE2"/>
    <w:rsid w:val="009F48E6"/>
    <w:rsid w:val="009F4D71"/>
    <w:rsid w:val="009F4E90"/>
    <w:rsid w:val="009F514E"/>
    <w:rsid w:val="009F5A54"/>
    <w:rsid w:val="009F5FD3"/>
    <w:rsid w:val="009F6061"/>
    <w:rsid w:val="009F6149"/>
    <w:rsid w:val="009F669E"/>
    <w:rsid w:val="009F7087"/>
    <w:rsid w:val="009F76FF"/>
    <w:rsid w:val="009F78B5"/>
    <w:rsid w:val="009F79FC"/>
    <w:rsid w:val="00A007E6"/>
    <w:rsid w:val="00A00943"/>
    <w:rsid w:val="00A00B31"/>
    <w:rsid w:val="00A00B36"/>
    <w:rsid w:val="00A011FD"/>
    <w:rsid w:val="00A01798"/>
    <w:rsid w:val="00A019B1"/>
    <w:rsid w:val="00A01C5F"/>
    <w:rsid w:val="00A01D25"/>
    <w:rsid w:val="00A020E9"/>
    <w:rsid w:val="00A0336A"/>
    <w:rsid w:val="00A037A9"/>
    <w:rsid w:val="00A03C21"/>
    <w:rsid w:val="00A04438"/>
    <w:rsid w:val="00A04759"/>
    <w:rsid w:val="00A052DB"/>
    <w:rsid w:val="00A0685E"/>
    <w:rsid w:val="00A10499"/>
    <w:rsid w:val="00A10929"/>
    <w:rsid w:val="00A10D25"/>
    <w:rsid w:val="00A10D7D"/>
    <w:rsid w:val="00A11920"/>
    <w:rsid w:val="00A11A7C"/>
    <w:rsid w:val="00A11B86"/>
    <w:rsid w:val="00A12B65"/>
    <w:rsid w:val="00A13504"/>
    <w:rsid w:val="00A147DE"/>
    <w:rsid w:val="00A14AB6"/>
    <w:rsid w:val="00A15AAD"/>
    <w:rsid w:val="00A16195"/>
    <w:rsid w:val="00A162C2"/>
    <w:rsid w:val="00A205B2"/>
    <w:rsid w:val="00A20AC7"/>
    <w:rsid w:val="00A20CB6"/>
    <w:rsid w:val="00A22F33"/>
    <w:rsid w:val="00A230B9"/>
    <w:rsid w:val="00A23300"/>
    <w:rsid w:val="00A23425"/>
    <w:rsid w:val="00A23AD3"/>
    <w:rsid w:val="00A2595B"/>
    <w:rsid w:val="00A25A25"/>
    <w:rsid w:val="00A25ABA"/>
    <w:rsid w:val="00A26FC2"/>
    <w:rsid w:val="00A270F7"/>
    <w:rsid w:val="00A3082C"/>
    <w:rsid w:val="00A31E7A"/>
    <w:rsid w:val="00A32324"/>
    <w:rsid w:val="00A34289"/>
    <w:rsid w:val="00A342A3"/>
    <w:rsid w:val="00A3563B"/>
    <w:rsid w:val="00A35BF5"/>
    <w:rsid w:val="00A35BF7"/>
    <w:rsid w:val="00A36998"/>
    <w:rsid w:val="00A37244"/>
    <w:rsid w:val="00A37F76"/>
    <w:rsid w:val="00A40064"/>
    <w:rsid w:val="00A40445"/>
    <w:rsid w:val="00A4067D"/>
    <w:rsid w:val="00A4069D"/>
    <w:rsid w:val="00A40E65"/>
    <w:rsid w:val="00A40E98"/>
    <w:rsid w:val="00A412C1"/>
    <w:rsid w:val="00A4132D"/>
    <w:rsid w:val="00A418AA"/>
    <w:rsid w:val="00A4200A"/>
    <w:rsid w:val="00A42905"/>
    <w:rsid w:val="00A4376A"/>
    <w:rsid w:val="00A44993"/>
    <w:rsid w:val="00A45104"/>
    <w:rsid w:val="00A4543C"/>
    <w:rsid w:val="00A45F30"/>
    <w:rsid w:val="00A466AD"/>
    <w:rsid w:val="00A4670E"/>
    <w:rsid w:val="00A46D34"/>
    <w:rsid w:val="00A46E95"/>
    <w:rsid w:val="00A46EFA"/>
    <w:rsid w:val="00A47E88"/>
    <w:rsid w:val="00A50046"/>
    <w:rsid w:val="00A50103"/>
    <w:rsid w:val="00A50CE1"/>
    <w:rsid w:val="00A50FEA"/>
    <w:rsid w:val="00A51DF5"/>
    <w:rsid w:val="00A51E55"/>
    <w:rsid w:val="00A53710"/>
    <w:rsid w:val="00A543CE"/>
    <w:rsid w:val="00A54435"/>
    <w:rsid w:val="00A54E24"/>
    <w:rsid w:val="00A551A5"/>
    <w:rsid w:val="00A559B8"/>
    <w:rsid w:val="00A55C1E"/>
    <w:rsid w:val="00A565D7"/>
    <w:rsid w:val="00A56B07"/>
    <w:rsid w:val="00A5736B"/>
    <w:rsid w:val="00A57B01"/>
    <w:rsid w:val="00A60104"/>
    <w:rsid w:val="00A60873"/>
    <w:rsid w:val="00A60D10"/>
    <w:rsid w:val="00A61B1F"/>
    <w:rsid w:val="00A61CD2"/>
    <w:rsid w:val="00A626EF"/>
    <w:rsid w:val="00A62AEB"/>
    <w:rsid w:val="00A63B47"/>
    <w:rsid w:val="00A63C23"/>
    <w:rsid w:val="00A640BD"/>
    <w:rsid w:val="00A6419E"/>
    <w:rsid w:val="00A6432F"/>
    <w:rsid w:val="00A645EC"/>
    <w:rsid w:val="00A64F98"/>
    <w:rsid w:val="00A6528C"/>
    <w:rsid w:val="00A66221"/>
    <w:rsid w:val="00A66294"/>
    <w:rsid w:val="00A66895"/>
    <w:rsid w:val="00A66E3D"/>
    <w:rsid w:val="00A6701B"/>
    <w:rsid w:val="00A67347"/>
    <w:rsid w:val="00A673DE"/>
    <w:rsid w:val="00A678FB"/>
    <w:rsid w:val="00A7072E"/>
    <w:rsid w:val="00A70A58"/>
    <w:rsid w:val="00A71DB6"/>
    <w:rsid w:val="00A73506"/>
    <w:rsid w:val="00A7353A"/>
    <w:rsid w:val="00A74A4B"/>
    <w:rsid w:val="00A74D13"/>
    <w:rsid w:val="00A752FD"/>
    <w:rsid w:val="00A75583"/>
    <w:rsid w:val="00A76C07"/>
    <w:rsid w:val="00A76CAA"/>
    <w:rsid w:val="00A77583"/>
    <w:rsid w:val="00A80BFE"/>
    <w:rsid w:val="00A81B3F"/>
    <w:rsid w:val="00A823A3"/>
    <w:rsid w:val="00A82AB9"/>
    <w:rsid w:val="00A832FD"/>
    <w:rsid w:val="00A83A82"/>
    <w:rsid w:val="00A83C21"/>
    <w:rsid w:val="00A83F5A"/>
    <w:rsid w:val="00A846B4"/>
    <w:rsid w:val="00A849E3"/>
    <w:rsid w:val="00A8594E"/>
    <w:rsid w:val="00A85DB9"/>
    <w:rsid w:val="00A86054"/>
    <w:rsid w:val="00A8640A"/>
    <w:rsid w:val="00A86619"/>
    <w:rsid w:val="00A866F1"/>
    <w:rsid w:val="00A875D1"/>
    <w:rsid w:val="00A9032D"/>
    <w:rsid w:val="00A910BF"/>
    <w:rsid w:val="00A91BB6"/>
    <w:rsid w:val="00A920C2"/>
    <w:rsid w:val="00A9251F"/>
    <w:rsid w:val="00A930E7"/>
    <w:rsid w:val="00A93546"/>
    <w:rsid w:val="00A93B07"/>
    <w:rsid w:val="00A941FD"/>
    <w:rsid w:val="00A945E5"/>
    <w:rsid w:val="00A947A8"/>
    <w:rsid w:val="00A9510A"/>
    <w:rsid w:val="00A9559D"/>
    <w:rsid w:val="00A95A4B"/>
    <w:rsid w:val="00A95D9A"/>
    <w:rsid w:val="00A97362"/>
    <w:rsid w:val="00AA0016"/>
    <w:rsid w:val="00AA018F"/>
    <w:rsid w:val="00AA177C"/>
    <w:rsid w:val="00AA1A3F"/>
    <w:rsid w:val="00AA2063"/>
    <w:rsid w:val="00AA314E"/>
    <w:rsid w:val="00AA48AB"/>
    <w:rsid w:val="00AA5279"/>
    <w:rsid w:val="00AA52BE"/>
    <w:rsid w:val="00AA5A9C"/>
    <w:rsid w:val="00AA5C3F"/>
    <w:rsid w:val="00AA5C74"/>
    <w:rsid w:val="00AA5C85"/>
    <w:rsid w:val="00AA621E"/>
    <w:rsid w:val="00AA631D"/>
    <w:rsid w:val="00AA703F"/>
    <w:rsid w:val="00AA7094"/>
    <w:rsid w:val="00AA77AF"/>
    <w:rsid w:val="00AA7AD1"/>
    <w:rsid w:val="00AA7BEB"/>
    <w:rsid w:val="00AB041F"/>
    <w:rsid w:val="00AB05FF"/>
    <w:rsid w:val="00AB0C80"/>
    <w:rsid w:val="00AB3366"/>
    <w:rsid w:val="00AB3848"/>
    <w:rsid w:val="00AB4060"/>
    <w:rsid w:val="00AB600B"/>
    <w:rsid w:val="00AB6685"/>
    <w:rsid w:val="00AB6B23"/>
    <w:rsid w:val="00AC169A"/>
    <w:rsid w:val="00AC235D"/>
    <w:rsid w:val="00AC399B"/>
    <w:rsid w:val="00AC6B4F"/>
    <w:rsid w:val="00AC6BAA"/>
    <w:rsid w:val="00AC6EB4"/>
    <w:rsid w:val="00AC72FE"/>
    <w:rsid w:val="00AC75B4"/>
    <w:rsid w:val="00AC7D59"/>
    <w:rsid w:val="00AC7DA3"/>
    <w:rsid w:val="00AC7FD2"/>
    <w:rsid w:val="00AD192E"/>
    <w:rsid w:val="00AD34E9"/>
    <w:rsid w:val="00AD3AA9"/>
    <w:rsid w:val="00AD3D1F"/>
    <w:rsid w:val="00AD3E50"/>
    <w:rsid w:val="00AD3E93"/>
    <w:rsid w:val="00AD435C"/>
    <w:rsid w:val="00AD4863"/>
    <w:rsid w:val="00AD48BD"/>
    <w:rsid w:val="00AD4BC0"/>
    <w:rsid w:val="00AD4E65"/>
    <w:rsid w:val="00AD67E1"/>
    <w:rsid w:val="00AD6F6A"/>
    <w:rsid w:val="00AD73A3"/>
    <w:rsid w:val="00AD7880"/>
    <w:rsid w:val="00AD7C65"/>
    <w:rsid w:val="00AD7FD7"/>
    <w:rsid w:val="00AE0343"/>
    <w:rsid w:val="00AE169A"/>
    <w:rsid w:val="00AE302D"/>
    <w:rsid w:val="00AE4B96"/>
    <w:rsid w:val="00AE6496"/>
    <w:rsid w:val="00AE7133"/>
    <w:rsid w:val="00AE734B"/>
    <w:rsid w:val="00AE782B"/>
    <w:rsid w:val="00AE78A0"/>
    <w:rsid w:val="00AF096C"/>
    <w:rsid w:val="00AF0F28"/>
    <w:rsid w:val="00AF1C89"/>
    <w:rsid w:val="00AF284B"/>
    <w:rsid w:val="00AF2FFA"/>
    <w:rsid w:val="00AF3519"/>
    <w:rsid w:val="00AF41D7"/>
    <w:rsid w:val="00AF6617"/>
    <w:rsid w:val="00AF6C93"/>
    <w:rsid w:val="00AF6FE4"/>
    <w:rsid w:val="00AF7335"/>
    <w:rsid w:val="00B0023D"/>
    <w:rsid w:val="00B008F5"/>
    <w:rsid w:val="00B011D3"/>
    <w:rsid w:val="00B01365"/>
    <w:rsid w:val="00B01A01"/>
    <w:rsid w:val="00B01B98"/>
    <w:rsid w:val="00B0200C"/>
    <w:rsid w:val="00B026C8"/>
    <w:rsid w:val="00B0303F"/>
    <w:rsid w:val="00B035AC"/>
    <w:rsid w:val="00B039AD"/>
    <w:rsid w:val="00B041F2"/>
    <w:rsid w:val="00B04217"/>
    <w:rsid w:val="00B04820"/>
    <w:rsid w:val="00B049EF"/>
    <w:rsid w:val="00B050CF"/>
    <w:rsid w:val="00B053DE"/>
    <w:rsid w:val="00B05ACB"/>
    <w:rsid w:val="00B05B3F"/>
    <w:rsid w:val="00B060B4"/>
    <w:rsid w:val="00B062F6"/>
    <w:rsid w:val="00B0693E"/>
    <w:rsid w:val="00B07EED"/>
    <w:rsid w:val="00B103D5"/>
    <w:rsid w:val="00B10879"/>
    <w:rsid w:val="00B10EF5"/>
    <w:rsid w:val="00B1171B"/>
    <w:rsid w:val="00B14E47"/>
    <w:rsid w:val="00B151CC"/>
    <w:rsid w:val="00B15510"/>
    <w:rsid w:val="00B1563D"/>
    <w:rsid w:val="00B15FCD"/>
    <w:rsid w:val="00B16751"/>
    <w:rsid w:val="00B16A5B"/>
    <w:rsid w:val="00B1794E"/>
    <w:rsid w:val="00B17C43"/>
    <w:rsid w:val="00B21987"/>
    <w:rsid w:val="00B21BF0"/>
    <w:rsid w:val="00B224B1"/>
    <w:rsid w:val="00B23C43"/>
    <w:rsid w:val="00B23E13"/>
    <w:rsid w:val="00B23F1D"/>
    <w:rsid w:val="00B248E3"/>
    <w:rsid w:val="00B249C5"/>
    <w:rsid w:val="00B24FC6"/>
    <w:rsid w:val="00B24FC8"/>
    <w:rsid w:val="00B26062"/>
    <w:rsid w:val="00B26744"/>
    <w:rsid w:val="00B269BB"/>
    <w:rsid w:val="00B27044"/>
    <w:rsid w:val="00B27B93"/>
    <w:rsid w:val="00B27E82"/>
    <w:rsid w:val="00B30505"/>
    <w:rsid w:val="00B30672"/>
    <w:rsid w:val="00B30831"/>
    <w:rsid w:val="00B32191"/>
    <w:rsid w:val="00B32571"/>
    <w:rsid w:val="00B33E41"/>
    <w:rsid w:val="00B342B5"/>
    <w:rsid w:val="00B34677"/>
    <w:rsid w:val="00B34951"/>
    <w:rsid w:val="00B34974"/>
    <w:rsid w:val="00B34B18"/>
    <w:rsid w:val="00B364C2"/>
    <w:rsid w:val="00B36E78"/>
    <w:rsid w:val="00B36F2C"/>
    <w:rsid w:val="00B373EE"/>
    <w:rsid w:val="00B37815"/>
    <w:rsid w:val="00B37877"/>
    <w:rsid w:val="00B37CC5"/>
    <w:rsid w:val="00B40D8C"/>
    <w:rsid w:val="00B41137"/>
    <w:rsid w:val="00B42729"/>
    <w:rsid w:val="00B427F6"/>
    <w:rsid w:val="00B42E53"/>
    <w:rsid w:val="00B434B3"/>
    <w:rsid w:val="00B43655"/>
    <w:rsid w:val="00B44808"/>
    <w:rsid w:val="00B44ECD"/>
    <w:rsid w:val="00B4519B"/>
    <w:rsid w:val="00B457A7"/>
    <w:rsid w:val="00B46056"/>
    <w:rsid w:val="00B463E2"/>
    <w:rsid w:val="00B46A7E"/>
    <w:rsid w:val="00B47206"/>
    <w:rsid w:val="00B47B25"/>
    <w:rsid w:val="00B50675"/>
    <w:rsid w:val="00B506F2"/>
    <w:rsid w:val="00B5093D"/>
    <w:rsid w:val="00B50AAB"/>
    <w:rsid w:val="00B50AC4"/>
    <w:rsid w:val="00B50F31"/>
    <w:rsid w:val="00B51007"/>
    <w:rsid w:val="00B51109"/>
    <w:rsid w:val="00B51396"/>
    <w:rsid w:val="00B515C0"/>
    <w:rsid w:val="00B51EA7"/>
    <w:rsid w:val="00B520EB"/>
    <w:rsid w:val="00B52956"/>
    <w:rsid w:val="00B52B9C"/>
    <w:rsid w:val="00B530F3"/>
    <w:rsid w:val="00B53926"/>
    <w:rsid w:val="00B546C0"/>
    <w:rsid w:val="00B55555"/>
    <w:rsid w:val="00B55E53"/>
    <w:rsid w:val="00B5661F"/>
    <w:rsid w:val="00B56782"/>
    <w:rsid w:val="00B577F7"/>
    <w:rsid w:val="00B6026C"/>
    <w:rsid w:val="00B60A0F"/>
    <w:rsid w:val="00B61040"/>
    <w:rsid w:val="00B62138"/>
    <w:rsid w:val="00B62BD3"/>
    <w:rsid w:val="00B639E5"/>
    <w:rsid w:val="00B645A4"/>
    <w:rsid w:val="00B657BB"/>
    <w:rsid w:val="00B65CC9"/>
    <w:rsid w:val="00B6619A"/>
    <w:rsid w:val="00B66F05"/>
    <w:rsid w:val="00B70288"/>
    <w:rsid w:val="00B70C7E"/>
    <w:rsid w:val="00B716B2"/>
    <w:rsid w:val="00B7249E"/>
    <w:rsid w:val="00B724EE"/>
    <w:rsid w:val="00B7285B"/>
    <w:rsid w:val="00B73009"/>
    <w:rsid w:val="00B734A8"/>
    <w:rsid w:val="00B73B4A"/>
    <w:rsid w:val="00B73BAA"/>
    <w:rsid w:val="00B73C04"/>
    <w:rsid w:val="00B742E6"/>
    <w:rsid w:val="00B7461E"/>
    <w:rsid w:val="00B7466F"/>
    <w:rsid w:val="00B747CD"/>
    <w:rsid w:val="00B75989"/>
    <w:rsid w:val="00B75CFE"/>
    <w:rsid w:val="00B76D9F"/>
    <w:rsid w:val="00B775DC"/>
    <w:rsid w:val="00B8075A"/>
    <w:rsid w:val="00B810C4"/>
    <w:rsid w:val="00B813CE"/>
    <w:rsid w:val="00B8141D"/>
    <w:rsid w:val="00B819F1"/>
    <w:rsid w:val="00B81A0B"/>
    <w:rsid w:val="00B825C2"/>
    <w:rsid w:val="00B82DA4"/>
    <w:rsid w:val="00B82EA9"/>
    <w:rsid w:val="00B83365"/>
    <w:rsid w:val="00B84750"/>
    <w:rsid w:val="00B85F2B"/>
    <w:rsid w:val="00B85FB1"/>
    <w:rsid w:val="00B862D4"/>
    <w:rsid w:val="00B864E4"/>
    <w:rsid w:val="00B87132"/>
    <w:rsid w:val="00B872C4"/>
    <w:rsid w:val="00B87583"/>
    <w:rsid w:val="00B8768A"/>
    <w:rsid w:val="00B902AB"/>
    <w:rsid w:val="00B91209"/>
    <w:rsid w:val="00B912BB"/>
    <w:rsid w:val="00B91464"/>
    <w:rsid w:val="00B9187F"/>
    <w:rsid w:val="00B92B12"/>
    <w:rsid w:val="00B92D26"/>
    <w:rsid w:val="00B92ED9"/>
    <w:rsid w:val="00B930F5"/>
    <w:rsid w:val="00B93638"/>
    <w:rsid w:val="00B9375C"/>
    <w:rsid w:val="00B93AA2"/>
    <w:rsid w:val="00B93AE4"/>
    <w:rsid w:val="00B93BA1"/>
    <w:rsid w:val="00B93CE8"/>
    <w:rsid w:val="00B93F9B"/>
    <w:rsid w:val="00B9482F"/>
    <w:rsid w:val="00B94E9F"/>
    <w:rsid w:val="00B95161"/>
    <w:rsid w:val="00B9570F"/>
    <w:rsid w:val="00B95CFC"/>
    <w:rsid w:val="00B96238"/>
    <w:rsid w:val="00B967FC"/>
    <w:rsid w:val="00BA0A81"/>
    <w:rsid w:val="00BA0A88"/>
    <w:rsid w:val="00BA0DA4"/>
    <w:rsid w:val="00BA0E10"/>
    <w:rsid w:val="00BA1451"/>
    <w:rsid w:val="00BA1619"/>
    <w:rsid w:val="00BA1B67"/>
    <w:rsid w:val="00BA2354"/>
    <w:rsid w:val="00BA299D"/>
    <w:rsid w:val="00BA344F"/>
    <w:rsid w:val="00BA456F"/>
    <w:rsid w:val="00BA46A9"/>
    <w:rsid w:val="00BA47FF"/>
    <w:rsid w:val="00BA4906"/>
    <w:rsid w:val="00BA49CE"/>
    <w:rsid w:val="00BA4AA0"/>
    <w:rsid w:val="00BA4BA5"/>
    <w:rsid w:val="00BA5D6C"/>
    <w:rsid w:val="00BA6674"/>
    <w:rsid w:val="00BA777C"/>
    <w:rsid w:val="00BA7D3E"/>
    <w:rsid w:val="00BB01A7"/>
    <w:rsid w:val="00BB0DE1"/>
    <w:rsid w:val="00BB0E4E"/>
    <w:rsid w:val="00BB1330"/>
    <w:rsid w:val="00BB1E37"/>
    <w:rsid w:val="00BB2CFF"/>
    <w:rsid w:val="00BB2D82"/>
    <w:rsid w:val="00BB2F63"/>
    <w:rsid w:val="00BB41C4"/>
    <w:rsid w:val="00BB43BA"/>
    <w:rsid w:val="00BB462E"/>
    <w:rsid w:val="00BB6138"/>
    <w:rsid w:val="00BB6233"/>
    <w:rsid w:val="00BB7694"/>
    <w:rsid w:val="00BB7EB0"/>
    <w:rsid w:val="00BB7FA9"/>
    <w:rsid w:val="00BC0DEC"/>
    <w:rsid w:val="00BC1BB3"/>
    <w:rsid w:val="00BC1C6C"/>
    <w:rsid w:val="00BC1E79"/>
    <w:rsid w:val="00BC2041"/>
    <w:rsid w:val="00BC3AA7"/>
    <w:rsid w:val="00BC40C4"/>
    <w:rsid w:val="00BC5516"/>
    <w:rsid w:val="00BC577B"/>
    <w:rsid w:val="00BC592E"/>
    <w:rsid w:val="00BC5BFF"/>
    <w:rsid w:val="00BC6791"/>
    <w:rsid w:val="00BC6ABA"/>
    <w:rsid w:val="00BC717C"/>
    <w:rsid w:val="00BC794E"/>
    <w:rsid w:val="00BD01EC"/>
    <w:rsid w:val="00BD04B2"/>
    <w:rsid w:val="00BD0913"/>
    <w:rsid w:val="00BD0C00"/>
    <w:rsid w:val="00BD11EF"/>
    <w:rsid w:val="00BD13AB"/>
    <w:rsid w:val="00BD18FC"/>
    <w:rsid w:val="00BD2158"/>
    <w:rsid w:val="00BD245D"/>
    <w:rsid w:val="00BD2C52"/>
    <w:rsid w:val="00BD4442"/>
    <w:rsid w:val="00BD4C42"/>
    <w:rsid w:val="00BD4E3B"/>
    <w:rsid w:val="00BD57B5"/>
    <w:rsid w:val="00BD5802"/>
    <w:rsid w:val="00BD5CBA"/>
    <w:rsid w:val="00BD664D"/>
    <w:rsid w:val="00BD7B75"/>
    <w:rsid w:val="00BE1C11"/>
    <w:rsid w:val="00BE2C31"/>
    <w:rsid w:val="00BE3F42"/>
    <w:rsid w:val="00BE4462"/>
    <w:rsid w:val="00BE55E5"/>
    <w:rsid w:val="00BE5947"/>
    <w:rsid w:val="00BE59ED"/>
    <w:rsid w:val="00BE5E21"/>
    <w:rsid w:val="00BE61A5"/>
    <w:rsid w:val="00BE67A8"/>
    <w:rsid w:val="00BE6A2D"/>
    <w:rsid w:val="00BE6B03"/>
    <w:rsid w:val="00BE7620"/>
    <w:rsid w:val="00BE7E5F"/>
    <w:rsid w:val="00BE7E9E"/>
    <w:rsid w:val="00BF04C0"/>
    <w:rsid w:val="00BF0B50"/>
    <w:rsid w:val="00BF0FAA"/>
    <w:rsid w:val="00BF1328"/>
    <w:rsid w:val="00BF181B"/>
    <w:rsid w:val="00BF232D"/>
    <w:rsid w:val="00BF25D4"/>
    <w:rsid w:val="00BF3BA1"/>
    <w:rsid w:val="00BF449A"/>
    <w:rsid w:val="00BF4CA2"/>
    <w:rsid w:val="00BF539A"/>
    <w:rsid w:val="00BF55E6"/>
    <w:rsid w:val="00BF6364"/>
    <w:rsid w:val="00BF64BE"/>
    <w:rsid w:val="00BF77B4"/>
    <w:rsid w:val="00BF793C"/>
    <w:rsid w:val="00BF7D0F"/>
    <w:rsid w:val="00C0023B"/>
    <w:rsid w:val="00C003AE"/>
    <w:rsid w:val="00C008D1"/>
    <w:rsid w:val="00C00EDE"/>
    <w:rsid w:val="00C00FC8"/>
    <w:rsid w:val="00C019B7"/>
    <w:rsid w:val="00C021C3"/>
    <w:rsid w:val="00C024E9"/>
    <w:rsid w:val="00C02F58"/>
    <w:rsid w:val="00C03DF3"/>
    <w:rsid w:val="00C04584"/>
    <w:rsid w:val="00C04773"/>
    <w:rsid w:val="00C0513A"/>
    <w:rsid w:val="00C05BEF"/>
    <w:rsid w:val="00C06BC8"/>
    <w:rsid w:val="00C06D0C"/>
    <w:rsid w:val="00C06E42"/>
    <w:rsid w:val="00C07495"/>
    <w:rsid w:val="00C07F59"/>
    <w:rsid w:val="00C10E4D"/>
    <w:rsid w:val="00C11109"/>
    <w:rsid w:val="00C1147C"/>
    <w:rsid w:val="00C119D5"/>
    <w:rsid w:val="00C11EA1"/>
    <w:rsid w:val="00C1202E"/>
    <w:rsid w:val="00C12D91"/>
    <w:rsid w:val="00C14592"/>
    <w:rsid w:val="00C14B31"/>
    <w:rsid w:val="00C155D2"/>
    <w:rsid w:val="00C157C4"/>
    <w:rsid w:val="00C15E9B"/>
    <w:rsid w:val="00C16ADC"/>
    <w:rsid w:val="00C16AE4"/>
    <w:rsid w:val="00C16DCA"/>
    <w:rsid w:val="00C16DCC"/>
    <w:rsid w:val="00C16E08"/>
    <w:rsid w:val="00C17B81"/>
    <w:rsid w:val="00C2020B"/>
    <w:rsid w:val="00C20773"/>
    <w:rsid w:val="00C20D3F"/>
    <w:rsid w:val="00C21007"/>
    <w:rsid w:val="00C211D6"/>
    <w:rsid w:val="00C212A5"/>
    <w:rsid w:val="00C212BA"/>
    <w:rsid w:val="00C212BE"/>
    <w:rsid w:val="00C21B55"/>
    <w:rsid w:val="00C21D20"/>
    <w:rsid w:val="00C2333F"/>
    <w:rsid w:val="00C236DE"/>
    <w:rsid w:val="00C24233"/>
    <w:rsid w:val="00C2455A"/>
    <w:rsid w:val="00C25CD5"/>
    <w:rsid w:val="00C260C6"/>
    <w:rsid w:val="00C2628B"/>
    <w:rsid w:val="00C264AF"/>
    <w:rsid w:val="00C26C4D"/>
    <w:rsid w:val="00C27C36"/>
    <w:rsid w:val="00C303AB"/>
    <w:rsid w:val="00C308ED"/>
    <w:rsid w:val="00C309AE"/>
    <w:rsid w:val="00C312D6"/>
    <w:rsid w:val="00C3177A"/>
    <w:rsid w:val="00C32165"/>
    <w:rsid w:val="00C32740"/>
    <w:rsid w:val="00C32B03"/>
    <w:rsid w:val="00C33420"/>
    <w:rsid w:val="00C33E8A"/>
    <w:rsid w:val="00C340C1"/>
    <w:rsid w:val="00C34C6B"/>
    <w:rsid w:val="00C359DE"/>
    <w:rsid w:val="00C363DB"/>
    <w:rsid w:val="00C36E64"/>
    <w:rsid w:val="00C3764D"/>
    <w:rsid w:val="00C3782C"/>
    <w:rsid w:val="00C378D3"/>
    <w:rsid w:val="00C37B1E"/>
    <w:rsid w:val="00C37FE4"/>
    <w:rsid w:val="00C407D3"/>
    <w:rsid w:val="00C40B8E"/>
    <w:rsid w:val="00C41356"/>
    <w:rsid w:val="00C41807"/>
    <w:rsid w:val="00C42CC6"/>
    <w:rsid w:val="00C42FF9"/>
    <w:rsid w:val="00C43AD1"/>
    <w:rsid w:val="00C43D60"/>
    <w:rsid w:val="00C4450E"/>
    <w:rsid w:val="00C44531"/>
    <w:rsid w:val="00C44E29"/>
    <w:rsid w:val="00C44FB9"/>
    <w:rsid w:val="00C457EC"/>
    <w:rsid w:val="00C458FB"/>
    <w:rsid w:val="00C45B64"/>
    <w:rsid w:val="00C46381"/>
    <w:rsid w:val="00C465BF"/>
    <w:rsid w:val="00C46A04"/>
    <w:rsid w:val="00C46A3B"/>
    <w:rsid w:val="00C46E9E"/>
    <w:rsid w:val="00C5018E"/>
    <w:rsid w:val="00C5024E"/>
    <w:rsid w:val="00C5077C"/>
    <w:rsid w:val="00C509FE"/>
    <w:rsid w:val="00C51F99"/>
    <w:rsid w:val="00C529E6"/>
    <w:rsid w:val="00C52AD6"/>
    <w:rsid w:val="00C52CBC"/>
    <w:rsid w:val="00C5324E"/>
    <w:rsid w:val="00C538EA"/>
    <w:rsid w:val="00C53B79"/>
    <w:rsid w:val="00C54007"/>
    <w:rsid w:val="00C542E9"/>
    <w:rsid w:val="00C5581C"/>
    <w:rsid w:val="00C55B34"/>
    <w:rsid w:val="00C561C8"/>
    <w:rsid w:val="00C56542"/>
    <w:rsid w:val="00C57A60"/>
    <w:rsid w:val="00C6027B"/>
    <w:rsid w:val="00C61123"/>
    <w:rsid w:val="00C612F1"/>
    <w:rsid w:val="00C614A0"/>
    <w:rsid w:val="00C61897"/>
    <w:rsid w:val="00C62307"/>
    <w:rsid w:val="00C62CAE"/>
    <w:rsid w:val="00C62CE6"/>
    <w:rsid w:val="00C63B12"/>
    <w:rsid w:val="00C6413E"/>
    <w:rsid w:val="00C641AC"/>
    <w:rsid w:val="00C643AE"/>
    <w:rsid w:val="00C648F8"/>
    <w:rsid w:val="00C649E3"/>
    <w:rsid w:val="00C64A8F"/>
    <w:rsid w:val="00C65B0C"/>
    <w:rsid w:val="00C66014"/>
    <w:rsid w:val="00C661AF"/>
    <w:rsid w:val="00C66794"/>
    <w:rsid w:val="00C676AF"/>
    <w:rsid w:val="00C67D49"/>
    <w:rsid w:val="00C703A2"/>
    <w:rsid w:val="00C70AC9"/>
    <w:rsid w:val="00C70D66"/>
    <w:rsid w:val="00C70EBA"/>
    <w:rsid w:val="00C71AD0"/>
    <w:rsid w:val="00C72218"/>
    <w:rsid w:val="00C72811"/>
    <w:rsid w:val="00C72A58"/>
    <w:rsid w:val="00C72C28"/>
    <w:rsid w:val="00C734F0"/>
    <w:rsid w:val="00C735D0"/>
    <w:rsid w:val="00C73E91"/>
    <w:rsid w:val="00C7428D"/>
    <w:rsid w:val="00C74AB5"/>
    <w:rsid w:val="00C75C22"/>
    <w:rsid w:val="00C76302"/>
    <w:rsid w:val="00C765B0"/>
    <w:rsid w:val="00C76634"/>
    <w:rsid w:val="00C76E52"/>
    <w:rsid w:val="00C8052E"/>
    <w:rsid w:val="00C80AFC"/>
    <w:rsid w:val="00C80B50"/>
    <w:rsid w:val="00C81445"/>
    <w:rsid w:val="00C81667"/>
    <w:rsid w:val="00C81E9B"/>
    <w:rsid w:val="00C82E40"/>
    <w:rsid w:val="00C82ED0"/>
    <w:rsid w:val="00C82ED4"/>
    <w:rsid w:val="00C8443B"/>
    <w:rsid w:val="00C84565"/>
    <w:rsid w:val="00C8487F"/>
    <w:rsid w:val="00C848F7"/>
    <w:rsid w:val="00C84B10"/>
    <w:rsid w:val="00C84D96"/>
    <w:rsid w:val="00C85AD0"/>
    <w:rsid w:val="00C86DAE"/>
    <w:rsid w:val="00C86EB1"/>
    <w:rsid w:val="00C872AB"/>
    <w:rsid w:val="00C872D9"/>
    <w:rsid w:val="00C87830"/>
    <w:rsid w:val="00C87EAB"/>
    <w:rsid w:val="00C9030F"/>
    <w:rsid w:val="00C90836"/>
    <w:rsid w:val="00C90B4B"/>
    <w:rsid w:val="00C9147D"/>
    <w:rsid w:val="00C91BBF"/>
    <w:rsid w:val="00C91FEE"/>
    <w:rsid w:val="00C93C34"/>
    <w:rsid w:val="00C95EC3"/>
    <w:rsid w:val="00C961C7"/>
    <w:rsid w:val="00C9679D"/>
    <w:rsid w:val="00C97065"/>
    <w:rsid w:val="00C978B8"/>
    <w:rsid w:val="00C97A9E"/>
    <w:rsid w:val="00CA029E"/>
    <w:rsid w:val="00CA083B"/>
    <w:rsid w:val="00CA2144"/>
    <w:rsid w:val="00CA2C66"/>
    <w:rsid w:val="00CA2D19"/>
    <w:rsid w:val="00CA32DB"/>
    <w:rsid w:val="00CA39F9"/>
    <w:rsid w:val="00CA446E"/>
    <w:rsid w:val="00CA460D"/>
    <w:rsid w:val="00CA5836"/>
    <w:rsid w:val="00CA631E"/>
    <w:rsid w:val="00CA63AF"/>
    <w:rsid w:val="00CA6687"/>
    <w:rsid w:val="00CA7011"/>
    <w:rsid w:val="00CA76FD"/>
    <w:rsid w:val="00CB023A"/>
    <w:rsid w:val="00CB0696"/>
    <w:rsid w:val="00CB08F8"/>
    <w:rsid w:val="00CB1547"/>
    <w:rsid w:val="00CB2464"/>
    <w:rsid w:val="00CB4C9D"/>
    <w:rsid w:val="00CB5F9B"/>
    <w:rsid w:val="00CB664F"/>
    <w:rsid w:val="00CB672E"/>
    <w:rsid w:val="00CB6EB7"/>
    <w:rsid w:val="00CC0047"/>
    <w:rsid w:val="00CC0B31"/>
    <w:rsid w:val="00CC0CA5"/>
    <w:rsid w:val="00CC0F3F"/>
    <w:rsid w:val="00CC1423"/>
    <w:rsid w:val="00CC176B"/>
    <w:rsid w:val="00CC1973"/>
    <w:rsid w:val="00CC1A18"/>
    <w:rsid w:val="00CC1C06"/>
    <w:rsid w:val="00CC2B10"/>
    <w:rsid w:val="00CC2F70"/>
    <w:rsid w:val="00CC371D"/>
    <w:rsid w:val="00CC4660"/>
    <w:rsid w:val="00CC4FD9"/>
    <w:rsid w:val="00CC514B"/>
    <w:rsid w:val="00CC5836"/>
    <w:rsid w:val="00CC701A"/>
    <w:rsid w:val="00CC74A5"/>
    <w:rsid w:val="00CC77FD"/>
    <w:rsid w:val="00CD0E11"/>
    <w:rsid w:val="00CD139E"/>
    <w:rsid w:val="00CD176B"/>
    <w:rsid w:val="00CD1989"/>
    <w:rsid w:val="00CD24D8"/>
    <w:rsid w:val="00CD2E6E"/>
    <w:rsid w:val="00CD35EA"/>
    <w:rsid w:val="00CD3DD1"/>
    <w:rsid w:val="00CD44F1"/>
    <w:rsid w:val="00CD4503"/>
    <w:rsid w:val="00CD4B61"/>
    <w:rsid w:val="00CD5A8A"/>
    <w:rsid w:val="00CD5FFE"/>
    <w:rsid w:val="00CD68E6"/>
    <w:rsid w:val="00CD755D"/>
    <w:rsid w:val="00CD7C30"/>
    <w:rsid w:val="00CE1409"/>
    <w:rsid w:val="00CE22AA"/>
    <w:rsid w:val="00CE2FAD"/>
    <w:rsid w:val="00CE30D4"/>
    <w:rsid w:val="00CE436E"/>
    <w:rsid w:val="00CE4B31"/>
    <w:rsid w:val="00CE538E"/>
    <w:rsid w:val="00CE5B9D"/>
    <w:rsid w:val="00CE779D"/>
    <w:rsid w:val="00CF0688"/>
    <w:rsid w:val="00CF0F0E"/>
    <w:rsid w:val="00CF1063"/>
    <w:rsid w:val="00CF1E8F"/>
    <w:rsid w:val="00CF260D"/>
    <w:rsid w:val="00CF26A0"/>
    <w:rsid w:val="00CF2719"/>
    <w:rsid w:val="00CF2BAE"/>
    <w:rsid w:val="00CF2D36"/>
    <w:rsid w:val="00CF34AD"/>
    <w:rsid w:val="00CF3585"/>
    <w:rsid w:val="00CF376D"/>
    <w:rsid w:val="00CF39CB"/>
    <w:rsid w:val="00CF41C8"/>
    <w:rsid w:val="00CF4201"/>
    <w:rsid w:val="00CF435F"/>
    <w:rsid w:val="00CF4C2E"/>
    <w:rsid w:val="00CF5519"/>
    <w:rsid w:val="00CF5ADC"/>
    <w:rsid w:val="00CF63F2"/>
    <w:rsid w:val="00CF698F"/>
    <w:rsid w:val="00CF7295"/>
    <w:rsid w:val="00CF76FE"/>
    <w:rsid w:val="00CF7941"/>
    <w:rsid w:val="00CF7ADB"/>
    <w:rsid w:val="00D00988"/>
    <w:rsid w:val="00D011EB"/>
    <w:rsid w:val="00D013DD"/>
    <w:rsid w:val="00D016EC"/>
    <w:rsid w:val="00D02185"/>
    <w:rsid w:val="00D02CAD"/>
    <w:rsid w:val="00D030FD"/>
    <w:rsid w:val="00D0361F"/>
    <w:rsid w:val="00D055E6"/>
    <w:rsid w:val="00D05BBB"/>
    <w:rsid w:val="00D06696"/>
    <w:rsid w:val="00D06A2F"/>
    <w:rsid w:val="00D06E48"/>
    <w:rsid w:val="00D07E46"/>
    <w:rsid w:val="00D07F26"/>
    <w:rsid w:val="00D10328"/>
    <w:rsid w:val="00D103F6"/>
    <w:rsid w:val="00D10B35"/>
    <w:rsid w:val="00D11070"/>
    <w:rsid w:val="00D12DE7"/>
    <w:rsid w:val="00D12E7F"/>
    <w:rsid w:val="00D13838"/>
    <w:rsid w:val="00D13DEE"/>
    <w:rsid w:val="00D14B56"/>
    <w:rsid w:val="00D14BD1"/>
    <w:rsid w:val="00D15A5C"/>
    <w:rsid w:val="00D15D5D"/>
    <w:rsid w:val="00D15D77"/>
    <w:rsid w:val="00D162BF"/>
    <w:rsid w:val="00D16366"/>
    <w:rsid w:val="00D16713"/>
    <w:rsid w:val="00D207ED"/>
    <w:rsid w:val="00D20B79"/>
    <w:rsid w:val="00D20E6A"/>
    <w:rsid w:val="00D21A9A"/>
    <w:rsid w:val="00D22AD7"/>
    <w:rsid w:val="00D2301D"/>
    <w:rsid w:val="00D231EC"/>
    <w:rsid w:val="00D231F2"/>
    <w:rsid w:val="00D235CF"/>
    <w:rsid w:val="00D23A4F"/>
    <w:rsid w:val="00D23DBB"/>
    <w:rsid w:val="00D24538"/>
    <w:rsid w:val="00D24F53"/>
    <w:rsid w:val="00D25BFC"/>
    <w:rsid w:val="00D25DA3"/>
    <w:rsid w:val="00D2682F"/>
    <w:rsid w:val="00D2684C"/>
    <w:rsid w:val="00D26F6A"/>
    <w:rsid w:val="00D27E67"/>
    <w:rsid w:val="00D3039F"/>
    <w:rsid w:val="00D30921"/>
    <w:rsid w:val="00D30A4E"/>
    <w:rsid w:val="00D3142B"/>
    <w:rsid w:val="00D314DA"/>
    <w:rsid w:val="00D31DFF"/>
    <w:rsid w:val="00D32071"/>
    <w:rsid w:val="00D33068"/>
    <w:rsid w:val="00D338E4"/>
    <w:rsid w:val="00D33A2F"/>
    <w:rsid w:val="00D33C73"/>
    <w:rsid w:val="00D33E22"/>
    <w:rsid w:val="00D34047"/>
    <w:rsid w:val="00D3457D"/>
    <w:rsid w:val="00D345A7"/>
    <w:rsid w:val="00D346C6"/>
    <w:rsid w:val="00D35108"/>
    <w:rsid w:val="00D35721"/>
    <w:rsid w:val="00D35D06"/>
    <w:rsid w:val="00D36260"/>
    <w:rsid w:val="00D3661F"/>
    <w:rsid w:val="00D36F85"/>
    <w:rsid w:val="00D400E1"/>
    <w:rsid w:val="00D40374"/>
    <w:rsid w:val="00D408B8"/>
    <w:rsid w:val="00D40ADE"/>
    <w:rsid w:val="00D41858"/>
    <w:rsid w:val="00D4197C"/>
    <w:rsid w:val="00D42C2D"/>
    <w:rsid w:val="00D43CE5"/>
    <w:rsid w:val="00D4402B"/>
    <w:rsid w:val="00D44356"/>
    <w:rsid w:val="00D4474E"/>
    <w:rsid w:val="00D44BB5"/>
    <w:rsid w:val="00D45E8F"/>
    <w:rsid w:val="00D45F48"/>
    <w:rsid w:val="00D45F81"/>
    <w:rsid w:val="00D46472"/>
    <w:rsid w:val="00D46ECB"/>
    <w:rsid w:val="00D47B5F"/>
    <w:rsid w:val="00D47F16"/>
    <w:rsid w:val="00D505EB"/>
    <w:rsid w:val="00D508D1"/>
    <w:rsid w:val="00D50DE1"/>
    <w:rsid w:val="00D50F15"/>
    <w:rsid w:val="00D51299"/>
    <w:rsid w:val="00D53F23"/>
    <w:rsid w:val="00D55001"/>
    <w:rsid w:val="00D550B0"/>
    <w:rsid w:val="00D5569B"/>
    <w:rsid w:val="00D55ABD"/>
    <w:rsid w:val="00D566FA"/>
    <w:rsid w:val="00D5774E"/>
    <w:rsid w:val="00D578BB"/>
    <w:rsid w:val="00D60CDF"/>
    <w:rsid w:val="00D6100A"/>
    <w:rsid w:val="00D61E6B"/>
    <w:rsid w:val="00D62780"/>
    <w:rsid w:val="00D62CBC"/>
    <w:rsid w:val="00D63146"/>
    <w:rsid w:val="00D632E8"/>
    <w:rsid w:val="00D663C6"/>
    <w:rsid w:val="00D66459"/>
    <w:rsid w:val="00D6719D"/>
    <w:rsid w:val="00D676B6"/>
    <w:rsid w:val="00D708DC"/>
    <w:rsid w:val="00D71123"/>
    <w:rsid w:val="00D714A8"/>
    <w:rsid w:val="00D71A12"/>
    <w:rsid w:val="00D71A6C"/>
    <w:rsid w:val="00D7253E"/>
    <w:rsid w:val="00D725D0"/>
    <w:rsid w:val="00D72F75"/>
    <w:rsid w:val="00D73D40"/>
    <w:rsid w:val="00D7436F"/>
    <w:rsid w:val="00D7472F"/>
    <w:rsid w:val="00D74E4F"/>
    <w:rsid w:val="00D75C67"/>
    <w:rsid w:val="00D75C8C"/>
    <w:rsid w:val="00D76CC9"/>
    <w:rsid w:val="00D775EE"/>
    <w:rsid w:val="00D776A1"/>
    <w:rsid w:val="00D800B3"/>
    <w:rsid w:val="00D80381"/>
    <w:rsid w:val="00D81ABB"/>
    <w:rsid w:val="00D8348D"/>
    <w:rsid w:val="00D83675"/>
    <w:rsid w:val="00D84251"/>
    <w:rsid w:val="00D843BA"/>
    <w:rsid w:val="00D84B23"/>
    <w:rsid w:val="00D84EA7"/>
    <w:rsid w:val="00D84F87"/>
    <w:rsid w:val="00D84FF4"/>
    <w:rsid w:val="00D859C6"/>
    <w:rsid w:val="00D85F25"/>
    <w:rsid w:val="00D86D55"/>
    <w:rsid w:val="00D87710"/>
    <w:rsid w:val="00D87990"/>
    <w:rsid w:val="00D901F8"/>
    <w:rsid w:val="00D90AC6"/>
    <w:rsid w:val="00D90C9B"/>
    <w:rsid w:val="00D9130E"/>
    <w:rsid w:val="00D9153F"/>
    <w:rsid w:val="00D917F0"/>
    <w:rsid w:val="00D91CA8"/>
    <w:rsid w:val="00D91FF9"/>
    <w:rsid w:val="00D9242E"/>
    <w:rsid w:val="00D925A1"/>
    <w:rsid w:val="00D9316C"/>
    <w:rsid w:val="00D93B21"/>
    <w:rsid w:val="00D94920"/>
    <w:rsid w:val="00D95940"/>
    <w:rsid w:val="00D95FAF"/>
    <w:rsid w:val="00D96232"/>
    <w:rsid w:val="00D96785"/>
    <w:rsid w:val="00D96A4F"/>
    <w:rsid w:val="00D96CA2"/>
    <w:rsid w:val="00D96E62"/>
    <w:rsid w:val="00DA0147"/>
    <w:rsid w:val="00DA051D"/>
    <w:rsid w:val="00DA16AC"/>
    <w:rsid w:val="00DA2324"/>
    <w:rsid w:val="00DA2C36"/>
    <w:rsid w:val="00DA2DA0"/>
    <w:rsid w:val="00DA3C89"/>
    <w:rsid w:val="00DA43D5"/>
    <w:rsid w:val="00DA4445"/>
    <w:rsid w:val="00DA52A5"/>
    <w:rsid w:val="00DA5D11"/>
    <w:rsid w:val="00DA5D99"/>
    <w:rsid w:val="00DA5F84"/>
    <w:rsid w:val="00DA77DE"/>
    <w:rsid w:val="00DB091D"/>
    <w:rsid w:val="00DB0BBB"/>
    <w:rsid w:val="00DB0C8D"/>
    <w:rsid w:val="00DB0E7F"/>
    <w:rsid w:val="00DB0FDB"/>
    <w:rsid w:val="00DB342E"/>
    <w:rsid w:val="00DB36F5"/>
    <w:rsid w:val="00DB3734"/>
    <w:rsid w:val="00DB3B79"/>
    <w:rsid w:val="00DB3C86"/>
    <w:rsid w:val="00DB49FD"/>
    <w:rsid w:val="00DB4AC0"/>
    <w:rsid w:val="00DB4F8C"/>
    <w:rsid w:val="00DB5150"/>
    <w:rsid w:val="00DB520D"/>
    <w:rsid w:val="00DB5279"/>
    <w:rsid w:val="00DB5545"/>
    <w:rsid w:val="00DB5774"/>
    <w:rsid w:val="00DB5A71"/>
    <w:rsid w:val="00DB6788"/>
    <w:rsid w:val="00DB6898"/>
    <w:rsid w:val="00DB71A7"/>
    <w:rsid w:val="00DB7B84"/>
    <w:rsid w:val="00DB7C70"/>
    <w:rsid w:val="00DB7F95"/>
    <w:rsid w:val="00DC0500"/>
    <w:rsid w:val="00DC18E5"/>
    <w:rsid w:val="00DC268B"/>
    <w:rsid w:val="00DC2EBB"/>
    <w:rsid w:val="00DC48F3"/>
    <w:rsid w:val="00DC5635"/>
    <w:rsid w:val="00DC5FE1"/>
    <w:rsid w:val="00DC651D"/>
    <w:rsid w:val="00DC6522"/>
    <w:rsid w:val="00DC68A0"/>
    <w:rsid w:val="00DC6B1A"/>
    <w:rsid w:val="00DC703A"/>
    <w:rsid w:val="00DC758A"/>
    <w:rsid w:val="00DC7912"/>
    <w:rsid w:val="00DC7B10"/>
    <w:rsid w:val="00DD01D5"/>
    <w:rsid w:val="00DD051A"/>
    <w:rsid w:val="00DD099D"/>
    <w:rsid w:val="00DD0BA9"/>
    <w:rsid w:val="00DD0EC3"/>
    <w:rsid w:val="00DD0FEF"/>
    <w:rsid w:val="00DD300E"/>
    <w:rsid w:val="00DD3542"/>
    <w:rsid w:val="00DD4705"/>
    <w:rsid w:val="00DD47E1"/>
    <w:rsid w:val="00DD4B71"/>
    <w:rsid w:val="00DD4D1F"/>
    <w:rsid w:val="00DD7461"/>
    <w:rsid w:val="00DD7784"/>
    <w:rsid w:val="00DD7A59"/>
    <w:rsid w:val="00DD7ADC"/>
    <w:rsid w:val="00DE0C6B"/>
    <w:rsid w:val="00DE155D"/>
    <w:rsid w:val="00DE1896"/>
    <w:rsid w:val="00DE1899"/>
    <w:rsid w:val="00DE194B"/>
    <w:rsid w:val="00DE2BB7"/>
    <w:rsid w:val="00DE2C6C"/>
    <w:rsid w:val="00DE32E6"/>
    <w:rsid w:val="00DE36CA"/>
    <w:rsid w:val="00DE37BA"/>
    <w:rsid w:val="00DE4664"/>
    <w:rsid w:val="00DE54BC"/>
    <w:rsid w:val="00DE5B29"/>
    <w:rsid w:val="00DE6C26"/>
    <w:rsid w:val="00DF0785"/>
    <w:rsid w:val="00DF0B09"/>
    <w:rsid w:val="00DF0ED0"/>
    <w:rsid w:val="00DF1042"/>
    <w:rsid w:val="00DF181F"/>
    <w:rsid w:val="00DF1927"/>
    <w:rsid w:val="00DF259A"/>
    <w:rsid w:val="00DF38BC"/>
    <w:rsid w:val="00DF3D9C"/>
    <w:rsid w:val="00DF3F6A"/>
    <w:rsid w:val="00DF4110"/>
    <w:rsid w:val="00DF4EF7"/>
    <w:rsid w:val="00DF5637"/>
    <w:rsid w:val="00DF6B76"/>
    <w:rsid w:val="00DF6F9D"/>
    <w:rsid w:val="00DF72E7"/>
    <w:rsid w:val="00DF747E"/>
    <w:rsid w:val="00DF7A16"/>
    <w:rsid w:val="00DF7D7E"/>
    <w:rsid w:val="00E00D0D"/>
    <w:rsid w:val="00E01EDB"/>
    <w:rsid w:val="00E039AA"/>
    <w:rsid w:val="00E04F18"/>
    <w:rsid w:val="00E0586E"/>
    <w:rsid w:val="00E05BFE"/>
    <w:rsid w:val="00E05FE1"/>
    <w:rsid w:val="00E06156"/>
    <w:rsid w:val="00E06BA0"/>
    <w:rsid w:val="00E0792C"/>
    <w:rsid w:val="00E100E3"/>
    <w:rsid w:val="00E109B3"/>
    <w:rsid w:val="00E11630"/>
    <w:rsid w:val="00E12FB2"/>
    <w:rsid w:val="00E14236"/>
    <w:rsid w:val="00E14655"/>
    <w:rsid w:val="00E149FF"/>
    <w:rsid w:val="00E1563C"/>
    <w:rsid w:val="00E15643"/>
    <w:rsid w:val="00E156AE"/>
    <w:rsid w:val="00E15852"/>
    <w:rsid w:val="00E169D2"/>
    <w:rsid w:val="00E16B41"/>
    <w:rsid w:val="00E173A8"/>
    <w:rsid w:val="00E175F7"/>
    <w:rsid w:val="00E17C91"/>
    <w:rsid w:val="00E17EDD"/>
    <w:rsid w:val="00E207B6"/>
    <w:rsid w:val="00E209C5"/>
    <w:rsid w:val="00E221AE"/>
    <w:rsid w:val="00E235E3"/>
    <w:rsid w:val="00E23BD3"/>
    <w:rsid w:val="00E24E2B"/>
    <w:rsid w:val="00E259C2"/>
    <w:rsid w:val="00E25A8A"/>
    <w:rsid w:val="00E25D13"/>
    <w:rsid w:val="00E266F8"/>
    <w:rsid w:val="00E275BE"/>
    <w:rsid w:val="00E27A7A"/>
    <w:rsid w:val="00E32980"/>
    <w:rsid w:val="00E33CA0"/>
    <w:rsid w:val="00E3532A"/>
    <w:rsid w:val="00E362EB"/>
    <w:rsid w:val="00E36B9B"/>
    <w:rsid w:val="00E37A6A"/>
    <w:rsid w:val="00E40506"/>
    <w:rsid w:val="00E408E1"/>
    <w:rsid w:val="00E40E46"/>
    <w:rsid w:val="00E40EFB"/>
    <w:rsid w:val="00E41067"/>
    <w:rsid w:val="00E416F1"/>
    <w:rsid w:val="00E417F1"/>
    <w:rsid w:val="00E4185A"/>
    <w:rsid w:val="00E418CE"/>
    <w:rsid w:val="00E41C5C"/>
    <w:rsid w:val="00E41F3A"/>
    <w:rsid w:val="00E42230"/>
    <w:rsid w:val="00E4229E"/>
    <w:rsid w:val="00E42BC1"/>
    <w:rsid w:val="00E4358B"/>
    <w:rsid w:val="00E43D9C"/>
    <w:rsid w:val="00E4439D"/>
    <w:rsid w:val="00E45996"/>
    <w:rsid w:val="00E459A2"/>
    <w:rsid w:val="00E45A9D"/>
    <w:rsid w:val="00E4647D"/>
    <w:rsid w:val="00E46C10"/>
    <w:rsid w:val="00E51744"/>
    <w:rsid w:val="00E51C7F"/>
    <w:rsid w:val="00E51C8D"/>
    <w:rsid w:val="00E51ECE"/>
    <w:rsid w:val="00E52FFC"/>
    <w:rsid w:val="00E53ECE"/>
    <w:rsid w:val="00E54726"/>
    <w:rsid w:val="00E54C23"/>
    <w:rsid w:val="00E54EEA"/>
    <w:rsid w:val="00E55AB8"/>
    <w:rsid w:val="00E55AD3"/>
    <w:rsid w:val="00E561F5"/>
    <w:rsid w:val="00E564FE"/>
    <w:rsid w:val="00E56A03"/>
    <w:rsid w:val="00E571B0"/>
    <w:rsid w:val="00E57323"/>
    <w:rsid w:val="00E573BC"/>
    <w:rsid w:val="00E60504"/>
    <w:rsid w:val="00E6057E"/>
    <w:rsid w:val="00E6097C"/>
    <w:rsid w:val="00E60BBF"/>
    <w:rsid w:val="00E61700"/>
    <w:rsid w:val="00E62985"/>
    <w:rsid w:val="00E62C3A"/>
    <w:rsid w:val="00E635CD"/>
    <w:rsid w:val="00E639C8"/>
    <w:rsid w:val="00E63CC6"/>
    <w:rsid w:val="00E6417C"/>
    <w:rsid w:val="00E6485D"/>
    <w:rsid w:val="00E64A17"/>
    <w:rsid w:val="00E64F16"/>
    <w:rsid w:val="00E65398"/>
    <w:rsid w:val="00E654BD"/>
    <w:rsid w:val="00E657E3"/>
    <w:rsid w:val="00E65B0C"/>
    <w:rsid w:val="00E66017"/>
    <w:rsid w:val="00E67558"/>
    <w:rsid w:val="00E67C94"/>
    <w:rsid w:val="00E67CB3"/>
    <w:rsid w:val="00E703CF"/>
    <w:rsid w:val="00E709F4"/>
    <w:rsid w:val="00E70C4D"/>
    <w:rsid w:val="00E71403"/>
    <w:rsid w:val="00E7175D"/>
    <w:rsid w:val="00E71797"/>
    <w:rsid w:val="00E718E2"/>
    <w:rsid w:val="00E72E1C"/>
    <w:rsid w:val="00E73642"/>
    <w:rsid w:val="00E739BE"/>
    <w:rsid w:val="00E74A77"/>
    <w:rsid w:val="00E74DAC"/>
    <w:rsid w:val="00E750AB"/>
    <w:rsid w:val="00E75775"/>
    <w:rsid w:val="00E75C14"/>
    <w:rsid w:val="00E76BBC"/>
    <w:rsid w:val="00E770C1"/>
    <w:rsid w:val="00E77413"/>
    <w:rsid w:val="00E778A7"/>
    <w:rsid w:val="00E778FE"/>
    <w:rsid w:val="00E81A26"/>
    <w:rsid w:val="00E81B26"/>
    <w:rsid w:val="00E82597"/>
    <w:rsid w:val="00E82D45"/>
    <w:rsid w:val="00E83C42"/>
    <w:rsid w:val="00E84B19"/>
    <w:rsid w:val="00E84CBB"/>
    <w:rsid w:val="00E85073"/>
    <w:rsid w:val="00E8612E"/>
    <w:rsid w:val="00E862E2"/>
    <w:rsid w:val="00E865CB"/>
    <w:rsid w:val="00E86768"/>
    <w:rsid w:val="00E8751C"/>
    <w:rsid w:val="00E875FE"/>
    <w:rsid w:val="00E87A64"/>
    <w:rsid w:val="00E905E0"/>
    <w:rsid w:val="00E909C4"/>
    <w:rsid w:val="00E91C98"/>
    <w:rsid w:val="00E91F92"/>
    <w:rsid w:val="00E925A8"/>
    <w:rsid w:val="00E928AD"/>
    <w:rsid w:val="00E92D67"/>
    <w:rsid w:val="00E930C1"/>
    <w:rsid w:val="00E931F7"/>
    <w:rsid w:val="00E9330B"/>
    <w:rsid w:val="00E94002"/>
    <w:rsid w:val="00E940E5"/>
    <w:rsid w:val="00E942A2"/>
    <w:rsid w:val="00E943CC"/>
    <w:rsid w:val="00E94442"/>
    <w:rsid w:val="00E9519C"/>
    <w:rsid w:val="00E959A5"/>
    <w:rsid w:val="00E95F87"/>
    <w:rsid w:val="00E9608B"/>
    <w:rsid w:val="00E96394"/>
    <w:rsid w:val="00E9648F"/>
    <w:rsid w:val="00E96AAC"/>
    <w:rsid w:val="00E96D26"/>
    <w:rsid w:val="00E97E59"/>
    <w:rsid w:val="00EA0416"/>
    <w:rsid w:val="00EA0AD1"/>
    <w:rsid w:val="00EA0DC1"/>
    <w:rsid w:val="00EA11EF"/>
    <w:rsid w:val="00EA3344"/>
    <w:rsid w:val="00EA39F5"/>
    <w:rsid w:val="00EA46F6"/>
    <w:rsid w:val="00EA4A80"/>
    <w:rsid w:val="00EA4BA2"/>
    <w:rsid w:val="00EA4E9F"/>
    <w:rsid w:val="00EA535F"/>
    <w:rsid w:val="00EA56DE"/>
    <w:rsid w:val="00EA5C2D"/>
    <w:rsid w:val="00EA5DCB"/>
    <w:rsid w:val="00EA5E55"/>
    <w:rsid w:val="00EA62FB"/>
    <w:rsid w:val="00EA6D15"/>
    <w:rsid w:val="00EA767D"/>
    <w:rsid w:val="00EA7981"/>
    <w:rsid w:val="00EB0A71"/>
    <w:rsid w:val="00EB14DC"/>
    <w:rsid w:val="00EB151B"/>
    <w:rsid w:val="00EB15D7"/>
    <w:rsid w:val="00EB1C22"/>
    <w:rsid w:val="00EB276F"/>
    <w:rsid w:val="00EB2AF1"/>
    <w:rsid w:val="00EB2B7A"/>
    <w:rsid w:val="00EB305B"/>
    <w:rsid w:val="00EB45EC"/>
    <w:rsid w:val="00EB47C6"/>
    <w:rsid w:val="00EB47DC"/>
    <w:rsid w:val="00EB4B2F"/>
    <w:rsid w:val="00EB4C09"/>
    <w:rsid w:val="00EB54ED"/>
    <w:rsid w:val="00EB5553"/>
    <w:rsid w:val="00EB60EE"/>
    <w:rsid w:val="00EB644D"/>
    <w:rsid w:val="00EB6AEF"/>
    <w:rsid w:val="00EB6C26"/>
    <w:rsid w:val="00EB7409"/>
    <w:rsid w:val="00EB74E5"/>
    <w:rsid w:val="00EB7ED2"/>
    <w:rsid w:val="00EC2B7F"/>
    <w:rsid w:val="00EC2BDC"/>
    <w:rsid w:val="00EC30F7"/>
    <w:rsid w:val="00EC320E"/>
    <w:rsid w:val="00EC38C2"/>
    <w:rsid w:val="00EC4715"/>
    <w:rsid w:val="00EC4E17"/>
    <w:rsid w:val="00EC590C"/>
    <w:rsid w:val="00EC5FEF"/>
    <w:rsid w:val="00EC63F1"/>
    <w:rsid w:val="00EC6C09"/>
    <w:rsid w:val="00EC6F0D"/>
    <w:rsid w:val="00EC70C5"/>
    <w:rsid w:val="00EC7546"/>
    <w:rsid w:val="00EC7BBE"/>
    <w:rsid w:val="00ED045E"/>
    <w:rsid w:val="00ED10CB"/>
    <w:rsid w:val="00ED1894"/>
    <w:rsid w:val="00ED1B47"/>
    <w:rsid w:val="00ED2102"/>
    <w:rsid w:val="00ED47B9"/>
    <w:rsid w:val="00ED4BF4"/>
    <w:rsid w:val="00ED659B"/>
    <w:rsid w:val="00ED7A13"/>
    <w:rsid w:val="00EE0454"/>
    <w:rsid w:val="00EE0768"/>
    <w:rsid w:val="00EE09CD"/>
    <w:rsid w:val="00EE0F3A"/>
    <w:rsid w:val="00EE1ACF"/>
    <w:rsid w:val="00EE1B45"/>
    <w:rsid w:val="00EE26B1"/>
    <w:rsid w:val="00EE2730"/>
    <w:rsid w:val="00EE2E6E"/>
    <w:rsid w:val="00EE30FF"/>
    <w:rsid w:val="00EE3842"/>
    <w:rsid w:val="00EE3FCA"/>
    <w:rsid w:val="00EE514C"/>
    <w:rsid w:val="00EE5157"/>
    <w:rsid w:val="00EE560B"/>
    <w:rsid w:val="00EE578E"/>
    <w:rsid w:val="00EE5D95"/>
    <w:rsid w:val="00EE63FC"/>
    <w:rsid w:val="00EE6844"/>
    <w:rsid w:val="00EE739B"/>
    <w:rsid w:val="00EE792E"/>
    <w:rsid w:val="00EF0433"/>
    <w:rsid w:val="00EF057F"/>
    <w:rsid w:val="00EF0663"/>
    <w:rsid w:val="00EF112A"/>
    <w:rsid w:val="00EF1183"/>
    <w:rsid w:val="00EF3D07"/>
    <w:rsid w:val="00EF48B7"/>
    <w:rsid w:val="00EF514C"/>
    <w:rsid w:val="00EF5894"/>
    <w:rsid w:val="00EF6151"/>
    <w:rsid w:val="00EF6498"/>
    <w:rsid w:val="00EF69C0"/>
    <w:rsid w:val="00EF6CFF"/>
    <w:rsid w:val="00F0068C"/>
    <w:rsid w:val="00F00820"/>
    <w:rsid w:val="00F02380"/>
    <w:rsid w:val="00F02E1D"/>
    <w:rsid w:val="00F044F9"/>
    <w:rsid w:val="00F048DA"/>
    <w:rsid w:val="00F050AC"/>
    <w:rsid w:val="00F0551B"/>
    <w:rsid w:val="00F055A6"/>
    <w:rsid w:val="00F05AC2"/>
    <w:rsid w:val="00F063E7"/>
    <w:rsid w:val="00F06C86"/>
    <w:rsid w:val="00F06E70"/>
    <w:rsid w:val="00F07486"/>
    <w:rsid w:val="00F07F62"/>
    <w:rsid w:val="00F10B05"/>
    <w:rsid w:val="00F1175A"/>
    <w:rsid w:val="00F1188C"/>
    <w:rsid w:val="00F118CB"/>
    <w:rsid w:val="00F11C10"/>
    <w:rsid w:val="00F1473F"/>
    <w:rsid w:val="00F149C1"/>
    <w:rsid w:val="00F14C8D"/>
    <w:rsid w:val="00F153DD"/>
    <w:rsid w:val="00F15421"/>
    <w:rsid w:val="00F159C3"/>
    <w:rsid w:val="00F15A94"/>
    <w:rsid w:val="00F1690A"/>
    <w:rsid w:val="00F16C05"/>
    <w:rsid w:val="00F17587"/>
    <w:rsid w:val="00F175E8"/>
    <w:rsid w:val="00F17A04"/>
    <w:rsid w:val="00F17AB5"/>
    <w:rsid w:val="00F200C7"/>
    <w:rsid w:val="00F2070D"/>
    <w:rsid w:val="00F213E3"/>
    <w:rsid w:val="00F21C64"/>
    <w:rsid w:val="00F22995"/>
    <w:rsid w:val="00F22A80"/>
    <w:rsid w:val="00F238B0"/>
    <w:rsid w:val="00F2397D"/>
    <w:rsid w:val="00F23BF5"/>
    <w:rsid w:val="00F23D20"/>
    <w:rsid w:val="00F2532E"/>
    <w:rsid w:val="00F25F9A"/>
    <w:rsid w:val="00F26128"/>
    <w:rsid w:val="00F27191"/>
    <w:rsid w:val="00F30349"/>
    <w:rsid w:val="00F304BC"/>
    <w:rsid w:val="00F30D0C"/>
    <w:rsid w:val="00F31C28"/>
    <w:rsid w:val="00F31E63"/>
    <w:rsid w:val="00F3246E"/>
    <w:rsid w:val="00F331A0"/>
    <w:rsid w:val="00F347C0"/>
    <w:rsid w:val="00F35306"/>
    <w:rsid w:val="00F3576D"/>
    <w:rsid w:val="00F35D23"/>
    <w:rsid w:val="00F36B78"/>
    <w:rsid w:val="00F370AC"/>
    <w:rsid w:val="00F37154"/>
    <w:rsid w:val="00F37575"/>
    <w:rsid w:val="00F379C8"/>
    <w:rsid w:val="00F37E16"/>
    <w:rsid w:val="00F401B3"/>
    <w:rsid w:val="00F4055A"/>
    <w:rsid w:val="00F406F2"/>
    <w:rsid w:val="00F40CE9"/>
    <w:rsid w:val="00F41BD6"/>
    <w:rsid w:val="00F42059"/>
    <w:rsid w:val="00F42411"/>
    <w:rsid w:val="00F42E1B"/>
    <w:rsid w:val="00F42E97"/>
    <w:rsid w:val="00F433FA"/>
    <w:rsid w:val="00F43B59"/>
    <w:rsid w:val="00F441BE"/>
    <w:rsid w:val="00F4462B"/>
    <w:rsid w:val="00F44A21"/>
    <w:rsid w:val="00F44DA3"/>
    <w:rsid w:val="00F460A2"/>
    <w:rsid w:val="00F463FD"/>
    <w:rsid w:val="00F472D4"/>
    <w:rsid w:val="00F4766B"/>
    <w:rsid w:val="00F5069C"/>
    <w:rsid w:val="00F506B7"/>
    <w:rsid w:val="00F508F5"/>
    <w:rsid w:val="00F5120D"/>
    <w:rsid w:val="00F51B87"/>
    <w:rsid w:val="00F52465"/>
    <w:rsid w:val="00F52640"/>
    <w:rsid w:val="00F5282D"/>
    <w:rsid w:val="00F530E7"/>
    <w:rsid w:val="00F53DE4"/>
    <w:rsid w:val="00F54B67"/>
    <w:rsid w:val="00F55135"/>
    <w:rsid w:val="00F55462"/>
    <w:rsid w:val="00F57189"/>
    <w:rsid w:val="00F57D7B"/>
    <w:rsid w:val="00F57DB7"/>
    <w:rsid w:val="00F57E4E"/>
    <w:rsid w:val="00F60015"/>
    <w:rsid w:val="00F612E1"/>
    <w:rsid w:val="00F616D4"/>
    <w:rsid w:val="00F618EE"/>
    <w:rsid w:val="00F61911"/>
    <w:rsid w:val="00F61967"/>
    <w:rsid w:val="00F63091"/>
    <w:rsid w:val="00F63313"/>
    <w:rsid w:val="00F6348B"/>
    <w:rsid w:val="00F634C5"/>
    <w:rsid w:val="00F63A62"/>
    <w:rsid w:val="00F63B37"/>
    <w:rsid w:val="00F6471E"/>
    <w:rsid w:val="00F648F4"/>
    <w:rsid w:val="00F64AAB"/>
    <w:rsid w:val="00F66CFE"/>
    <w:rsid w:val="00F66E34"/>
    <w:rsid w:val="00F67116"/>
    <w:rsid w:val="00F67237"/>
    <w:rsid w:val="00F67ACB"/>
    <w:rsid w:val="00F67BDB"/>
    <w:rsid w:val="00F7126C"/>
    <w:rsid w:val="00F71CA5"/>
    <w:rsid w:val="00F72CFD"/>
    <w:rsid w:val="00F72EB9"/>
    <w:rsid w:val="00F72F8E"/>
    <w:rsid w:val="00F734F9"/>
    <w:rsid w:val="00F7382C"/>
    <w:rsid w:val="00F7469B"/>
    <w:rsid w:val="00F74822"/>
    <w:rsid w:val="00F75118"/>
    <w:rsid w:val="00F75535"/>
    <w:rsid w:val="00F75637"/>
    <w:rsid w:val="00F756E1"/>
    <w:rsid w:val="00F76054"/>
    <w:rsid w:val="00F76BE9"/>
    <w:rsid w:val="00F76EC0"/>
    <w:rsid w:val="00F77023"/>
    <w:rsid w:val="00F77792"/>
    <w:rsid w:val="00F77DDA"/>
    <w:rsid w:val="00F800AB"/>
    <w:rsid w:val="00F80C00"/>
    <w:rsid w:val="00F80F18"/>
    <w:rsid w:val="00F81339"/>
    <w:rsid w:val="00F815BD"/>
    <w:rsid w:val="00F82742"/>
    <w:rsid w:val="00F82CE8"/>
    <w:rsid w:val="00F82E11"/>
    <w:rsid w:val="00F83CA8"/>
    <w:rsid w:val="00F84320"/>
    <w:rsid w:val="00F8465B"/>
    <w:rsid w:val="00F8468E"/>
    <w:rsid w:val="00F849EE"/>
    <w:rsid w:val="00F85105"/>
    <w:rsid w:val="00F851F5"/>
    <w:rsid w:val="00F8564E"/>
    <w:rsid w:val="00F868C9"/>
    <w:rsid w:val="00F86971"/>
    <w:rsid w:val="00F8698D"/>
    <w:rsid w:val="00F86B87"/>
    <w:rsid w:val="00F86D37"/>
    <w:rsid w:val="00F873B1"/>
    <w:rsid w:val="00F87783"/>
    <w:rsid w:val="00F87CFF"/>
    <w:rsid w:val="00F90504"/>
    <w:rsid w:val="00F92AA0"/>
    <w:rsid w:val="00F92B9E"/>
    <w:rsid w:val="00F92EC7"/>
    <w:rsid w:val="00F93504"/>
    <w:rsid w:val="00F93DBD"/>
    <w:rsid w:val="00F9411E"/>
    <w:rsid w:val="00F94228"/>
    <w:rsid w:val="00F94250"/>
    <w:rsid w:val="00F959A3"/>
    <w:rsid w:val="00F9641D"/>
    <w:rsid w:val="00FA0431"/>
    <w:rsid w:val="00FA0923"/>
    <w:rsid w:val="00FA3E79"/>
    <w:rsid w:val="00FA4471"/>
    <w:rsid w:val="00FA57D9"/>
    <w:rsid w:val="00FA636E"/>
    <w:rsid w:val="00FA70FD"/>
    <w:rsid w:val="00FA7B97"/>
    <w:rsid w:val="00FB05FB"/>
    <w:rsid w:val="00FB071C"/>
    <w:rsid w:val="00FB14CB"/>
    <w:rsid w:val="00FB2247"/>
    <w:rsid w:val="00FB2A38"/>
    <w:rsid w:val="00FB304D"/>
    <w:rsid w:val="00FB3502"/>
    <w:rsid w:val="00FB37AF"/>
    <w:rsid w:val="00FB3B76"/>
    <w:rsid w:val="00FB46ED"/>
    <w:rsid w:val="00FB50A5"/>
    <w:rsid w:val="00FB5BB1"/>
    <w:rsid w:val="00FB73F3"/>
    <w:rsid w:val="00FB77EC"/>
    <w:rsid w:val="00FB788A"/>
    <w:rsid w:val="00FB7AE5"/>
    <w:rsid w:val="00FC08F8"/>
    <w:rsid w:val="00FC19FE"/>
    <w:rsid w:val="00FC2BE7"/>
    <w:rsid w:val="00FC3B32"/>
    <w:rsid w:val="00FC5D07"/>
    <w:rsid w:val="00FC651B"/>
    <w:rsid w:val="00FC66F4"/>
    <w:rsid w:val="00FC6898"/>
    <w:rsid w:val="00FC6CF9"/>
    <w:rsid w:val="00FC75F0"/>
    <w:rsid w:val="00FC76A9"/>
    <w:rsid w:val="00FC76DD"/>
    <w:rsid w:val="00FD00B0"/>
    <w:rsid w:val="00FD047D"/>
    <w:rsid w:val="00FD0DB0"/>
    <w:rsid w:val="00FD149E"/>
    <w:rsid w:val="00FD25D7"/>
    <w:rsid w:val="00FD29A9"/>
    <w:rsid w:val="00FD36FE"/>
    <w:rsid w:val="00FD3D71"/>
    <w:rsid w:val="00FD42DF"/>
    <w:rsid w:val="00FD4D1A"/>
    <w:rsid w:val="00FD4D21"/>
    <w:rsid w:val="00FD4E38"/>
    <w:rsid w:val="00FD5238"/>
    <w:rsid w:val="00FD57B9"/>
    <w:rsid w:val="00FD66F6"/>
    <w:rsid w:val="00FD6E21"/>
    <w:rsid w:val="00FD77D6"/>
    <w:rsid w:val="00FE032B"/>
    <w:rsid w:val="00FE0672"/>
    <w:rsid w:val="00FE08F0"/>
    <w:rsid w:val="00FE093D"/>
    <w:rsid w:val="00FE0E11"/>
    <w:rsid w:val="00FE219A"/>
    <w:rsid w:val="00FE276E"/>
    <w:rsid w:val="00FE2E17"/>
    <w:rsid w:val="00FE34DB"/>
    <w:rsid w:val="00FE575F"/>
    <w:rsid w:val="00FE6A20"/>
    <w:rsid w:val="00FE72ED"/>
    <w:rsid w:val="00FE78B8"/>
    <w:rsid w:val="00FF00F0"/>
    <w:rsid w:val="00FF04C0"/>
    <w:rsid w:val="00FF1F74"/>
    <w:rsid w:val="00FF2328"/>
    <w:rsid w:val="00FF2850"/>
    <w:rsid w:val="00FF2A23"/>
    <w:rsid w:val="00FF2CD2"/>
    <w:rsid w:val="00FF330E"/>
    <w:rsid w:val="00FF3639"/>
    <w:rsid w:val="00FF3743"/>
    <w:rsid w:val="00FF39B8"/>
    <w:rsid w:val="00FF3CA4"/>
    <w:rsid w:val="00FF51EC"/>
    <w:rsid w:val="00FF5256"/>
    <w:rsid w:val="00FF5975"/>
    <w:rsid w:val="00FF6012"/>
    <w:rsid w:val="00FF7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104"/>
    <o:shapelayout v:ext="edit">
      <o:idmap v:ext="edit" data="1"/>
    </o:shapelayout>
  </w:shapeDefaults>
  <w:decimalSymbol w:val=","/>
  <w:listSeparator w:val=";"/>
  <w14:docId w14:val="42AD560D"/>
  <w15:chartTrackingRefBased/>
  <w15:docId w15:val="{D6AA9F73-A7DB-48DC-AC4E-F6400D19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2B1"/>
    <w:pPr>
      <w:keepLines/>
      <w:widowControl w:val="0"/>
      <w:jc w:val="both"/>
    </w:pPr>
    <w:rPr>
      <w:rFonts w:ascii="Comic Sans MS" w:hAnsi="Comic Sans MS"/>
      <w:sz w:val="22"/>
      <w:lang w:val="es-ES_tradnl"/>
    </w:rPr>
  </w:style>
  <w:style w:type="paragraph" w:styleId="Ttulo1">
    <w:name w:val="heading 1"/>
    <w:basedOn w:val="Normal"/>
    <w:next w:val="Ttulo1a"/>
    <w:qFormat/>
    <w:pPr>
      <w:keepNext/>
      <w:outlineLvl w:val="0"/>
    </w:pPr>
    <w:rPr>
      <w:b/>
    </w:rPr>
  </w:style>
  <w:style w:type="paragraph" w:styleId="Ttulo2">
    <w:name w:val="heading 2"/>
    <w:basedOn w:val="Normal"/>
    <w:next w:val="Normal"/>
    <w:link w:val="Ttulo2Car"/>
    <w:qFormat/>
    <w:pPr>
      <w:outlineLvl w:val="1"/>
    </w:pPr>
    <w:rPr>
      <w:b/>
    </w:rPr>
  </w:style>
  <w:style w:type="paragraph" w:styleId="Ttulo3">
    <w:name w:val="heading 3"/>
    <w:basedOn w:val="Normal"/>
    <w:next w:val="Normal"/>
    <w:qFormat/>
    <w:pPr>
      <w:numPr>
        <w:ilvl w:val="2"/>
        <w:numId w:val="2"/>
      </w:numPr>
      <w:outlineLvl w:val="2"/>
    </w:pPr>
    <w:rPr>
      <w:rFonts w:ascii="CG Times" w:hAnsi="CG Times"/>
      <w:sz w:val="20"/>
    </w:rPr>
  </w:style>
  <w:style w:type="paragraph" w:styleId="Ttulo4">
    <w:name w:val="heading 4"/>
    <w:basedOn w:val="Ttulo1"/>
    <w:next w:val="Normal"/>
    <w:link w:val="Ttulo4Car"/>
    <w:qFormat/>
    <w:pPr>
      <w:spacing w:before="240" w:after="120"/>
      <w:outlineLvl w:val="3"/>
    </w:pPr>
  </w:style>
  <w:style w:type="paragraph" w:styleId="Ttulo5">
    <w:name w:val="heading 5"/>
    <w:basedOn w:val="Normal"/>
    <w:next w:val="Normal"/>
    <w:qFormat/>
    <w:pPr>
      <w:outlineLvl w:val="4"/>
    </w:pPr>
    <w:rPr>
      <w:rFonts w:ascii="CG Times" w:hAnsi="CG Times"/>
      <w:sz w:val="24"/>
    </w:rPr>
  </w:style>
  <w:style w:type="paragraph" w:styleId="Ttulo6">
    <w:name w:val="heading 6"/>
    <w:basedOn w:val="Normal"/>
    <w:next w:val="Normal"/>
    <w:qFormat/>
    <w:pPr>
      <w:numPr>
        <w:ilvl w:val="5"/>
        <w:numId w:val="2"/>
      </w:numPr>
      <w:outlineLvl w:val="5"/>
    </w:pPr>
    <w:rPr>
      <w:rFonts w:ascii="CG Times" w:hAnsi="CG Times"/>
      <w:sz w:val="24"/>
    </w:rPr>
  </w:style>
  <w:style w:type="paragraph" w:styleId="Ttulo7">
    <w:name w:val="heading 7"/>
    <w:basedOn w:val="Normal"/>
    <w:next w:val="Normal"/>
    <w:qFormat/>
    <w:pPr>
      <w:numPr>
        <w:ilvl w:val="6"/>
        <w:numId w:val="2"/>
      </w:numPr>
      <w:outlineLvl w:val="6"/>
    </w:pPr>
    <w:rPr>
      <w:rFonts w:ascii="CG Times" w:hAnsi="CG Times"/>
      <w:sz w:val="24"/>
    </w:rPr>
  </w:style>
  <w:style w:type="paragraph" w:styleId="Ttulo8">
    <w:name w:val="heading 8"/>
    <w:basedOn w:val="Normal"/>
    <w:next w:val="Normal"/>
    <w:qFormat/>
    <w:pPr>
      <w:numPr>
        <w:ilvl w:val="7"/>
        <w:numId w:val="2"/>
      </w:numPr>
      <w:outlineLvl w:val="7"/>
    </w:pPr>
    <w:rPr>
      <w:rFonts w:ascii="CG Times" w:hAnsi="CG Times"/>
      <w:sz w:val="24"/>
    </w:rPr>
  </w:style>
  <w:style w:type="paragraph" w:styleId="Ttulo9">
    <w:name w:val="heading 9"/>
    <w:basedOn w:val="Normal"/>
    <w:next w:val="Normal"/>
    <w:qFormat/>
    <w:pPr>
      <w:spacing w:before="240" w:after="60"/>
      <w:ind w:left="908"/>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a">
    <w:name w:val="Título 1a"/>
    <w:basedOn w:val="Normal"/>
    <w:next w:val="Normal"/>
    <w:pPr>
      <w:ind w:left="454"/>
    </w:pPr>
  </w:style>
  <w:style w:type="paragraph" w:styleId="Direccinsobre">
    <w:name w:val="envelope address"/>
    <w:basedOn w:val="Normal"/>
    <w:pPr>
      <w:framePr w:w="7938" w:h="1985" w:hRule="exact" w:hSpace="141" w:wrap="auto" w:hAnchor="page" w:xAlign="center" w:yAlign="bottom"/>
      <w:ind w:left="2835"/>
    </w:pPr>
  </w:style>
  <w:style w:type="paragraph" w:styleId="Piedepgina">
    <w:name w:val="footer"/>
    <w:basedOn w:val="Normal"/>
    <w:next w:val="Normal"/>
    <w:pPr>
      <w:tabs>
        <w:tab w:val="center" w:pos="4252"/>
        <w:tab w:val="right" w:pos="8504"/>
      </w:tabs>
    </w:pPr>
  </w:style>
  <w:style w:type="character" w:styleId="Nmerodepgina">
    <w:name w:val="page number"/>
    <w:basedOn w:val="Fuentedeprrafopredeter"/>
  </w:style>
  <w:style w:type="paragraph" w:customStyle="1" w:styleId="nmeros">
    <w:name w:val="números"/>
    <w:basedOn w:val="Normal"/>
    <w:pPr>
      <w:spacing w:before="240" w:after="360"/>
      <w:ind w:left="454" w:hanging="454"/>
    </w:pPr>
    <w:rPr>
      <w:kern w:val="28"/>
    </w:rPr>
  </w:style>
  <w:style w:type="paragraph" w:styleId="Lista">
    <w:name w:val="List"/>
    <w:basedOn w:val="Normal"/>
    <w:pPr>
      <w:ind w:left="283" w:hanging="283"/>
    </w:pPr>
  </w:style>
  <w:style w:type="paragraph" w:customStyle="1" w:styleId="nmero">
    <w:name w:val="número"/>
    <w:basedOn w:val="Normal"/>
    <w:pPr>
      <w:spacing w:before="240" w:after="360"/>
      <w:ind w:left="454" w:hanging="454"/>
    </w:pPr>
  </w:style>
  <w:style w:type="paragraph" w:styleId="Listaconvietas">
    <w:name w:val="List Bullet"/>
    <w:basedOn w:val="Normal"/>
    <w:pPr>
      <w:ind w:left="283" w:hanging="283"/>
    </w:pPr>
  </w:style>
  <w:style w:type="paragraph" w:customStyle="1" w:styleId="nmerosi">
    <w:name w:val="números.i"/>
    <w:basedOn w:val="Normal"/>
    <w:pPr>
      <w:ind w:left="454"/>
    </w:pPr>
  </w:style>
  <w:style w:type="paragraph" w:styleId="Listaconnmeros">
    <w:name w:val="List Number"/>
    <w:basedOn w:val="Normal"/>
    <w:next w:val="Lista"/>
    <w:pPr>
      <w:ind w:left="454" w:hanging="454"/>
    </w:pPr>
  </w:style>
  <w:style w:type="paragraph" w:customStyle="1" w:styleId="Nmerosinf">
    <w:name w:val="Números.inf"/>
    <w:basedOn w:val="Normal"/>
    <w:next w:val="Normal"/>
    <w:pPr>
      <w:ind w:left="454" w:hanging="454"/>
    </w:pPr>
  </w:style>
  <w:style w:type="paragraph" w:styleId="Encabezado">
    <w:name w:val="header"/>
    <w:basedOn w:val="Normal"/>
    <w:pPr>
      <w:tabs>
        <w:tab w:val="center" w:pos="4252"/>
        <w:tab w:val="right" w:pos="8504"/>
      </w:tabs>
    </w:pPr>
    <w:rPr>
      <w:rFonts w:ascii="CG Times (W1)" w:hAnsi="CG Times (W1)"/>
    </w:rPr>
  </w:style>
  <w:style w:type="character" w:customStyle="1" w:styleId="Fuentedeencabezadopredeter">
    <w:name w:val="Fuente de encabezado predeter."/>
  </w:style>
  <w:style w:type="paragraph" w:customStyle="1" w:styleId="Ttulo2a">
    <w:name w:val="Título 2a"/>
    <w:basedOn w:val="Normal"/>
    <w:link w:val="Ttulo2aCar"/>
    <w:pPr>
      <w:ind w:left="907"/>
    </w:pPr>
  </w:style>
  <w:style w:type="paragraph" w:customStyle="1" w:styleId="Ttulo4a">
    <w:name w:val="Título 4a"/>
    <w:basedOn w:val="Ttulo1a"/>
    <w:next w:val="Normal"/>
    <w:pPr>
      <w:ind w:left="907"/>
    </w:pPr>
  </w:style>
  <w:style w:type="paragraph" w:customStyle="1" w:styleId="toa">
    <w:name w:val="toa"/>
    <w:basedOn w:val="Normal"/>
    <w:pPr>
      <w:keepLines w:val="0"/>
      <w:widowControl/>
      <w:tabs>
        <w:tab w:val="left" w:pos="9000"/>
        <w:tab w:val="right" w:pos="9360"/>
      </w:tabs>
      <w:suppressAutoHyphens/>
      <w:jc w:val="left"/>
    </w:pPr>
    <w:rPr>
      <w:rFonts w:ascii="CG Times" w:hAnsi="CG Times"/>
      <w:lang w:val="en-US"/>
    </w:rPr>
  </w:style>
  <w:style w:type="paragraph" w:styleId="Sangra2detindependiente">
    <w:name w:val="Body Text Indent 2"/>
    <w:basedOn w:val="Normal"/>
    <w:pPr>
      <w:ind w:left="851"/>
    </w:pPr>
    <w:rPr>
      <w:rFonts w:ascii="CG Times" w:hAnsi="CG Times"/>
    </w:rPr>
  </w:style>
  <w:style w:type="paragraph" w:styleId="Sangradetextonormal">
    <w:name w:val="Body Text Indent"/>
    <w:basedOn w:val="Normal"/>
    <w:pPr>
      <w:numPr>
        <w:ilvl w:val="12"/>
      </w:numPr>
      <w:ind w:left="1815" w:hanging="454"/>
    </w:pPr>
    <w:rPr>
      <w:rFonts w:ascii="CG Times" w:hAnsi="CG Times"/>
    </w:rPr>
  </w:style>
  <w:style w:type="paragraph" w:styleId="Textoindependiente">
    <w:name w:val="Body Text"/>
    <w:basedOn w:val="Normal"/>
    <w:link w:val="TextoindependienteCar"/>
    <w:rPr>
      <w:color w:val="FF0000"/>
    </w:rPr>
  </w:style>
  <w:style w:type="paragraph" w:styleId="Tabladeilustraciones">
    <w:name w:val="table of figures"/>
    <w:basedOn w:val="Normal"/>
    <w:next w:val="Normal"/>
    <w:semiHidden/>
    <w:pPr>
      <w:keepLines w:val="0"/>
      <w:widowControl/>
      <w:jc w:val="left"/>
    </w:pPr>
    <w:rPr>
      <w:rFonts w:ascii="Times New Roman" w:hAnsi="Times New Roman"/>
      <w:sz w:val="20"/>
      <w:lang w:val="es-ES" w:eastAsia="en-US"/>
    </w:rPr>
  </w:style>
  <w:style w:type="paragraph" w:styleId="Sangra3detindependiente">
    <w:name w:val="Body Text Indent 3"/>
    <w:basedOn w:val="Normal"/>
    <w:pPr>
      <w:ind w:left="426"/>
    </w:pPr>
  </w:style>
  <w:style w:type="paragraph" w:customStyle="1" w:styleId="AA1stlevelbullet">
    <w:name w:val="AA 1st level bullet"/>
    <w:basedOn w:val="Normal"/>
    <w:pPr>
      <w:keepLines w:val="0"/>
      <w:widowControl/>
      <w:tabs>
        <w:tab w:val="num" w:pos="360"/>
      </w:tabs>
      <w:spacing w:after="240"/>
      <w:ind w:left="360" w:hanging="360"/>
    </w:pPr>
    <w:rPr>
      <w:rFonts w:ascii="Times New Roman" w:hAnsi="Times New Roman"/>
      <w:lang w:val="es-ES" w:eastAsia="en-US"/>
    </w:rPr>
  </w:style>
  <w:style w:type="paragraph" w:styleId="Textoindependiente2">
    <w:name w:val="Body Text 2"/>
    <w:basedOn w:val="Normal"/>
    <w:link w:val="Textoindependiente2Car"/>
    <w:rPr>
      <w:color w:val="0000FF"/>
    </w:rPr>
  </w:style>
  <w:style w:type="paragraph" w:customStyle="1" w:styleId="prrafoI">
    <w:name w:val="párrafo I"/>
    <w:basedOn w:val="Normal"/>
    <w:pPr>
      <w:keepLines w:val="0"/>
      <w:widowControl/>
      <w:spacing w:after="240"/>
      <w:ind w:left="1247" w:hanging="340"/>
    </w:pPr>
    <w:rPr>
      <w:rFonts w:ascii="Arial" w:hAnsi="Arial"/>
      <w:sz w:val="18"/>
      <w:lang w:val="es-ES" w:eastAsia="en-US"/>
    </w:rPr>
  </w:style>
  <w:style w:type="paragraph" w:customStyle="1" w:styleId="Estndar">
    <w:name w:val="Estándar"/>
    <w:rPr>
      <w:snapToGrid w:val="0"/>
      <w:color w:val="000000"/>
      <w:sz w:val="24"/>
    </w:rPr>
  </w:style>
  <w:style w:type="paragraph" w:styleId="Textoindependiente3">
    <w:name w:val="Body Text 3"/>
    <w:basedOn w:val="Normal"/>
    <w:pPr>
      <w:keepNext/>
      <w:jc w:val="center"/>
    </w:pPr>
    <w:rPr>
      <w:rFonts w:ascii="Times New Roman" w:hAnsi="Times New Roman"/>
      <w:spacing w:val="-3"/>
    </w:rPr>
  </w:style>
  <w:style w:type="paragraph" w:customStyle="1" w:styleId="EstiloTimesNewRoman12ptCentradoInterlineado15lneas">
    <w:name w:val="Estilo Times New Roman 12 pt Centrado Interlineado:  15 líneas"/>
    <w:basedOn w:val="Normal"/>
    <w:rsid w:val="00C36E64"/>
    <w:pPr>
      <w:jc w:val="center"/>
    </w:pPr>
    <w:rPr>
      <w:rFonts w:ascii="Times New Roman" w:hAnsi="Times New Roman"/>
      <w:sz w:val="24"/>
    </w:rPr>
  </w:style>
  <w:style w:type="paragraph" w:customStyle="1" w:styleId="Estilo1">
    <w:name w:val="Estilo1"/>
    <w:basedOn w:val="Normal"/>
    <w:rsid w:val="00C36E64"/>
    <w:pPr>
      <w:keepNext/>
      <w:jc w:val="center"/>
    </w:pPr>
    <w:rPr>
      <w:rFonts w:ascii="Times New Roman" w:hAnsi="Times New Roman"/>
      <w:sz w:val="24"/>
    </w:rPr>
  </w:style>
  <w:style w:type="paragraph" w:customStyle="1" w:styleId="Estilo2">
    <w:name w:val="Estilo2"/>
    <w:basedOn w:val="Normal"/>
    <w:rsid w:val="00D85F25"/>
    <w:pPr>
      <w:keepNext/>
      <w:jc w:val="center"/>
    </w:pPr>
    <w:rPr>
      <w:rFonts w:ascii="Times New Roman" w:hAnsi="Times New Roman"/>
      <w:sz w:val="24"/>
    </w:rPr>
  </w:style>
  <w:style w:type="paragraph" w:customStyle="1" w:styleId="Estilo3">
    <w:name w:val="Estilo3"/>
    <w:basedOn w:val="Normal"/>
    <w:rsid w:val="00D85F25"/>
    <w:pPr>
      <w:keepNext/>
      <w:jc w:val="center"/>
    </w:pPr>
    <w:rPr>
      <w:rFonts w:ascii="Times New Roman" w:hAnsi="Times New Roman"/>
      <w:sz w:val="24"/>
    </w:rPr>
  </w:style>
  <w:style w:type="paragraph" w:styleId="Mapadeldocumento">
    <w:name w:val="Document Map"/>
    <w:basedOn w:val="Normal"/>
    <w:semiHidden/>
    <w:rsid w:val="008F7205"/>
    <w:pPr>
      <w:shd w:val="clear" w:color="auto" w:fill="000080"/>
    </w:pPr>
    <w:rPr>
      <w:rFonts w:ascii="Tahoma" w:hAnsi="Tahoma" w:cs="Tahoma"/>
      <w:sz w:val="20"/>
    </w:rPr>
  </w:style>
  <w:style w:type="paragraph" w:styleId="Textodeglobo">
    <w:name w:val="Balloon Text"/>
    <w:basedOn w:val="Normal"/>
    <w:semiHidden/>
    <w:rsid w:val="003A3473"/>
    <w:rPr>
      <w:rFonts w:ascii="Tahoma" w:hAnsi="Tahoma" w:cs="Tahoma"/>
      <w:sz w:val="16"/>
      <w:szCs w:val="16"/>
    </w:rPr>
  </w:style>
  <w:style w:type="character" w:customStyle="1" w:styleId="Ttulo2aCar">
    <w:name w:val="Título 2a Car"/>
    <w:link w:val="Ttulo2a"/>
    <w:rsid w:val="006F4520"/>
    <w:rPr>
      <w:rFonts w:ascii="Comic Sans MS" w:hAnsi="Comic Sans MS"/>
      <w:sz w:val="22"/>
      <w:lang w:val="es-ES_tradnl" w:eastAsia="es-ES" w:bidi="ar-SA"/>
    </w:rPr>
  </w:style>
  <w:style w:type="paragraph" w:customStyle="1" w:styleId="PortadaDos">
    <w:name w:val="PortadaDos"/>
    <w:basedOn w:val="Normal"/>
    <w:rsid w:val="007D6387"/>
    <w:pPr>
      <w:keepLines w:val="0"/>
      <w:widowControl/>
      <w:ind w:left="113" w:right="113"/>
      <w:jc w:val="left"/>
    </w:pPr>
    <w:rPr>
      <w:rFonts w:ascii="Arial" w:hAnsi="Arial"/>
      <w:bCs/>
      <w:sz w:val="24"/>
      <w:lang w:val="es-ES" w:eastAsia="en-US"/>
    </w:rPr>
  </w:style>
  <w:style w:type="paragraph" w:customStyle="1" w:styleId="PortadaUno">
    <w:name w:val="PortadaUno"/>
    <w:basedOn w:val="Normal"/>
    <w:rsid w:val="00D10B35"/>
    <w:pPr>
      <w:keepLines w:val="0"/>
      <w:widowControl/>
    </w:pPr>
    <w:rPr>
      <w:rFonts w:ascii="Arial" w:hAnsi="Arial"/>
      <w:bCs/>
      <w:sz w:val="24"/>
      <w:lang w:val="es-ES" w:eastAsia="en-US"/>
    </w:rPr>
  </w:style>
  <w:style w:type="character" w:customStyle="1" w:styleId="notCar">
    <w:name w:val="not Car"/>
    <w:rsid w:val="00C12D91"/>
    <w:rPr>
      <w:rFonts w:eastAsia="SimSun"/>
      <w:sz w:val="22"/>
      <w:szCs w:val="22"/>
      <w:lang w:val="es-ES_tradnl" w:eastAsia="es-ES" w:bidi="ar-SA"/>
    </w:rPr>
  </w:style>
  <w:style w:type="paragraph" w:styleId="Listaconnmeros2">
    <w:name w:val="List Number 2"/>
    <w:basedOn w:val="Normal"/>
    <w:rsid w:val="00C12D91"/>
    <w:pPr>
      <w:numPr>
        <w:numId w:val="4"/>
      </w:numPr>
    </w:pPr>
  </w:style>
  <w:style w:type="paragraph" w:styleId="NormalWeb">
    <w:name w:val="Normal (Web)"/>
    <w:basedOn w:val="Normal"/>
    <w:rsid w:val="00E01EDB"/>
    <w:pPr>
      <w:keepLines w:val="0"/>
      <w:widowControl/>
      <w:spacing w:before="100" w:beforeAutospacing="1" w:after="100" w:afterAutospacing="1"/>
      <w:jc w:val="left"/>
    </w:pPr>
    <w:rPr>
      <w:rFonts w:ascii="Times New Roman" w:hAnsi="Times New Roman"/>
      <w:sz w:val="24"/>
      <w:szCs w:val="24"/>
      <w:lang w:val="es-ES"/>
    </w:rPr>
  </w:style>
  <w:style w:type="table" w:styleId="Tablaconcuadrcula">
    <w:name w:val="Table Grid"/>
    <w:basedOn w:val="Tablanormal"/>
    <w:rsid w:val="0027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on">
    <w:name w:val="Guion"/>
    <w:basedOn w:val="Tabladeilustraciones"/>
    <w:rsid w:val="00915BF9"/>
    <w:pPr>
      <w:jc w:val="center"/>
    </w:pPr>
  </w:style>
  <w:style w:type="paragraph" w:styleId="Textocomentario">
    <w:name w:val="annotation text"/>
    <w:basedOn w:val="Normal"/>
    <w:next w:val="Normal"/>
    <w:link w:val="TextocomentarioCar"/>
    <w:rsid w:val="00915BF9"/>
    <w:pPr>
      <w:keepLines w:val="0"/>
      <w:widowControl/>
      <w:spacing w:before="120" w:after="120"/>
      <w:ind w:left="454" w:hanging="454"/>
    </w:pPr>
    <w:rPr>
      <w:rFonts w:ascii="Arial" w:hAnsi="Arial"/>
      <w:sz w:val="16"/>
      <w:lang w:val="es-ES" w:eastAsia="en-US"/>
    </w:rPr>
  </w:style>
  <w:style w:type="character" w:customStyle="1" w:styleId="TextocomentarioCar">
    <w:name w:val="Texto comentario Car"/>
    <w:link w:val="Textocomentario"/>
    <w:rsid w:val="00915BF9"/>
    <w:rPr>
      <w:rFonts w:ascii="Arial" w:hAnsi="Arial"/>
      <w:sz w:val="16"/>
      <w:lang w:val="es-ES" w:eastAsia="en-US" w:bidi="ar-SA"/>
    </w:rPr>
  </w:style>
  <w:style w:type="character" w:styleId="Refdecomentario">
    <w:name w:val="annotation reference"/>
    <w:unhideWhenUsed/>
    <w:rsid w:val="00915BF9"/>
    <w:rPr>
      <w:sz w:val="16"/>
      <w:szCs w:val="16"/>
    </w:rPr>
  </w:style>
  <w:style w:type="paragraph" w:customStyle="1" w:styleId="textoletra">
    <w:name w:val="texto letra"/>
    <w:basedOn w:val="Normal"/>
    <w:rsid w:val="00915BF9"/>
    <w:pPr>
      <w:keepLines w:val="0"/>
      <w:widowControl/>
      <w:spacing w:after="240"/>
      <w:ind w:left="907"/>
    </w:pPr>
    <w:rPr>
      <w:rFonts w:ascii="Arial" w:hAnsi="Arial"/>
      <w:sz w:val="18"/>
      <w:lang w:val="es-ES" w:eastAsia="en-US"/>
    </w:rPr>
  </w:style>
  <w:style w:type="paragraph" w:customStyle="1" w:styleId="not">
    <w:name w:val="not"/>
    <w:basedOn w:val="Normal"/>
    <w:rsid w:val="00E96AAC"/>
    <w:pPr>
      <w:widowControl/>
      <w:overflowPunct w:val="0"/>
      <w:autoSpaceDE w:val="0"/>
      <w:autoSpaceDN w:val="0"/>
      <w:adjustRightInd w:val="0"/>
      <w:spacing w:before="240"/>
      <w:ind w:left="851" w:hanging="284"/>
      <w:textAlignment w:val="baseline"/>
    </w:pPr>
    <w:rPr>
      <w:rFonts w:ascii="Times New Roman" w:hAnsi="Times New Roman"/>
    </w:rPr>
  </w:style>
  <w:style w:type="paragraph" w:customStyle="1" w:styleId="Bodycopy">
    <w:name w:val="Body copy"/>
    <w:rsid w:val="00900842"/>
    <w:pPr>
      <w:spacing w:before="20" w:line="210" w:lineRule="exact"/>
    </w:pPr>
    <w:rPr>
      <w:rFonts w:ascii="Arial" w:eastAsia="PMingLiU" w:hAnsi="Arial" w:cs="Arial"/>
      <w:color w:val="000000"/>
      <w:sz w:val="17"/>
      <w:szCs w:val="17"/>
      <w:lang w:val="en-US" w:eastAsia="en-US"/>
    </w:rPr>
  </w:style>
  <w:style w:type="numbering" w:styleId="111111">
    <w:name w:val="Outline List 2"/>
    <w:aliases w:val="1 / 1.1 /1.1.a)"/>
    <w:basedOn w:val="Sinlista"/>
    <w:rsid w:val="0032795A"/>
    <w:pPr>
      <w:numPr>
        <w:numId w:val="8"/>
      </w:numPr>
    </w:pPr>
  </w:style>
  <w:style w:type="numbering" w:styleId="ArtculoSeccin">
    <w:name w:val="Outline List 3"/>
    <w:basedOn w:val="Sinlista"/>
    <w:rsid w:val="0032795A"/>
    <w:pPr>
      <w:numPr>
        <w:numId w:val="9"/>
      </w:numPr>
    </w:pPr>
  </w:style>
  <w:style w:type="numbering" w:styleId="1ai">
    <w:name w:val="Outline List 1"/>
    <w:basedOn w:val="Sinlista"/>
    <w:rsid w:val="0032795A"/>
    <w:pPr>
      <w:numPr>
        <w:numId w:val="10"/>
      </w:numPr>
    </w:pPr>
  </w:style>
  <w:style w:type="paragraph" w:customStyle="1" w:styleId="Prrafodelista1">
    <w:name w:val="Párrafo de lista1"/>
    <w:basedOn w:val="Normal"/>
    <w:uiPriority w:val="34"/>
    <w:qFormat/>
    <w:rsid w:val="00AC169A"/>
    <w:pPr>
      <w:ind w:left="397"/>
    </w:pPr>
  </w:style>
  <w:style w:type="paragraph" w:customStyle="1" w:styleId="a">
    <w:name w:val="a"/>
    <w:basedOn w:val="Normal"/>
    <w:rsid w:val="000656A5"/>
    <w:pPr>
      <w:widowControl/>
      <w:overflowPunct w:val="0"/>
      <w:autoSpaceDE w:val="0"/>
      <w:autoSpaceDN w:val="0"/>
      <w:adjustRightInd w:val="0"/>
      <w:spacing w:before="240"/>
      <w:ind w:left="1276" w:hanging="265"/>
      <w:textAlignment w:val="baseline"/>
    </w:pPr>
    <w:rPr>
      <w:rFonts w:ascii="Times New Roman" w:hAnsi="Times New Roman"/>
    </w:rPr>
  </w:style>
  <w:style w:type="paragraph" w:customStyle="1" w:styleId="ta">
    <w:name w:val="t a"/>
    <w:basedOn w:val="not"/>
    <w:rsid w:val="00643AE0"/>
    <w:pPr>
      <w:tabs>
        <w:tab w:val="left" w:pos="993"/>
      </w:tabs>
      <w:ind w:left="560" w:firstLine="0"/>
    </w:pPr>
  </w:style>
  <w:style w:type="paragraph" w:styleId="Textodebloque">
    <w:name w:val="Block Text"/>
    <w:basedOn w:val="Normal"/>
    <w:rsid w:val="00A16195"/>
    <w:pPr>
      <w:keepLines w:val="0"/>
      <w:widowControl/>
      <w:tabs>
        <w:tab w:val="left" w:pos="-720"/>
        <w:tab w:val="left" w:pos="-306"/>
        <w:tab w:val="left" w:pos="720"/>
        <w:tab w:val="left" w:pos="1134"/>
        <w:tab w:val="left" w:pos="1440"/>
      </w:tabs>
      <w:suppressAutoHyphens/>
      <w:ind w:left="567" w:right="306"/>
    </w:pPr>
    <w:rPr>
      <w:rFonts w:ascii="Arial" w:hAnsi="Arial"/>
      <w:spacing w:val="-3"/>
      <w:sz w:val="24"/>
    </w:rPr>
  </w:style>
  <w:style w:type="paragraph" w:customStyle="1" w:styleId="Pa6">
    <w:name w:val="Pa6"/>
    <w:basedOn w:val="Normal"/>
    <w:next w:val="Normal"/>
    <w:rsid w:val="00F83CA8"/>
    <w:pPr>
      <w:keepLines w:val="0"/>
      <w:widowControl/>
      <w:autoSpaceDE w:val="0"/>
      <w:autoSpaceDN w:val="0"/>
      <w:adjustRightInd w:val="0"/>
      <w:spacing w:line="201" w:lineRule="atLeast"/>
      <w:jc w:val="left"/>
    </w:pPr>
    <w:rPr>
      <w:rFonts w:ascii="Arial" w:hAnsi="Arial"/>
      <w:sz w:val="24"/>
      <w:szCs w:val="24"/>
      <w:lang w:val="es-ES"/>
    </w:rPr>
  </w:style>
  <w:style w:type="paragraph" w:customStyle="1" w:styleId="Pa7">
    <w:name w:val="Pa7"/>
    <w:basedOn w:val="Normal"/>
    <w:next w:val="Normal"/>
    <w:rsid w:val="000C61B4"/>
    <w:pPr>
      <w:keepLines w:val="0"/>
      <w:widowControl/>
      <w:autoSpaceDE w:val="0"/>
      <w:autoSpaceDN w:val="0"/>
      <w:adjustRightInd w:val="0"/>
      <w:spacing w:line="201" w:lineRule="atLeast"/>
      <w:jc w:val="left"/>
    </w:pPr>
    <w:rPr>
      <w:rFonts w:ascii="Arial" w:hAnsi="Arial"/>
      <w:sz w:val="24"/>
      <w:szCs w:val="24"/>
      <w:lang w:val="es-ES"/>
    </w:rPr>
  </w:style>
  <w:style w:type="character" w:customStyle="1" w:styleId="TextoindependienteCar">
    <w:name w:val="Texto independiente Car"/>
    <w:link w:val="Textoindependiente"/>
    <w:rsid w:val="00172A4B"/>
    <w:rPr>
      <w:rFonts w:ascii="Comic Sans MS" w:hAnsi="Comic Sans MS"/>
      <w:color w:val="FF0000"/>
      <w:sz w:val="22"/>
      <w:lang w:val="es-ES_tradnl" w:eastAsia="es-ES" w:bidi="ar-SA"/>
    </w:rPr>
  </w:style>
  <w:style w:type="character" w:styleId="Hipervnculo">
    <w:name w:val="Hyperlink"/>
    <w:rsid w:val="00DF7A16"/>
    <w:rPr>
      <w:color w:val="0000FF"/>
      <w:u w:val="single"/>
    </w:rPr>
  </w:style>
  <w:style w:type="paragraph" w:styleId="Textosinformato">
    <w:name w:val="Plain Text"/>
    <w:basedOn w:val="Normal"/>
    <w:link w:val="TextosinformatoCar"/>
    <w:uiPriority w:val="99"/>
    <w:unhideWhenUsed/>
    <w:rsid w:val="00EA56DE"/>
    <w:pPr>
      <w:keepLines w:val="0"/>
      <w:widowControl/>
      <w:jc w:val="left"/>
    </w:pPr>
    <w:rPr>
      <w:rFonts w:ascii="Cambria" w:eastAsia="Calibri" w:hAnsi="Cambria"/>
      <w:sz w:val="24"/>
      <w:szCs w:val="24"/>
      <w:lang w:val="es-ES" w:eastAsia="en-US"/>
    </w:rPr>
  </w:style>
  <w:style w:type="character" w:customStyle="1" w:styleId="TextosinformatoCar">
    <w:name w:val="Texto sin formato Car"/>
    <w:link w:val="Textosinformato"/>
    <w:uiPriority w:val="99"/>
    <w:rsid w:val="00EA56DE"/>
    <w:rPr>
      <w:rFonts w:ascii="Cambria" w:eastAsia="Calibri" w:hAnsi="Cambria"/>
      <w:sz w:val="24"/>
      <w:szCs w:val="24"/>
      <w:lang w:eastAsia="en-US"/>
    </w:rPr>
  </w:style>
  <w:style w:type="paragraph" w:styleId="Prrafodelista">
    <w:name w:val="List Paragraph"/>
    <w:basedOn w:val="Normal"/>
    <w:uiPriority w:val="34"/>
    <w:qFormat/>
    <w:rsid w:val="00AF6C93"/>
    <w:pPr>
      <w:ind w:left="708"/>
    </w:pPr>
  </w:style>
  <w:style w:type="character" w:customStyle="1" w:styleId="Ttulo2Car">
    <w:name w:val="Título 2 Car"/>
    <w:link w:val="Ttulo2"/>
    <w:rsid w:val="00705999"/>
    <w:rPr>
      <w:rFonts w:ascii="Comic Sans MS" w:hAnsi="Comic Sans MS"/>
      <w:b/>
      <w:sz w:val="22"/>
      <w:lang w:val="es-ES_tradnl"/>
    </w:rPr>
  </w:style>
  <w:style w:type="character" w:customStyle="1" w:styleId="Ttulo4Car">
    <w:name w:val="Título 4 Car"/>
    <w:link w:val="Ttulo4"/>
    <w:rsid w:val="00705999"/>
    <w:rPr>
      <w:rFonts w:ascii="Comic Sans MS" w:hAnsi="Comic Sans MS"/>
      <w:b/>
      <w:sz w:val="22"/>
      <w:lang w:val="es-ES_tradnl"/>
    </w:rPr>
  </w:style>
  <w:style w:type="paragraph" w:styleId="Revisin">
    <w:name w:val="Revision"/>
    <w:hidden/>
    <w:uiPriority w:val="99"/>
    <w:semiHidden/>
    <w:rsid w:val="000C254B"/>
    <w:rPr>
      <w:rFonts w:ascii="Comic Sans MS" w:hAnsi="Comic Sans MS"/>
      <w:sz w:val="22"/>
      <w:lang w:val="es-ES_tradnl"/>
    </w:rPr>
  </w:style>
  <w:style w:type="character" w:customStyle="1" w:styleId="Textoindependiente2Car">
    <w:name w:val="Texto independiente 2 Car"/>
    <w:basedOn w:val="Fuentedeprrafopredeter"/>
    <w:link w:val="Textoindependiente2"/>
    <w:rsid w:val="009D4ED2"/>
    <w:rPr>
      <w:rFonts w:ascii="Comic Sans MS" w:hAnsi="Comic Sans MS"/>
      <w:color w:val="0000FF"/>
      <w:sz w:val="22"/>
      <w:lang w:val="es-ES_tradnl"/>
    </w:rPr>
  </w:style>
  <w:style w:type="character" w:styleId="Textoennegrita">
    <w:name w:val="Strong"/>
    <w:basedOn w:val="Fuentedeprrafopredeter"/>
    <w:uiPriority w:val="22"/>
    <w:qFormat/>
    <w:rsid w:val="00A947A8"/>
    <w:rPr>
      <w:b/>
      <w:bCs/>
    </w:rPr>
  </w:style>
  <w:style w:type="paragraph" w:styleId="Asuntodelcomentario">
    <w:name w:val="annotation subject"/>
    <w:basedOn w:val="Textocomentario"/>
    <w:next w:val="Textocomentario"/>
    <w:link w:val="AsuntodelcomentarioCar"/>
    <w:rsid w:val="001D6608"/>
    <w:pPr>
      <w:keepLines/>
      <w:widowControl w:val="0"/>
      <w:spacing w:before="0" w:after="0"/>
      <w:ind w:left="0" w:firstLine="0"/>
    </w:pPr>
    <w:rPr>
      <w:rFonts w:ascii="Comic Sans MS" w:hAnsi="Comic Sans MS"/>
      <w:b/>
      <w:bCs/>
      <w:sz w:val="20"/>
      <w:lang w:val="es-ES_tradnl" w:eastAsia="es-ES"/>
    </w:rPr>
  </w:style>
  <w:style w:type="character" w:customStyle="1" w:styleId="AsuntodelcomentarioCar">
    <w:name w:val="Asunto del comentario Car"/>
    <w:basedOn w:val="TextocomentarioCar"/>
    <w:link w:val="Asuntodelcomentario"/>
    <w:rsid w:val="001D6608"/>
    <w:rPr>
      <w:rFonts w:ascii="Comic Sans MS" w:hAnsi="Comic Sans MS"/>
      <w:b/>
      <w:bCs/>
      <w:sz w:val="16"/>
      <w:lang w:val="es-ES_tradnl" w:eastAsia="en-US" w:bidi="ar-SA"/>
    </w:rPr>
  </w:style>
  <w:style w:type="paragraph" w:customStyle="1" w:styleId="Textodenotaalfinal">
    <w:name w:val="Texto de nota al final"/>
    <w:basedOn w:val="Normal"/>
    <w:rsid w:val="00815CFF"/>
    <w:pPr>
      <w:keepLines w:val="0"/>
      <w:jc w:val="left"/>
    </w:pPr>
    <w:rPr>
      <w:rFonts w:ascii="Courier New" w:hAnsi="Courier New"/>
      <w:snapToGrid w:val="0"/>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669">
      <w:bodyDiv w:val="1"/>
      <w:marLeft w:val="0"/>
      <w:marRight w:val="0"/>
      <w:marTop w:val="0"/>
      <w:marBottom w:val="0"/>
      <w:divBdr>
        <w:top w:val="none" w:sz="0" w:space="0" w:color="auto"/>
        <w:left w:val="none" w:sz="0" w:space="0" w:color="auto"/>
        <w:bottom w:val="none" w:sz="0" w:space="0" w:color="auto"/>
        <w:right w:val="none" w:sz="0" w:space="0" w:color="auto"/>
      </w:divBdr>
    </w:div>
    <w:div w:id="42992425">
      <w:bodyDiv w:val="1"/>
      <w:marLeft w:val="0"/>
      <w:marRight w:val="0"/>
      <w:marTop w:val="0"/>
      <w:marBottom w:val="0"/>
      <w:divBdr>
        <w:top w:val="none" w:sz="0" w:space="0" w:color="auto"/>
        <w:left w:val="none" w:sz="0" w:space="0" w:color="auto"/>
        <w:bottom w:val="none" w:sz="0" w:space="0" w:color="auto"/>
        <w:right w:val="none" w:sz="0" w:space="0" w:color="auto"/>
      </w:divBdr>
    </w:div>
    <w:div w:id="46728604">
      <w:bodyDiv w:val="1"/>
      <w:marLeft w:val="0"/>
      <w:marRight w:val="0"/>
      <w:marTop w:val="0"/>
      <w:marBottom w:val="0"/>
      <w:divBdr>
        <w:top w:val="none" w:sz="0" w:space="0" w:color="auto"/>
        <w:left w:val="none" w:sz="0" w:space="0" w:color="auto"/>
        <w:bottom w:val="none" w:sz="0" w:space="0" w:color="auto"/>
        <w:right w:val="none" w:sz="0" w:space="0" w:color="auto"/>
      </w:divBdr>
    </w:div>
    <w:div w:id="53282685">
      <w:bodyDiv w:val="1"/>
      <w:marLeft w:val="0"/>
      <w:marRight w:val="0"/>
      <w:marTop w:val="0"/>
      <w:marBottom w:val="0"/>
      <w:divBdr>
        <w:top w:val="none" w:sz="0" w:space="0" w:color="auto"/>
        <w:left w:val="none" w:sz="0" w:space="0" w:color="auto"/>
        <w:bottom w:val="none" w:sz="0" w:space="0" w:color="auto"/>
        <w:right w:val="none" w:sz="0" w:space="0" w:color="auto"/>
      </w:divBdr>
    </w:div>
    <w:div w:id="53553253">
      <w:bodyDiv w:val="1"/>
      <w:marLeft w:val="0"/>
      <w:marRight w:val="0"/>
      <w:marTop w:val="0"/>
      <w:marBottom w:val="0"/>
      <w:divBdr>
        <w:top w:val="none" w:sz="0" w:space="0" w:color="auto"/>
        <w:left w:val="none" w:sz="0" w:space="0" w:color="auto"/>
        <w:bottom w:val="none" w:sz="0" w:space="0" w:color="auto"/>
        <w:right w:val="none" w:sz="0" w:space="0" w:color="auto"/>
      </w:divBdr>
    </w:div>
    <w:div w:id="58721136">
      <w:bodyDiv w:val="1"/>
      <w:marLeft w:val="0"/>
      <w:marRight w:val="0"/>
      <w:marTop w:val="0"/>
      <w:marBottom w:val="0"/>
      <w:divBdr>
        <w:top w:val="none" w:sz="0" w:space="0" w:color="auto"/>
        <w:left w:val="none" w:sz="0" w:space="0" w:color="auto"/>
        <w:bottom w:val="none" w:sz="0" w:space="0" w:color="auto"/>
        <w:right w:val="none" w:sz="0" w:space="0" w:color="auto"/>
      </w:divBdr>
    </w:div>
    <w:div w:id="67849841">
      <w:bodyDiv w:val="1"/>
      <w:marLeft w:val="0"/>
      <w:marRight w:val="0"/>
      <w:marTop w:val="0"/>
      <w:marBottom w:val="0"/>
      <w:divBdr>
        <w:top w:val="none" w:sz="0" w:space="0" w:color="auto"/>
        <w:left w:val="none" w:sz="0" w:space="0" w:color="auto"/>
        <w:bottom w:val="none" w:sz="0" w:space="0" w:color="auto"/>
        <w:right w:val="none" w:sz="0" w:space="0" w:color="auto"/>
      </w:divBdr>
    </w:div>
    <w:div w:id="77101654">
      <w:bodyDiv w:val="1"/>
      <w:marLeft w:val="0"/>
      <w:marRight w:val="0"/>
      <w:marTop w:val="0"/>
      <w:marBottom w:val="0"/>
      <w:divBdr>
        <w:top w:val="none" w:sz="0" w:space="0" w:color="auto"/>
        <w:left w:val="none" w:sz="0" w:space="0" w:color="auto"/>
        <w:bottom w:val="none" w:sz="0" w:space="0" w:color="auto"/>
        <w:right w:val="none" w:sz="0" w:space="0" w:color="auto"/>
      </w:divBdr>
    </w:div>
    <w:div w:id="77143803">
      <w:bodyDiv w:val="1"/>
      <w:marLeft w:val="0"/>
      <w:marRight w:val="0"/>
      <w:marTop w:val="0"/>
      <w:marBottom w:val="0"/>
      <w:divBdr>
        <w:top w:val="none" w:sz="0" w:space="0" w:color="auto"/>
        <w:left w:val="none" w:sz="0" w:space="0" w:color="auto"/>
        <w:bottom w:val="none" w:sz="0" w:space="0" w:color="auto"/>
        <w:right w:val="none" w:sz="0" w:space="0" w:color="auto"/>
      </w:divBdr>
    </w:div>
    <w:div w:id="101345267">
      <w:bodyDiv w:val="1"/>
      <w:marLeft w:val="0"/>
      <w:marRight w:val="0"/>
      <w:marTop w:val="0"/>
      <w:marBottom w:val="0"/>
      <w:divBdr>
        <w:top w:val="none" w:sz="0" w:space="0" w:color="auto"/>
        <w:left w:val="none" w:sz="0" w:space="0" w:color="auto"/>
        <w:bottom w:val="none" w:sz="0" w:space="0" w:color="auto"/>
        <w:right w:val="none" w:sz="0" w:space="0" w:color="auto"/>
      </w:divBdr>
    </w:div>
    <w:div w:id="111554381">
      <w:bodyDiv w:val="1"/>
      <w:marLeft w:val="0"/>
      <w:marRight w:val="0"/>
      <w:marTop w:val="0"/>
      <w:marBottom w:val="0"/>
      <w:divBdr>
        <w:top w:val="none" w:sz="0" w:space="0" w:color="auto"/>
        <w:left w:val="none" w:sz="0" w:space="0" w:color="auto"/>
        <w:bottom w:val="none" w:sz="0" w:space="0" w:color="auto"/>
        <w:right w:val="none" w:sz="0" w:space="0" w:color="auto"/>
      </w:divBdr>
    </w:div>
    <w:div w:id="152109413">
      <w:bodyDiv w:val="1"/>
      <w:marLeft w:val="0"/>
      <w:marRight w:val="0"/>
      <w:marTop w:val="0"/>
      <w:marBottom w:val="0"/>
      <w:divBdr>
        <w:top w:val="none" w:sz="0" w:space="0" w:color="auto"/>
        <w:left w:val="none" w:sz="0" w:space="0" w:color="auto"/>
        <w:bottom w:val="none" w:sz="0" w:space="0" w:color="auto"/>
        <w:right w:val="none" w:sz="0" w:space="0" w:color="auto"/>
      </w:divBdr>
    </w:div>
    <w:div w:id="191649181">
      <w:bodyDiv w:val="1"/>
      <w:marLeft w:val="0"/>
      <w:marRight w:val="0"/>
      <w:marTop w:val="0"/>
      <w:marBottom w:val="0"/>
      <w:divBdr>
        <w:top w:val="none" w:sz="0" w:space="0" w:color="auto"/>
        <w:left w:val="none" w:sz="0" w:space="0" w:color="auto"/>
        <w:bottom w:val="none" w:sz="0" w:space="0" w:color="auto"/>
        <w:right w:val="none" w:sz="0" w:space="0" w:color="auto"/>
      </w:divBdr>
      <w:divsChild>
        <w:div w:id="755396486">
          <w:marLeft w:val="0"/>
          <w:marRight w:val="0"/>
          <w:marTop w:val="0"/>
          <w:marBottom w:val="0"/>
          <w:divBdr>
            <w:top w:val="none" w:sz="0" w:space="0" w:color="auto"/>
            <w:left w:val="none" w:sz="0" w:space="0" w:color="auto"/>
            <w:bottom w:val="none" w:sz="0" w:space="0" w:color="auto"/>
            <w:right w:val="none" w:sz="0" w:space="0" w:color="auto"/>
          </w:divBdr>
        </w:div>
      </w:divsChild>
    </w:div>
    <w:div w:id="202257433">
      <w:bodyDiv w:val="1"/>
      <w:marLeft w:val="0"/>
      <w:marRight w:val="0"/>
      <w:marTop w:val="0"/>
      <w:marBottom w:val="0"/>
      <w:divBdr>
        <w:top w:val="none" w:sz="0" w:space="0" w:color="auto"/>
        <w:left w:val="none" w:sz="0" w:space="0" w:color="auto"/>
        <w:bottom w:val="none" w:sz="0" w:space="0" w:color="auto"/>
        <w:right w:val="none" w:sz="0" w:space="0" w:color="auto"/>
      </w:divBdr>
    </w:div>
    <w:div w:id="266547529">
      <w:bodyDiv w:val="1"/>
      <w:marLeft w:val="0"/>
      <w:marRight w:val="0"/>
      <w:marTop w:val="0"/>
      <w:marBottom w:val="0"/>
      <w:divBdr>
        <w:top w:val="none" w:sz="0" w:space="0" w:color="auto"/>
        <w:left w:val="none" w:sz="0" w:space="0" w:color="auto"/>
        <w:bottom w:val="none" w:sz="0" w:space="0" w:color="auto"/>
        <w:right w:val="none" w:sz="0" w:space="0" w:color="auto"/>
      </w:divBdr>
    </w:div>
    <w:div w:id="269314850">
      <w:bodyDiv w:val="1"/>
      <w:marLeft w:val="0"/>
      <w:marRight w:val="0"/>
      <w:marTop w:val="0"/>
      <w:marBottom w:val="0"/>
      <w:divBdr>
        <w:top w:val="none" w:sz="0" w:space="0" w:color="auto"/>
        <w:left w:val="none" w:sz="0" w:space="0" w:color="auto"/>
        <w:bottom w:val="none" w:sz="0" w:space="0" w:color="auto"/>
        <w:right w:val="none" w:sz="0" w:space="0" w:color="auto"/>
      </w:divBdr>
    </w:div>
    <w:div w:id="273754934">
      <w:bodyDiv w:val="1"/>
      <w:marLeft w:val="0"/>
      <w:marRight w:val="0"/>
      <w:marTop w:val="0"/>
      <w:marBottom w:val="0"/>
      <w:divBdr>
        <w:top w:val="none" w:sz="0" w:space="0" w:color="auto"/>
        <w:left w:val="none" w:sz="0" w:space="0" w:color="auto"/>
        <w:bottom w:val="none" w:sz="0" w:space="0" w:color="auto"/>
        <w:right w:val="none" w:sz="0" w:space="0" w:color="auto"/>
      </w:divBdr>
    </w:div>
    <w:div w:id="305819316">
      <w:bodyDiv w:val="1"/>
      <w:marLeft w:val="0"/>
      <w:marRight w:val="0"/>
      <w:marTop w:val="0"/>
      <w:marBottom w:val="0"/>
      <w:divBdr>
        <w:top w:val="none" w:sz="0" w:space="0" w:color="auto"/>
        <w:left w:val="none" w:sz="0" w:space="0" w:color="auto"/>
        <w:bottom w:val="none" w:sz="0" w:space="0" w:color="auto"/>
        <w:right w:val="none" w:sz="0" w:space="0" w:color="auto"/>
      </w:divBdr>
      <w:divsChild>
        <w:div w:id="39135763">
          <w:marLeft w:val="0"/>
          <w:marRight w:val="0"/>
          <w:marTop w:val="0"/>
          <w:marBottom w:val="0"/>
          <w:divBdr>
            <w:top w:val="none" w:sz="0" w:space="0" w:color="auto"/>
            <w:left w:val="none" w:sz="0" w:space="0" w:color="auto"/>
            <w:bottom w:val="none" w:sz="0" w:space="0" w:color="auto"/>
            <w:right w:val="none" w:sz="0" w:space="0" w:color="auto"/>
          </w:divBdr>
        </w:div>
        <w:div w:id="767042290">
          <w:marLeft w:val="0"/>
          <w:marRight w:val="0"/>
          <w:marTop w:val="0"/>
          <w:marBottom w:val="0"/>
          <w:divBdr>
            <w:top w:val="none" w:sz="0" w:space="0" w:color="auto"/>
            <w:left w:val="none" w:sz="0" w:space="0" w:color="auto"/>
            <w:bottom w:val="none" w:sz="0" w:space="0" w:color="auto"/>
            <w:right w:val="none" w:sz="0" w:space="0" w:color="auto"/>
          </w:divBdr>
        </w:div>
        <w:div w:id="1012873751">
          <w:marLeft w:val="0"/>
          <w:marRight w:val="0"/>
          <w:marTop w:val="0"/>
          <w:marBottom w:val="0"/>
          <w:divBdr>
            <w:top w:val="none" w:sz="0" w:space="0" w:color="auto"/>
            <w:left w:val="none" w:sz="0" w:space="0" w:color="auto"/>
            <w:bottom w:val="none" w:sz="0" w:space="0" w:color="auto"/>
            <w:right w:val="none" w:sz="0" w:space="0" w:color="auto"/>
          </w:divBdr>
        </w:div>
      </w:divsChild>
    </w:div>
    <w:div w:id="311913120">
      <w:bodyDiv w:val="1"/>
      <w:marLeft w:val="0"/>
      <w:marRight w:val="0"/>
      <w:marTop w:val="0"/>
      <w:marBottom w:val="0"/>
      <w:divBdr>
        <w:top w:val="none" w:sz="0" w:space="0" w:color="auto"/>
        <w:left w:val="none" w:sz="0" w:space="0" w:color="auto"/>
        <w:bottom w:val="none" w:sz="0" w:space="0" w:color="auto"/>
        <w:right w:val="none" w:sz="0" w:space="0" w:color="auto"/>
      </w:divBdr>
    </w:div>
    <w:div w:id="324937851">
      <w:bodyDiv w:val="1"/>
      <w:marLeft w:val="0"/>
      <w:marRight w:val="0"/>
      <w:marTop w:val="0"/>
      <w:marBottom w:val="0"/>
      <w:divBdr>
        <w:top w:val="none" w:sz="0" w:space="0" w:color="auto"/>
        <w:left w:val="none" w:sz="0" w:space="0" w:color="auto"/>
        <w:bottom w:val="none" w:sz="0" w:space="0" w:color="auto"/>
        <w:right w:val="none" w:sz="0" w:space="0" w:color="auto"/>
      </w:divBdr>
    </w:div>
    <w:div w:id="349065996">
      <w:bodyDiv w:val="1"/>
      <w:marLeft w:val="0"/>
      <w:marRight w:val="0"/>
      <w:marTop w:val="0"/>
      <w:marBottom w:val="0"/>
      <w:divBdr>
        <w:top w:val="none" w:sz="0" w:space="0" w:color="auto"/>
        <w:left w:val="none" w:sz="0" w:space="0" w:color="auto"/>
        <w:bottom w:val="none" w:sz="0" w:space="0" w:color="auto"/>
        <w:right w:val="none" w:sz="0" w:space="0" w:color="auto"/>
      </w:divBdr>
    </w:div>
    <w:div w:id="351418023">
      <w:bodyDiv w:val="1"/>
      <w:marLeft w:val="0"/>
      <w:marRight w:val="0"/>
      <w:marTop w:val="0"/>
      <w:marBottom w:val="0"/>
      <w:divBdr>
        <w:top w:val="none" w:sz="0" w:space="0" w:color="auto"/>
        <w:left w:val="none" w:sz="0" w:space="0" w:color="auto"/>
        <w:bottom w:val="none" w:sz="0" w:space="0" w:color="auto"/>
        <w:right w:val="none" w:sz="0" w:space="0" w:color="auto"/>
      </w:divBdr>
    </w:div>
    <w:div w:id="362288782">
      <w:bodyDiv w:val="1"/>
      <w:marLeft w:val="0"/>
      <w:marRight w:val="0"/>
      <w:marTop w:val="0"/>
      <w:marBottom w:val="0"/>
      <w:divBdr>
        <w:top w:val="none" w:sz="0" w:space="0" w:color="auto"/>
        <w:left w:val="none" w:sz="0" w:space="0" w:color="auto"/>
        <w:bottom w:val="none" w:sz="0" w:space="0" w:color="auto"/>
        <w:right w:val="none" w:sz="0" w:space="0" w:color="auto"/>
      </w:divBdr>
    </w:div>
    <w:div w:id="369957622">
      <w:bodyDiv w:val="1"/>
      <w:marLeft w:val="0"/>
      <w:marRight w:val="0"/>
      <w:marTop w:val="0"/>
      <w:marBottom w:val="0"/>
      <w:divBdr>
        <w:top w:val="none" w:sz="0" w:space="0" w:color="auto"/>
        <w:left w:val="none" w:sz="0" w:space="0" w:color="auto"/>
        <w:bottom w:val="none" w:sz="0" w:space="0" w:color="auto"/>
        <w:right w:val="none" w:sz="0" w:space="0" w:color="auto"/>
      </w:divBdr>
    </w:div>
    <w:div w:id="380443506">
      <w:bodyDiv w:val="1"/>
      <w:marLeft w:val="0"/>
      <w:marRight w:val="0"/>
      <w:marTop w:val="0"/>
      <w:marBottom w:val="0"/>
      <w:divBdr>
        <w:top w:val="none" w:sz="0" w:space="0" w:color="auto"/>
        <w:left w:val="none" w:sz="0" w:space="0" w:color="auto"/>
        <w:bottom w:val="none" w:sz="0" w:space="0" w:color="auto"/>
        <w:right w:val="none" w:sz="0" w:space="0" w:color="auto"/>
      </w:divBdr>
    </w:div>
    <w:div w:id="381255217">
      <w:bodyDiv w:val="1"/>
      <w:marLeft w:val="0"/>
      <w:marRight w:val="0"/>
      <w:marTop w:val="0"/>
      <w:marBottom w:val="0"/>
      <w:divBdr>
        <w:top w:val="none" w:sz="0" w:space="0" w:color="auto"/>
        <w:left w:val="none" w:sz="0" w:space="0" w:color="auto"/>
        <w:bottom w:val="none" w:sz="0" w:space="0" w:color="auto"/>
        <w:right w:val="none" w:sz="0" w:space="0" w:color="auto"/>
      </w:divBdr>
    </w:div>
    <w:div w:id="392461783">
      <w:bodyDiv w:val="1"/>
      <w:marLeft w:val="0"/>
      <w:marRight w:val="0"/>
      <w:marTop w:val="0"/>
      <w:marBottom w:val="0"/>
      <w:divBdr>
        <w:top w:val="none" w:sz="0" w:space="0" w:color="auto"/>
        <w:left w:val="none" w:sz="0" w:space="0" w:color="auto"/>
        <w:bottom w:val="none" w:sz="0" w:space="0" w:color="auto"/>
        <w:right w:val="none" w:sz="0" w:space="0" w:color="auto"/>
      </w:divBdr>
    </w:div>
    <w:div w:id="396781195">
      <w:bodyDiv w:val="1"/>
      <w:marLeft w:val="0"/>
      <w:marRight w:val="0"/>
      <w:marTop w:val="0"/>
      <w:marBottom w:val="0"/>
      <w:divBdr>
        <w:top w:val="none" w:sz="0" w:space="0" w:color="auto"/>
        <w:left w:val="none" w:sz="0" w:space="0" w:color="auto"/>
        <w:bottom w:val="none" w:sz="0" w:space="0" w:color="auto"/>
        <w:right w:val="none" w:sz="0" w:space="0" w:color="auto"/>
      </w:divBdr>
    </w:div>
    <w:div w:id="412163507">
      <w:bodyDiv w:val="1"/>
      <w:marLeft w:val="0"/>
      <w:marRight w:val="0"/>
      <w:marTop w:val="0"/>
      <w:marBottom w:val="0"/>
      <w:divBdr>
        <w:top w:val="none" w:sz="0" w:space="0" w:color="auto"/>
        <w:left w:val="none" w:sz="0" w:space="0" w:color="auto"/>
        <w:bottom w:val="none" w:sz="0" w:space="0" w:color="auto"/>
        <w:right w:val="none" w:sz="0" w:space="0" w:color="auto"/>
      </w:divBdr>
    </w:div>
    <w:div w:id="423499941">
      <w:bodyDiv w:val="1"/>
      <w:marLeft w:val="0"/>
      <w:marRight w:val="0"/>
      <w:marTop w:val="0"/>
      <w:marBottom w:val="0"/>
      <w:divBdr>
        <w:top w:val="none" w:sz="0" w:space="0" w:color="auto"/>
        <w:left w:val="none" w:sz="0" w:space="0" w:color="auto"/>
        <w:bottom w:val="none" w:sz="0" w:space="0" w:color="auto"/>
        <w:right w:val="none" w:sz="0" w:space="0" w:color="auto"/>
      </w:divBdr>
    </w:div>
    <w:div w:id="426074255">
      <w:bodyDiv w:val="1"/>
      <w:marLeft w:val="0"/>
      <w:marRight w:val="0"/>
      <w:marTop w:val="0"/>
      <w:marBottom w:val="0"/>
      <w:divBdr>
        <w:top w:val="none" w:sz="0" w:space="0" w:color="auto"/>
        <w:left w:val="none" w:sz="0" w:space="0" w:color="auto"/>
        <w:bottom w:val="none" w:sz="0" w:space="0" w:color="auto"/>
        <w:right w:val="none" w:sz="0" w:space="0" w:color="auto"/>
      </w:divBdr>
    </w:div>
    <w:div w:id="426997818">
      <w:bodyDiv w:val="1"/>
      <w:marLeft w:val="0"/>
      <w:marRight w:val="0"/>
      <w:marTop w:val="0"/>
      <w:marBottom w:val="0"/>
      <w:divBdr>
        <w:top w:val="none" w:sz="0" w:space="0" w:color="auto"/>
        <w:left w:val="none" w:sz="0" w:space="0" w:color="auto"/>
        <w:bottom w:val="none" w:sz="0" w:space="0" w:color="auto"/>
        <w:right w:val="none" w:sz="0" w:space="0" w:color="auto"/>
      </w:divBdr>
    </w:div>
    <w:div w:id="461924942">
      <w:bodyDiv w:val="1"/>
      <w:marLeft w:val="0"/>
      <w:marRight w:val="0"/>
      <w:marTop w:val="0"/>
      <w:marBottom w:val="0"/>
      <w:divBdr>
        <w:top w:val="none" w:sz="0" w:space="0" w:color="auto"/>
        <w:left w:val="none" w:sz="0" w:space="0" w:color="auto"/>
        <w:bottom w:val="none" w:sz="0" w:space="0" w:color="auto"/>
        <w:right w:val="none" w:sz="0" w:space="0" w:color="auto"/>
      </w:divBdr>
    </w:div>
    <w:div w:id="468280874">
      <w:bodyDiv w:val="1"/>
      <w:marLeft w:val="0"/>
      <w:marRight w:val="0"/>
      <w:marTop w:val="0"/>
      <w:marBottom w:val="0"/>
      <w:divBdr>
        <w:top w:val="none" w:sz="0" w:space="0" w:color="auto"/>
        <w:left w:val="none" w:sz="0" w:space="0" w:color="auto"/>
        <w:bottom w:val="none" w:sz="0" w:space="0" w:color="auto"/>
        <w:right w:val="none" w:sz="0" w:space="0" w:color="auto"/>
      </w:divBdr>
    </w:div>
    <w:div w:id="477496074">
      <w:bodyDiv w:val="1"/>
      <w:marLeft w:val="0"/>
      <w:marRight w:val="0"/>
      <w:marTop w:val="0"/>
      <w:marBottom w:val="0"/>
      <w:divBdr>
        <w:top w:val="none" w:sz="0" w:space="0" w:color="auto"/>
        <w:left w:val="none" w:sz="0" w:space="0" w:color="auto"/>
        <w:bottom w:val="none" w:sz="0" w:space="0" w:color="auto"/>
        <w:right w:val="none" w:sz="0" w:space="0" w:color="auto"/>
      </w:divBdr>
    </w:div>
    <w:div w:id="479150912">
      <w:bodyDiv w:val="1"/>
      <w:marLeft w:val="0"/>
      <w:marRight w:val="0"/>
      <w:marTop w:val="0"/>
      <w:marBottom w:val="0"/>
      <w:divBdr>
        <w:top w:val="none" w:sz="0" w:space="0" w:color="auto"/>
        <w:left w:val="none" w:sz="0" w:space="0" w:color="auto"/>
        <w:bottom w:val="none" w:sz="0" w:space="0" w:color="auto"/>
        <w:right w:val="none" w:sz="0" w:space="0" w:color="auto"/>
      </w:divBdr>
    </w:div>
    <w:div w:id="491524626">
      <w:bodyDiv w:val="1"/>
      <w:marLeft w:val="0"/>
      <w:marRight w:val="0"/>
      <w:marTop w:val="0"/>
      <w:marBottom w:val="0"/>
      <w:divBdr>
        <w:top w:val="none" w:sz="0" w:space="0" w:color="auto"/>
        <w:left w:val="none" w:sz="0" w:space="0" w:color="auto"/>
        <w:bottom w:val="none" w:sz="0" w:space="0" w:color="auto"/>
        <w:right w:val="none" w:sz="0" w:space="0" w:color="auto"/>
      </w:divBdr>
    </w:div>
    <w:div w:id="499740408">
      <w:bodyDiv w:val="1"/>
      <w:marLeft w:val="0"/>
      <w:marRight w:val="0"/>
      <w:marTop w:val="0"/>
      <w:marBottom w:val="0"/>
      <w:divBdr>
        <w:top w:val="none" w:sz="0" w:space="0" w:color="auto"/>
        <w:left w:val="none" w:sz="0" w:space="0" w:color="auto"/>
        <w:bottom w:val="none" w:sz="0" w:space="0" w:color="auto"/>
        <w:right w:val="none" w:sz="0" w:space="0" w:color="auto"/>
      </w:divBdr>
    </w:div>
    <w:div w:id="506749841">
      <w:bodyDiv w:val="1"/>
      <w:marLeft w:val="0"/>
      <w:marRight w:val="0"/>
      <w:marTop w:val="0"/>
      <w:marBottom w:val="0"/>
      <w:divBdr>
        <w:top w:val="none" w:sz="0" w:space="0" w:color="auto"/>
        <w:left w:val="none" w:sz="0" w:space="0" w:color="auto"/>
        <w:bottom w:val="none" w:sz="0" w:space="0" w:color="auto"/>
        <w:right w:val="none" w:sz="0" w:space="0" w:color="auto"/>
      </w:divBdr>
    </w:div>
    <w:div w:id="513496442">
      <w:bodyDiv w:val="1"/>
      <w:marLeft w:val="0"/>
      <w:marRight w:val="0"/>
      <w:marTop w:val="0"/>
      <w:marBottom w:val="0"/>
      <w:divBdr>
        <w:top w:val="none" w:sz="0" w:space="0" w:color="auto"/>
        <w:left w:val="none" w:sz="0" w:space="0" w:color="auto"/>
        <w:bottom w:val="none" w:sz="0" w:space="0" w:color="auto"/>
        <w:right w:val="none" w:sz="0" w:space="0" w:color="auto"/>
      </w:divBdr>
    </w:div>
    <w:div w:id="536163399">
      <w:bodyDiv w:val="1"/>
      <w:marLeft w:val="0"/>
      <w:marRight w:val="0"/>
      <w:marTop w:val="0"/>
      <w:marBottom w:val="0"/>
      <w:divBdr>
        <w:top w:val="none" w:sz="0" w:space="0" w:color="auto"/>
        <w:left w:val="none" w:sz="0" w:space="0" w:color="auto"/>
        <w:bottom w:val="none" w:sz="0" w:space="0" w:color="auto"/>
        <w:right w:val="none" w:sz="0" w:space="0" w:color="auto"/>
      </w:divBdr>
    </w:div>
    <w:div w:id="542451573">
      <w:bodyDiv w:val="1"/>
      <w:marLeft w:val="0"/>
      <w:marRight w:val="0"/>
      <w:marTop w:val="0"/>
      <w:marBottom w:val="0"/>
      <w:divBdr>
        <w:top w:val="none" w:sz="0" w:space="0" w:color="auto"/>
        <w:left w:val="none" w:sz="0" w:space="0" w:color="auto"/>
        <w:bottom w:val="none" w:sz="0" w:space="0" w:color="auto"/>
        <w:right w:val="none" w:sz="0" w:space="0" w:color="auto"/>
      </w:divBdr>
    </w:div>
    <w:div w:id="554853548">
      <w:bodyDiv w:val="1"/>
      <w:marLeft w:val="0"/>
      <w:marRight w:val="0"/>
      <w:marTop w:val="0"/>
      <w:marBottom w:val="0"/>
      <w:divBdr>
        <w:top w:val="none" w:sz="0" w:space="0" w:color="auto"/>
        <w:left w:val="none" w:sz="0" w:space="0" w:color="auto"/>
        <w:bottom w:val="none" w:sz="0" w:space="0" w:color="auto"/>
        <w:right w:val="none" w:sz="0" w:space="0" w:color="auto"/>
      </w:divBdr>
    </w:div>
    <w:div w:id="581138508">
      <w:bodyDiv w:val="1"/>
      <w:marLeft w:val="0"/>
      <w:marRight w:val="0"/>
      <w:marTop w:val="0"/>
      <w:marBottom w:val="0"/>
      <w:divBdr>
        <w:top w:val="none" w:sz="0" w:space="0" w:color="auto"/>
        <w:left w:val="none" w:sz="0" w:space="0" w:color="auto"/>
        <w:bottom w:val="none" w:sz="0" w:space="0" w:color="auto"/>
        <w:right w:val="none" w:sz="0" w:space="0" w:color="auto"/>
      </w:divBdr>
    </w:div>
    <w:div w:id="585574988">
      <w:bodyDiv w:val="1"/>
      <w:marLeft w:val="0"/>
      <w:marRight w:val="0"/>
      <w:marTop w:val="0"/>
      <w:marBottom w:val="0"/>
      <w:divBdr>
        <w:top w:val="none" w:sz="0" w:space="0" w:color="auto"/>
        <w:left w:val="none" w:sz="0" w:space="0" w:color="auto"/>
        <w:bottom w:val="none" w:sz="0" w:space="0" w:color="auto"/>
        <w:right w:val="none" w:sz="0" w:space="0" w:color="auto"/>
      </w:divBdr>
    </w:div>
    <w:div w:id="585967870">
      <w:bodyDiv w:val="1"/>
      <w:marLeft w:val="0"/>
      <w:marRight w:val="0"/>
      <w:marTop w:val="0"/>
      <w:marBottom w:val="0"/>
      <w:divBdr>
        <w:top w:val="none" w:sz="0" w:space="0" w:color="auto"/>
        <w:left w:val="none" w:sz="0" w:space="0" w:color="auto"/>
        <w:bottom w:val="none" w:sz="0" w:space="0" w:color="auto"/>
        <w:right w:val="none" w:sz="0" w:space="0" w:color="auto"/>
      </w:divBdr>
    </w:div>
    <w:div w:id="595597440">
      <w:bodyDiv w:val="1"/>
      <w:marLeft w:val="0"/>
      <w:marRight w:val="0"/>
      <w:marTop w:val="0"/>
      <w:marBottom w:val="0"/>
      <w:divBdr>
        <w:top w:val="none" w:sz="0" w:space="0" w:color="auto"/>
        <w:left w:val="none" w:sz="0" w:space="0" w:color="auto"/>
        <w:bottom w:val="none" w:sz="0" w:space="0" w:color="auto"/>
        <w:right w:val="none" w:sz="0" w:space="0" w:color="auto"/>
      </w:divBdr>
    </w:div>
    <w:div w:id="600796873">
      <w:bodyDiv w:val="1"/>
      <w:marLeft w:val="0"/>
      <w:marRight w:val="0"/>
      <w:marTop w:val="0"/>
      <w:marBottom w:val="0"/>
      <w:divBdr>
        <w:top w:val="none" w:sz="0" w:space="0" w:color="auto"/>
        <w:left w:val="none" w:sz="0" w:space="0" w:color="auto"/>
        <w:bottom w:val="none" w:sz="0" w:space="0" w:color="auto"/>
        <w:right w:val="none" w:sz="0" w:space="0" w:color="auto"/>
      </w:divBdr>
    </w:div>
    <w:div w:id="610747835">
      <w:bodyDiv w:val="1"/>
      <w:marLeft w:val="0"/>
      <w:marRight w:val="0"/>
      <w:marTop w:val="0"/>
      <w:marBottom w:val="0"/>
      <w:divBdr>
        <w:top w:val="none" w:sz="0" w:space="0" w:color="auto"/>
        <w:left w:val="none" w:sz="0" w:space="0" w:color="auto"/>
        <w:bottom w:val="none" w:sz="0" w:space="0" w:color="auto"/>
        <w:right w:val="none" w:sz="0" w:space="0" w:color="auto"/>
      </w:divBdr>
    </w:div>
    <w:div w:id="614480855">
      <w:bodyDiv w:val="1"/>
      <w:marLeft w:val="0"/>
      <w:marRight w:val="0"/>
      <w:marTop w:val="0"/>
      <w:marBottom w:val="0"/>
      <w:divBdr>
        <w:top w:val="none" w:sz="0" w:space="0" w:color="auto"/>
        <w:left w:val="none" w:sz="0" w:space="0" w:color="auto"/>
        <w:bottom w:val="none" w:sz="0" w:space="0" w:color="auto"/>
        <w:right w:val="none" w:sz="0" w:space="0" w:color="auto"/>
      </w:divBdr>
    </w:div>
    <w:div w:id="636184131">
      <w:bodyDiv w:val="1"/>
      <w:marLeft w:val="0"/>
      <w:marRight w:val="0"/>
      <w:marTop w:val="0"/>
      <w:marBottom w:val="0"/>
      <w:divBdr>
        <w:top w:val="none" w:sz="0" w:space="0" w:color="auto"/>
        <w:left w:val="none" w:sz="0" w:space="0" w:color="auto"/>
        <w:bottom w:val="none" w:sz="0" w:space="0" w:color="auto"/>
        <w:right w:val="none" w:sz="0" w:space="0" w:color="auto"/>
      </w:divBdr>
    </w:div>
    <w:div w:id="641236568">
      <w:bodyDiv w:val="1"/>
      <w:marLeft w:val="0"/>
      <w:marRight w:val="0"/>
      <w:marTop w:val="0"/>
      <w:marBottom w:val="0"/>
      <w:divBdr>
        <w:top w:val="none" w:sz="0" w:space="0" w:color="auto"/>
        <w:left w:val="none" w:sz="0" w:space="0" w:color="auto"/>
        <w:bottom w:val="none" w:sz="0" w:space="0" w:color="auto"/>
        <w:right w:val="none" w:sz="0" w:space="0" w:color="auto"/>
      </w:divBdr>
    </w:div>
    <w:div w:id="659043056">
      <w:bodyDiv w:val="1"/>
      <w:marLeft w:val="0"/>
      <w:marRight w:val="0"/>
      <w:marTop w:val="0"/>
      <w:marBottom w:val="0"/>
      <w:divBdr>
        <w:top w:val="none" w:sz="0" w:space="0" w:color="auto"/>
        <w:left w:val="none" w:sz="0" w:space="0" w:color="auto"/>
        <w:bottom w:val="none" w:sz="0" w:space="0" w:color="auto"/>
        <w:right w:val="none" w:sz="0" w:space="0" w:color="auto"/>
      </w:divBdr>
    </w:div>
    <w:div w:id="672683475">
      <w:bodyDiv w:val="1"/>
      <w:marLeft w:val="0"/>
      <w:marRight w:val="0"/>
      <w:marTop w:val="0"/>
      <w:marBottom w:val="0"/>
      <w:divBdr>
        <w:top w:val="none" w:sz="0" w:space="0" w:color="auto"/>
        <w:left w:val="none" w:sz="0" w:space="0" w:color="auto"/>
        <w:bottom w:val="none" w:sz="0" w:space="0" w:color="auto"/>
        <w:right w:val="none" w:sz="0" w:space="0" w:color="auto"/>
      </w:divBdr>
    </w:div>
    <w:div w:id="674498835">
      <w:bodyDiv w:val="1"/>
      <w:marLeft w:val="0"/>
      <w:marRight w:val="0"/>
      <w:marTop w:val="0"/>
      <w:marBottom w:val="0"/>
      <w:divBdr>
        <w:top w:val="none" w:sz="0" w:space="0" w:color="auto"/>
        <w:left w:val="none" w:sz="0" w:space="0" w:color="auto"/>
        <w:bottom w:val="none" w:sz="0" w:space="0" w:color="auto"/>
        <w:right w:val="none" w:sz="0" w:space="0" w:color="auto"/>
      </w:divBdr>
    </w:div>
    <w:div w:id="677124619">
      <w:bodyDiv w:val="1"/>
      <w:marLeft w:val="0"/>
      <w:marRight w:val="0"/>
      <w:marTop w:val="0"/>
      <w:marBottom w:val="0"/>
      <w:divBdr>
        <w:top w:val="none" w:sz="0" w:space="0" w:color="auto"/>
        <w:left w:val="none" w:sz="0" w:space="0" w:color="auto"/>
        <w:bottom w:val="none" w:sz="0" w:space="0" w:color="auto"/>
        <w:right w:val="none" w:sz="0" w:space="0" w:color="auto"/>
      </w:divBdr>
    </w:div>
    <w:div w:id="678848170">
      <w:bodyDiv w:val="1"/>
      <w:marLeft w:val="0"/>
      <w:marRight w:val="0"/>
      <w:marTop w:val="0"/>
      <w:marBottom w:val="0"/>
      <w:divBdr>
        <w:top w:val="none" w:sz="0" w:space="0" w:color="auto"/>
        <w:left w:val="none" w:sz="0" w:space="0" w:color="auto"/>
        <w:bottom w:val="none" w:sz="0" w:space="0" w:color="auto"/>
        <w:right w:val="none" w:sz="0" w:space="0" w:color="auto"/>
      </w:divBdr>
    </w:div>
    <w:div w:id="753941274">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804351602">
      <w:bodyDiv w:val="1"/>
      <w:marLeft w:val="0"/>
      <w:marRight w:val="0"/>
      <w:marTop w:val="0"/>
      <w:marBottom w:val="0"/>
      <w:divBdr>
        <w:top w:val="none" w:sz="0" w:space="0" w:color="auto"/>
        <w:left w:val="none" w:sz="0" w:space="0" w:color="auto"/>
        <w:bottom w:val="none" w:sz="0" w:space="0" w:color="auto"/>
        <w:right w:val="none" w:sz="0" w:space="0" w:color="auto"/>
      </w:divBdr>
    </w:div>
    <w:div w:id="805467611">
      <w:bodyDiv w:val="1"/>
      <w:marLeft w:val="0"/>
      <w:marRight w:val="0"/>
      <w:marTop w:val="0"/>
      <w:marBottom w:val="0"/>
      <w:divBdr>
        <w:top w:val="none" w:sz="0" w:space="0" w:color="auto"/>
        <w:left w:val="none" w:sz="0" w:space="0" w:color="auto"/>
        <w:bottom w:val="none" w:sz="0" w:space="0" w:color="auto"/>
        <w:right w:val="none" w:sz="0" w:space="0" w:color="auto"/>
      </w:divBdr>
    </w:div>
    <w:div w:id="828060876">
      <w:bodyDiv w:val="1"/>
      <w:marLeft w:val="0"/>
      <w:marRight w:val="0"/>
      <w:marTop w:val="0"/>
      <w:marBottom w:val="0"/>
      <w:divBdr>
        <w:top w:val="none" w:sz="0" w:space="0" w:color="auto"/>
        <w:left w:val="none" w:sz="0" w:space="0" w:color="auto"/>
        <w:bottom w:val="none" w:sz="0" w:space="0" w:color="auto"/>
        <w:right w:val="none" w:sz="0" w:space="0" w:color="auto"/>
      </w:divBdr>
    </w:div>
    <w:div w:id="829566058">
      <w:bodyDiv w:val="1"/>
      <w:marLeft w:val="0"/>
      <w:marRight w:val="0"/>
      <w:marTop w:val="0"/>
      <w:marBottom w:val="0"/>
      <w:divBdr>
        <w:top w:val="none" w:sz="0" w:space="0" w:color="auto"/>
        <w:left w:val="none" w:sz="0" w:space="0" w:color="auto"/>
        <w:bottom w:val="none" w:sz="0" w:space="0" w:color="auto"/>
        <w:right w:val="none" w:sz="0" w:space="0" w:color="auto"/>
      </w:divBdr>
    </w:div>
    <w:div w:id="880482827">
      <w:bodyDiv w:val="1"/>
      <w:marLeft w:val="0"/>
      <w:marRight w:val="0"/>
      <w:marTop w:val="0"/>
      <w:marBottom w:val="0"/>
      <w:divBdr>
        <w:top w:val="none" w:sz="0" w:space="0" w:color="auto"/>
        <w:left w:val="none" w:sz="0" w:space="0" w:color="auto"/>
        <w:bottom w:val="none" w:sz="0" w:space="0" w:color="auto"/>
        <w:right w:val="none" w:sz="0" w:space="0" w:color="auto"/>
      </w:divBdr>
    </w:div>
    <w:div w:id="890383073">
      <w:bodyDiv w:val="1"/>
      <w:marLeft w:val="0"/>
      <w:marRight w:val="0"/>
      <w:marTop w:val="0"/>
      <w:marBottom w:val="0"/>
      <w:divBdr>
        <w:top w:val="none" w:sz="0" w:space="0" w:color="auto"/>
        <w:left w:val="none" w:sz="0" w:space="0" w:color="auto"/>
        <w:bottom w:val="none" w:sz="0" w:space="0" w:color="auto"/>
        <w:right w:val="none" w:sz="0" w:space="0" w:color="auto"/>
      </w:divBdr>
    </w:div>
    <w:div w:id="892499579">
      <w:bodyDiv w:val="1"/>
      <w:marLeft w:val="0"/>
      <w:marRight w:val="0"/>
      <w:marTop w:val="0"/>
      <w:marBottom w:val="0"/>
      <w:divBdr>
        <w:top w:val="none" w:sz="0" w:space="0" w:color="auto"/>
        <w:left w:val="none" w:sz="0" w:space="0" w:color="auto"/>
        <w:bottom w:val="none" w:sz="0" w:space="0" w:color="auto"/>
        <w:right w:val="none" w:sz="0" w:space="0" w:color="auto"/>
      </w:divBdr>
    </w:div>
    <w:div w:id="897975107">
      <w:bodyDiv w:val="1"/>
      <w:marLeft w:val="0"/>
      <w:marRight w:val="0"/>
      <w:marTop w:val="0"/>
      <w:marBottom w:val="0"/>
      <w:divBdr>
        <w:top w:val="none" w:sz="0" w:space="0" w:color="auto"/>
        <w:left w:val="none" w:sz="0" w:space="0" w:color="auto"/>
        <w:bottom w:val="none" w:sz="0" w:space="0" w:color="auto"/>
        <w:right w:val="none" w:sz="0" w:space="0" w:color="auto"/>
      </w:divBdr>
    </w:div>
    <w:div w:id="915549081">
      <w:bodyDiv w:val="1"/>
      <w:marLeft w:val="0"/>
      <w:marRight w:val="0"/>
      <w:marTop w:val="0"/>
      <w:marBottom w:val="0"/>
      <w:divBdr>
        <w:top w:val="none" w:sz="0" w:space="0" w:color="auto"/>
        <w:left w:val="none" w:sz="0" w:space="0" w:color="auto"/>
        <w:bottom w:val="none" w:sz="0" w:space="0" w:color="auto"/>
        <w:right w:val="none" w:sz="0" w:space="0" w:color="auto"/>
      </w:divBdr>
    </w:div>
    <w:div w:id="978805509">
      <w:bodyDiv w:val="1"/>
      <w:marLeft w:val="0"/>
      <w:marRight w:val="0"/>
      <w:marTop w:val="0"/>
      <w:marBottom w:val="0"/>
      <w:divBdr>
        <w:top w:val="none" w:sz="0" w:space="0" w:color="auto"/>
        <w:left w:val="none" w:sz="0" w:space="0" w:color="auto"/>
        <w:bottom w:val="none" w:sz="0" w:space="0" w:color="auto"/>
        <w:right w:val="none" w:sz="0" w:space="0" w:color="auto"/>
      </w:divBdr>
    </w:div>
    <w:div w:id="993412216">
      <w:bodyDiv w:val="1"/>
      <w:marLeft w:val="0"/>
      <w:marRight w:val="0"/>
      <w:marTop w:val="0"/>
      <w:marBottom w:val="0"/>
      <w:divBdr>
        <w:top w:val="none" w:sz="0" w:space="0" w:color="auto"/>
        <w:left w:val="none" w:sz="0" w:space="0" w:color="auto"/>
        <w:bottom w:val="none" w:sz="0" w:space="0" w:color="auto"/>
        <w:right w:val="none" w:sz="0" w:space="0" w:color="auto"/>
      </w:divBdr>
    </w:div>
    <w:div w:id="1015575646">
      <w:bodyDiv w:val="1"/>
      <w:marLeft w:val="0"/>
      <w:marRight w:val="0"/>
      <w:marTop w:val="0"/>
      <w:marBottom w:val="0"/>
      <w:divBdr>
        <w:top w:val="none" w:sz="0" w:space="0" w:color="auto"/>
        <w:left w:val="none" w:sz="0" w:space="0" w:color="auto"/>
        <w:bottom w:val="none" w:sz="0" w:space="0" w:color="auto"/>
        <w:right w:val="none" w:sz="0" w:space="0" w:color="auto"/>
      </w:divBdr>
    </w:div>
    <w:div w:id="1024554414">
      <w:bodyDiv w:val="1"/>
      <w:marLeft w:val="0"/>
      <w:marRight w:val="0"/>
      <w:marTop w:val="0"/>
      <w:marBottom w:val="0"/>
      <w:divBdr>
        <w:top w:val="none" w:sz="0" w:space="0" w:color="auto"/>
        <w:left w:val="none" w:sz="0" w:space="0" w:color="auto"/>
        <w:bottom w:val="none" w:sz="0" w:space="0" w:color="auto"/>
        <w:right w:val="none" w:sz="0" w:space="0" w:color="auto"/>
      </w:divBdr>
    </w:div>
    <w:div w:id="1055081674">
      <w:bodyDiv w:val="1"/>
      <w:marLeft w:val="0"/>
      <w:marRight w:val="0"/>
      <w:marTop w:val="0"/>
      <w:marBottom w:val="0"/>
      <w:divBdr>
        <w:top w:val="none" w:sz="0" w:space="0" w:color="auto"/>
        <w:left w:val="none" w:sz="0" w:space="0" w:color="auto"/>
        <w:bottom w:val="none" w:sz="0" w:space="0" w:color="auto"/>
        <w:right w:val="none" w:sz="0" w:space="0" w:color="auto"/>
      </w:divBdr>
      <w:divsChild>
        <w:div w:id="692877973">
          <w:marLeft w:val="0"/>
          <w:marRight w:val="0"/>
          <w:marTop w:val="0"/>
          <w:marBottom w:val="0"/>
          <w:divBdr>
            <w:top w:val="none" w:sz="0" w:space="0" w:color="auto"/>
            <w:left w:val="none" w:sz="0" w:space="0" w:color="auto"/>
            <w:bottom w:val="none" w:sz="0" w:space="0" w:color="auto"/>
            <w:right w:val="none" w:sz="0" w:space="0" w:color="auto"/>
          </w:divBdr>
        </w:div>
        <w:div w:id="860584074">
          <w:marLeft w:val="0"/>
          <w:marRight w:val="0"/>
          <w:marTop w:val="0"/>
          <w:marBottom w:val="0"/>
          <w:divBdr>
            <w:top w:val="none" w:sz="0" w:space="0" w:color="auto"/>
            <w:left w:val="none" w:sz="0" w:space="0" w:color="auto"/>
            <w:bottom w:val="none" w:sz="0" w:space="0" w:color="auto"/>
            <w:right w:val="none" w:sz="0" w:space="0" w:color="auto"/>
          </w:divBdr>
        </w:div>
        <w:div w:id="1445535897">
          <w:marLeft w:val="0"/>
          <w:marRight w:val="0"/>
          <w:marTop w:val="0"/>
          <w:marBottom w:val="0"/>
          <w:divBdr>
            <w:top w:val="none" w:sz="0" w:space="0" w:color="auto"/>
            <w:left w:val="none" w:sz="0" w:space="0" w:color="auto"/>
            <w:bottom w:val="none" w:sz="0" w:space="0" w:color="auto"/>
            <w:right w:val="none" w:sz="0" w:space="0" w:color="auto"/>
          </w:divBdr>
        </w:div>
        <w:div w:id="1778409724">
          <w:marLeft w:val="0"/>
          <w:marRight w:val="0"/>
          <w:marTop w:val="0"/>
          <w:marBottom w:val="0"/>
          <w:divBdr>
            <w:top w:val="none" w:sz="0" w:space="0" w:color="auto"/>
            <w:left w:val="none" w:sz="0" w:space="0" w:color="auto"/>
            <w:bottom w:val="none" w:sz="0" w:space="0" w:color="auto"/>
            <w:right w:val="none" w:sz="0" w:space="0" w:color="auto"/>
          </w:divBdr>
        </w:div>
        <w:div w:id="1784761940">
          <w:marLeft w:val="0"/>
          <w:marRight w:val="0"/>
          <w:marTop w:val="0"/>
          <w:marBottom w:val="0"/>
          <w:divBdr>
            <w:top w:val="none" w:sz="0" w:space="0" w:color="auto"/>
            <w:left w:val="none" w:sz="0" w:space="0" w:color="auto"/>
            <w:bottom w:val="none" w:sz="0" w:space="0" w:color="auto"/>
            <w:right w:val="none" w:sz="0" w:space="0" w:color="auto"/>
          </w:divBdr>
        </w:div>
        <w:div w:id="1829203598">
          <w:marLeft w:val="0"/>
          <w:marRight w:val="0"/>
          <w:marTop w:val="0"/>
          <w:marBottom w:val="0"/>
          <w:divBdr>
            <w:top w:val="none" w:sz="0" w:space="0" w:color="auto"/>
            <w:left w:val="none" w:sz="0" w:space="0" w:color="auto"/>
            <w:bottom w:val="none" w:sz="0" w:space="0" w:color="auto"/>
            <w:right w:val="none" w:sz="0" w:space="0" w:color="auto"/>
          </w:divBdr>
        </w:div>
        <w:div w:id="2049255681">
          <w:marLeft w:val="0"/>
          <w:marRight w:val="0"/>
          <w:marTop w:val="0"/>
          <w:marBottom w:val="0"/>
          <w:divBdr>
            <w:top w:val="none" w:sz="0" w:space="0" w:color="auto"/>
            <w:left w:val="none" w:sz="0" w:space="0" w:color="auto"/>
            <w:bottom w:val="none" w:sz="0" w:space="0" w:color="auto"/>
            <w:right w:val="none" w:sz="0" w:space="0" w:color="auto"/>
          </w:divBdr>
        </w:div>
      </w:divsChild>
    </w:div>
    <w:div w:id="1086654551">
      <w:bodyDiv w:val="1"/>
      <w:marLeft w:val="0"/>
      <w:marRight w:val="0"/>
      <w:marTop w:val="0"/>
      <w:marBottom w:val="0"/>
      <w:divBdr>
        <w:top w:val="none" w:sz="0" w:space="0" w:color="auto"/>
        <w:left w:val="none" w:sz="0" w:space="0" w:color="auto"/>
        <w:bottom w:val="none" w:sz="0" w:space="0" w:color="auto"/>
        <w:right w:val="none" w:sz="0" w:space="0" w:color="auto"/>
      </w:divBdr>
    </w:div>
    <w:div w:id="1114131413">
      <w:bodyDiv w:val="1"/>
      <w:marLeft w:val="0"/>
      <w:marRight w:val="0"/>
      <w:marTop w:val="0"/>
      <w:marBottom w:val="0"/>
      <w:divBdr>
        <w:top w:val="none" w:sz="0" w:space="0" w:color="auto"/>
        <w:left w:val="none" w:sz="0" w:space="0" w:color="auto"/>
        <w:bottom w:val="none" w:sz="0" w:space="0" w:color="auto"/>
        <w:right w:val="none" w:sz="0" w:space="0" w:color="auto"/>
      </w:divBdr>
    </w:div>
    <w:div w:id="1139149305">
      <w:bodyDiv w:val="1"/>
      <w:marLeft w:val="0"/>
      <w:marRight w:val="0"/>
      <w:marTop w:val="0"/>
      <w:marBottom w:val="0"/>
      <w:divBdr>
        <w:top w:val="none" w:sz="0" w:space="0" w:color="auto"/>
        <w:left w:val="none" w:sz="0" w:space="0" w:color="auto"/>
        <w:bottom w:val="none" w:sz="0" w:space="0" w:color="auto"/>
        <w:right w:val="none" w:sz="0" w:space="0" w:color="auto"/>
      </w:divBdr>
    </w:div>
    <w:div w:id="1155563259">
      <w:bodyDiv w:val="1"/>
      <w:marLeft w:val="0"/>
      <w:marRight w:val="0"/>
      <w:marTop w:val="0"/>
      <w:marBottom w:val="0"/>
      <w:divBdr>
        <w:top w:val="none" w:sz="0" w:space="0" w:color="auto"/>
        <w:left w:val="none" w:sz="0" w:space="0" w:color="auto"/>
        <w:bottom w:val="none" w:sz="0" w:space="0" w:color="auto"/>
        <w:right w:val="none" w:sz="0" w:space="0" w:color="auto"/>
      </w:divBdr>
    </w:div>
    <w:div w:id="1176962083">
      <w:bodyDiv w:val="1"/>
      <w:marLeft w:val="0"/>
      <w:marRight w:val="0"/>
      <w:marTop w:val="0"/>
      <w:marBottom w:val="0"/>
      <w:divBdr>
        <w:top w:val="none" w:sz="0" w:space="0" w:color="auto"/>
        <w:left w:val="none" w:sz="0" w:space="0" w:color="auto"/>
        <w:bottom w:val="none" w:sz="0" w:space="0" w:color="auto"/>
        <w:right w:val="none" w:sz="0" w:space="0" w:color="auto"/>
      </w:divBdr>
    </w:div>
    <w:div w:id="1199468585">
      <w:bodyDiv w:val="1"/>
      <w:marLeft w:val="0"/>
      <w:marRight w:val="0"/>
      <w:marTop w:val="0"/>
      <w:marBottom w:val="0"/>
      <w:divBdr>
        <w:top w:val="none" w:sz="0" w:space="0" w:color="auto"/>
        <w:left w:val="none" w:sz="0" w:space="0" w:color="auto"/>
        <w:bottom w:val="none" w:sz="0" w:space="0" w:color="auto"/>
        <w:right w:val="none" w:sz="0" w:space="0" w:color="auto"/>
      </w:divBdr>
    </w:div>
    <w:div w:id="1208225270">
      <w:bodyDiv w:val="1"/>
      <w:marLeft w:val="0"/>
      <w:marRight w:val="0"/>
      <w:marTop w:val="0"/>
      <w:marBottom w:val="0"/>
      <w:divBdr>
        <w:top w:val="none" w:sz="0" w:space="0" w:color="auto"/>
        <w:left w:val="none" w:sz="0" w:space="0" w:color="auto"/>
        <w:bottom w:val="none" w:sz="0" w:space="0" w:color="auto"/>
        <w:right w:val="none" w:sz="0" w:space="0" w:color="auto"/>
      </w:divBdr>
    </w:div>
    <w:div w:id="1228808816">
      <w:bodyDiv w:val="1"/>
      <w:marLeft w:val="0"/>
      <w:marRight w:val="0"/>
      <w:marTop w:val="0"/>
      <w:marBottom w:val="0"/>
      <w:divBdr>
        <w:top w:val="none" w:sz="0" w:space="0" w:color="auto"/>
        <w:left w:val="none" w:sz="0" w:space="0" w:color="auto"/>
        <w:bottom w:val="none" w:sz="0" w:space="0" w:color="auto"/>
        <w:right w:val="none" w:sz="0" w:space="0" w:color="auto"/>
      </w:divBdr>
    </w:div>
    <w:div w:id="1234773785">
      <w:bodyDiv w:val="1"/>
      <w:marLeft w:val="0"/>
      <w:marRight w:val="0"/>
      <w:marTop w:val="0"/>
      <w:marBottom w:val="0"/>
      <w:divBdr>
        <w:top w:val="none" w:sz="0" w:space="0" w:color="auto"/>
        <w:left w:val="none" w:sz="0" w:space="0" w:color="auto"/>
        <w:bottom w:val="none" w:sz="0" w:space="0" w:color="auto"/>
        <w:right w:val="none" w:sz="0" w:space="0" w:color="auto"/>
      </w:divBdr>
    </w:div>
    <w:div w:id="1246963993">
      <w:bodyDiv w:val="1"/>
      <w:marLeft w:val="0"/>
      <w:marRight w:val="0"/>
      <w:marTop w:val="0"/>
      <w:marBottom w:val="0"/>
      <w:divBdr>
        <w:top w:val="none" w:sz="0" w:space="0" w:color="auto"/>
        <w:left w:val="none" w:sz="0" w:space="0" w:color="auto"/>
        <w:bottom w:val="none" w:sz="0" w:space="0" w:color="auto"/>
        <w:right w:val="none" w:sz="0" w:space="0" w:color="auto"/>
      </w:divBdr>
    </w:div>
    <w:div w:id="1260286574">
      <w:bodyDiv w:val="1"/>
      <w:marLeft w:val="0"/>
      <w:marRight w:val="0"/>
      <w:marTop w:val="0"/>
      <w:marBottom w:val="0"/>
      <w:divBdr>
        <w:top w:val="none" w:sz="0" w:space="0" w:color="auto"/>
        <w:left w:val="none" w:sz="0" w:space="0" w:color="auto"/>
        <w:bottom w:val="none" w:sz="0" w:space="0" w:color="auto"/>
        <w:right w:val="none" w:sz="0" w:space="0" w:color="auto"/>
      </w:divBdr>
    </w:div>
    <w:div w:id="1265729233">
      <w:bodyDiv w:val="1"/>
      <w:marLeft w:val="0"/>
      <w:marRight w:val="0"/>
      <w:marTop w:val="0"/>
      <w:marBottom w:val="0"/>
      <w:divBdr>
        <w:top w:val="none" w:sz="0" w:space="0" w:color="auto"/>
        <w:left w:val="none" w:sz="0" w:space="0" w:color="auto"/>
        <w:bottom w:val="none" w:sz="0" w:space="0" w:color="auto"/>
        <w:right w:val="none" w:sz="0" w:space="0" w:color="auto"/>
      </w:divBdr>
    </w:div>
    <w:div w:id="1295910682">
      <w:bodyDiv w:val="1"/>
      <w:marLeft w:val="0"/>
      <w:marRight w:val="0"/>
      <w:marTop w:val="0"/>
      <w:marBottom w:val="0"/>
      <w:divBdr>
        <w:top w:val="none" w:sz="0" w:space="0" w:color="auto"/>
        <w:left w:val="none" w:sz="0" w:space="0" w:color="auto"/>
        <w:bottom w:val="none" w:sz="0" w:space="0" w:color="auto"/>
        <w:right w:val="none" w:sz="0" w:space="0" w:color="auto"/>
      </w:divBdr>
    </w:div>
    <w:div w:id="1325277672">
      <w:bodyDiv w:val="1"/>
      <w:marLeft w:val="0"/>
      <w:marRight w:val="0"/>
      <w:marTop w:val="0"/>
      <w:marBottom w:val="0"/>
      <w:divBdr>
        <w:top w:val="none" w:sz="0" w:space="0" w:color="auto"/>
        <w:left w:val="none" w:sz="0" w:space="0" w:color="auto"/>
        <w:bottom w:val="none" w:sz="0" w:space="0" w:color="auto"/>
        <w:right w:val="none" w:sz="0" w:space="0" w:color="auto"/>
      </w:divBdr>
    </w:div>
    <w:div w:id="1326664337">
      <w:bodyDiv w:val="1"/>
      <w:marLeft w:val="0"/>
      <w:marRight w:val="0"/>
      <w:marTop w:val="0"/>
      <w:marBottom w:val="0"/>
      <w:divBdr>
        <w:top w:val="none" w:sz="0" w:space="0" w:color="auto"/>
        <w:left w:val="none" w:sz="0" w:space="0" w:color="auto"/>
        <w:bottom w:val="none" w:sz="0" w:space="0" w:color="auto"/>
        <w:right w:val="none" w:sz="0" w:space="0" w:color="auto"/>
      </w:divBdr>
    </w:div>
    <w:div w:id="1337071800">
      <w:bodyDiv w:val="1"/>
      <w:marLeft w:val="0"/>
      <w:marRight w:val="0"/>
      <w:marTop w:val="0"/>
      <w:marBottom w:val="0"/>
      <w:divBdr>
        <w:top w:val="none" w:sz="0" w:space="0" w:color="auto"/>
        <w:left w:val="none" w:sz="0" w:space="0" w:color="auto"/>
        <w:bottom w:val="none" w:sz="0" w:space="0" w:color="auto"/>
        <w:right w:val="none" w:sz="0" w:space="0" w:color="auto"/>
      </w:divBdr>
    </w:div>
    <w:div w:id="1360283037">
      <w:bodyDiv w:val="1"/>
      <w:marLeft w:val="0"/>
      <w:marRight w:val="0"/>
      <w:marTop w:val="0"/>
      <w:marBottom w:val="0"/>
      <w:divBdr>
        <w:top w:val="none" w:sz="0" w:space="0" w:color="auto"/>
        <w:left w:val="none" w:sz="0" w:space="0" w:color="auto"/>
        <w:bottom w:val="none" w:sz="0" w:space="0" w:color="auto"/>
        <w:right w:val="none" w:sz="0" w:space="0" w:color="auto"/>
      </w:divBdr>
    </w:div>
    <w:div w:id="1413428633">
      <w:bodyDiv w:val="1"/>
      <w:marLeft w:val="0"/>
      <w:marRight w:val="0"/>
      <w:marTop w:val="0"/>
      <w:marBottom w:val="0"/>
      <w:divBdr>
        <w:top w:val="none" w:sz="0" w:space="0" w:color="auto"/>
        <w:left w:val="none" w:sz="0" w:space="0" w:color="auto"/>
        <w:bottom w:val="none" w:sz="0" w:space="0" w:color="auto"/>
        <w:right w:val="none" w:sz="0" w:space="0" w:color="auto"/>
      </w:divBdr>
    </w:div>
    <w:div w:id="1420251492">
      <w:bodyDiv w:val="1"/>
      <w:marLeft w:val="0"/>
      <w:marRight w:val="0"/>
      <w:marTop w:val="0"/>
      <w:marBottom w:val="0"/>
      <w:divBdr>
        <w:top w:val="none" w:sz="0" w:space="0" w:color="auto"/>
        <w:left w:val="none" w:sz="0" w:space="0" w:color="auto"/>
        <w:bottom w:val="none" w:sz="0" w:space="0" w:color="auto"/>
        <w:right w:val="none" w:sz="0" w:space="0" w:color="auto"/>
      </w:divBdr>
    </w:div>
    <w:div w:id="1431468121">
      <w:bodyDiv w:val="1"/>
      <w:marLeft w:val="0"/>
      <w:marRight w:val="0"/>
      <w:marTop w:val="0"/>
      <w:marBottom w:val="0"/>
      <w:divBdr>
        <w:top w:val="none" w:sz="0" w:space="0" w:color="auto"/>
        <w:left w:val="none" w:sz="0" w:space="0" w:color="auto"/>
        <w:bottom w:val="none" w:sz="0" w:space="0" w:color="auto"/>
        <w:right w:val="none" w:sz="0" w:space="0" w:color="auto"/>
      </w:divBdr>
    </w:div>
    <w:div w:id="1441023864">
      <w:bodyDiv w:val="1"/>
      <w:marLeft w:val="0"/>
      <w:marRight w:val="0"/>
      <w:marTop w:val="0"/>
      <w:marBottom w:val="0"/>
      <w:divBdr>
        <w:top w:val="none" w:sz="0" w:space="0" w:color="auto"/>
        <w:left w:val="none" w:sz="0" w:space="0" w:color="auto"/>
        <w:bottom w:val="none" w:sz="0" w:space="0" w:color="auto"/>
        <w:right w:val="none" w:sz="0" w:space="0" w:color="auto"/>
      </w:divBdr>
    </w:div>
    <w:div w:id="1448502537">
      <w:bodyDiv w:val="1"/>
      <w:marLeft w:val="0"/>
      <w:marRight w:val="0"/>
      <w:marTop w:val="0"/>
      <w:marBottom w:val="0"/>
      <w:divBdr>
        <w:top w:val="none" w:sz="0" w:space="0" w:color="auto"/>
        <w:left w:val="none" w:sz="0" w:space="0" w:color="auto"/>
        <w:bottom w:val="none" w:sz="0" w:space="0" w:color="auto"/>
        <w:right w:val="none" w:sz="0" w:space="0" w:color="auto"/>
      </w:divBdr>
    </w:div>
    <w:div w:id="1453787348">
      <w:bodyDiv w:val="1"/>
      <w:marLeft w:val="0"/>
      <w:marRight w:val="0"/>
      <w:marTop w:val="0"/>
      <w:marBottom w:val="0"/>
      <w:divBdr>
        <w:top w:val="none" w:sz="0" w:space="0" w:color="auto"/>
        <w:left w:val="none" w:sz="0" w:space="0" w:color="auto"/>
        <w:bottom w:val="none" w:sz="0" w:space="0" w:color="auto"/>
        <w:right w:val="none" w:sz="0" w:space="0" w:color="auto"/>
      </w:divBdr>
    </w:div>
    <w:div w:id="1471441379">
      <w:bodyDiv w:val="1"/>
      <w:marLeft w:val="0"/>
      <w:marRight w:val="0"/>
      <w:marTop w:val="0"/>
      <w:marBottom w:val="0"/>
      <w:divBdr>
        <w:top w:val="none" w:sz="0" w:space="0" w:color="auto"/>
        <w:left w:val="none" w:sz="0" w:space="0" w:color="auto"/>
        <w:bottom w:val="none" w:sz="0" w:space="0" w:color="auto"/>
        <w:right w:val="none" w:sz="0" w:space="0" w:color="auto"/>
      </w:divBdr>
    </w:div>
    <w:div w:id="1495225279">
      <w:bodyDiv w:val="1"/>
      <w:marLeft w:val="0"/>
      <w:marRight w:val="0"/>
      <w:marTop w:val="0"/>
      <w:marBottom w:val="0"/>
      <w:divBdr>
        <w:top w:val="none" w:sz="0" w:space="0" w:color="auto"/>
        <w:left w:val="none" w:sz="0" w:space="0" w:color="auto"/>
        <w:bottom w:val="none" w:sz="0" w:space="0" w:color="auto"/>
        <w:right w:val="none" w:sz="0" w:space="0" w:color="auto"/>
      </w:divBdr>
    </w:div>
    <w:div w:id="1514957866">
      <w:bodyDiv w:val="1"/>
      <w:marLeft w:val="0"/>
      <w:marRight w:val="0"/>
      <w:marTop w:val="0"/>
      <w:marBottom w:val="0"/>
      <w:divBdr>
        <w:top w:val="none" w:sz="0" w:space="0" w:color="auto"/>
        <w:left w:val="none" w:sz="0" w:space="0" w:color="auto"/>
        <w:bottom w:val="none" w:sz="0" w:space="0" w:color="auto"/>
        <w:right w:val="none" w:sz="0" w:space="0" w:color="auto"/>
      </w:divBdr>
    </w:div>
    <w:div w:id="1530798950">
      <w:bodyDiv w:val="1"/>
      <w:marLeft w:val="0"/>
      <w:marRight w:val="0"/>
      <w:marTop w:val="0"/>
      <w:marBottom w:val="0"/>
      <w:divBdr>
        <w:top w:val="none" w:sz="0" w:space="0" w:color="auto"/>
        <w:left w:val="none" w:sz="0" w:space="0" w:color="auto"/>
        <w:bottom w:val="none" w:sz="0" w:space="0" w:color="auto"/>
        <w:right w:val="none" w:sz="0" w:space="0" w:color="auto"/>
      </w:divBdr>
    </w:div>
    <w:div w:id="1564364463">
      <w:bodyDiv w:val="1"/>
      <w:marLeft w:val="0"/>
      <w:marRight w:val="0"/>
      <w:marTop w:val="0"/>
      <w:marBottom w:val="0"/>
      <w:divBdr>
        <w:top w:val="none" w:sz="0" w:space="0" w:color="auto"/>
        <w:left w:val="none" w:sz="0" w:space="0" w:color="auto"/>
        <w:bottom w:val="none" w:sz="0" w:space="0" w:color="auto"/>
        <w:right w:val="none" w:sz="0" w:space="0" w:color="auto"/>
      </w:divBdr>
    </w:div>
    <w:div w:id="1579972987">
      <w:bodyDiv w:val="1"/>
      <w:marLeft w:val="0"/>
      <w:marRight w:val="0"/>
      <w:marTop w:val="0"/>
      <w:marBottom w:val="0"/>
      <w:divBdr>
        <w:top w:val="none" w:sz="0" w:space="0" w:color="auto"/>
        <w:left w:val="none" w:sz="0" w:space="0" w:color="auto"/>
        <w:bottom w:val="none" w:sz="0" w:space="0" w:color="auto"/>
        <w:right w:val="none" w:sz="0" w:space="0" w:color="auto"/>
      </w:divBdr>
    </w:div>
    <w:div w:id="1656061096">
      <w:bodyDiv w:val="1"/>
      <w:marLeft w:val="0"/>
      <w:marRight w:val="0"/>
      <w:marTop w:val="0"/>
      <w:marBottom w:val="0"/>
      <w:divBdr>
        <w:top w:val="none" w:sz="0" w:space="0" w:color="auto"/>
        <w:left w:val="none" w:sz="0" w:space="0" w:color="auto"/>
        <w:bottom w:val="none" w:sz="0" w:space="0" w:color="auto"/>
        <w:right w:val="none" w:sz="0" w:space="0" w:color="auto"/>
      </w:divBdr>
    </w:div>
    <w:div w:id="1667249753">
      <w:bodyDiv w:val="1"/>
      <w:marLeft w:val="0"/>
      <w:marRight w:val="0"/>
      <w:marTop w:val="0"/>
      <w:marBottom w:val="0"/>
      <w:divBdr>
        <w:top w:val="none" w:sz="0" w:space="0" w:color="auto"/>
        <w:left w:val="none" w:sz="0" w:space="0" w:color="auto"/>
        <w:bottom w:val="none" w:sz="0" w:space="0" w:color="auto"/>
        <w:right w:val="none" w:sz="0" w:space="0" w:color="auto"/>
      </w:divBdr>
    </w:div>
    <w:div w:id="1692296936">
      <w:bodyDiv w:val="1"/>
      <w:marLeft w:val="0"/>
      <w:marRight w:val="0"/>
      <w:marTop w:val="0"/>
      <w:marBottom w:val="0"/>
      <w:divBdr>
        <w:top w:val="none" w:sz="0" w:space="0" w:color="auto"/>
        <w:left w:val="none" w:sz="0" w:space="0" w:color="auto"/>
        <w:bottom w:val="none" w:sz="0" w:space="0" w:color="auto"/>
        <w:right w:val="none" w:sz="0" w:space="0" w:color="auto"/>
      </w:divBdr>
    </w:div>
    <w:div w:id="1701583560">
      <w:bodyDiv w:val="1"/>
      <w:marLeft w:val="0"/>
      <w:marRight w:val="0"/>
      <w:marTop w:val="0"/>
      <w:marBottom w:val="0"/>
      <w:divBdr>
        <w:top w:val="none" w:sz="0" w:space="0" w:color="auto"/>
        <w:left w:val="none" w:sz="0" w:space="0" w:color="auto"/>
        <w:bottom w:val="none" w:sz="0" w:space="0" w:color="auto"/>
        <w:right w:val="none" w:sz="0" w:space="0" w:color="auto"/>
      </w:divBdr>
    </w:div>
    <w:div w:id="1724058199">
      <w:bodyDiv w:val="1"/>
      <w:marLeft w:val="0"/>
      <w:marRight w:val="0"/>
      <w:marTop w:val="0"/>
      <w:marBottom w:val="0"/>
      <w:divBdr>
        <w:top w:val="none" w:sz="0" w:space="0" w:color="auto"/>
        <w:left w:val="none" w:sz="0" w:space="0" w:color="auto"/>
        <w:bottom w:val="none" w:sz="0" w:space="0" w:color="auto"/>
        <w:right w:val="none" w:sz="0" w:space="0" w:color="auto"/>
      </w:divBdr>
    </w:div>
    <w:div w:id="1734884418">
      <w:bodyDiv w:val="1"/>
      <w:marLeft w:val="0"/>
      <w:marRight w:val="0"/>
      <w:marTop w:val="0"/>
      <w:marBottom w:val="0"/>
      <w:divBdr>
        <w:top w:val="none" w:sz="0" w:space="0" w:color="auto"/>
        <w:left w:val="none" w:sz="0" w:space="0" w:color="auto"/>
        <w:bottom w:val="none" w:sz="0" w:space="0" w:color="auto"/>
        <w:right w:val="none" w:sz="0" w:space="0" w:color="auto"/>
      </w:divBdr>
    </w:div>
    <w:div w:id="1751274143">
      <w:bodyDiv w:val="1"/>
      <w:marLeft w:val="0"/>
      <w:marRight w:val="0"/>
      <w:marTop w:val="0"/>
      <w:marBottom w:val="0"/>
      <w:divBdr>
        <w:top w:val="none" w:sz="0" w:space="0" w:color="auto"/>
        <w:left w:val="none" w:sz="0" w:space="0" w:color="auto"/>
        <w:bottom w:val="none" w:sz="0" w:space="0" w:color="auto"/>
        <w:right w:val="none" w:sz="0" w:space="0" w:color="auto"/>
      </w:divBdr>
    </w:div>
    <w:div w:id="1769111163">
      <w:bodyDiv w:val="1"/>
      <w:marLeft w:val="0"/>
      <w:marRight w:val="0"/>
      <w:marTop w:val="0"/>
      <w:marBottom w:val="0"/>
      <w:divBdr>
        <w:top w:val="none" w:sz="0" w:space="0" w:color="auto"/>
        <w:left w:val="none" w:sz="0" w:space="0" w:color="auto"/>
        <w:bottom w:val="none" w:sz="0" w:space="0" w:color="auto"/>
        <w:right w:val="none" w:sz="0" w:space="0" w:color="auto"/>
      </w:divBdr>
    </w:div>
    <w:div w:id="1770737378">
      <w:bodyDiv w:val="1"/>
      <w:marLeft w:val="0"/>
      <w:marRight w:val="0"/>
      <w:marTop w:val="0"/>
      <w:marBottom w:val="0"/>
      <w:divBdr>
        <w:top w:val="none" w:sz="0" w:space="0" w:color="auto"/>
        <w:left w:val="none" w:sz="0" w:space="0" w:color="auto"/>
        <w:bottom w:val="none" w:sz="0" w:space="0" w:color="auto"/>
        <w:right w:val="none" w:sz="0" w:space="0" w:color="auto"/>
      </w:divBdr>
    </w:div>
    <w:div w:id="1814449717">
      <w:bodyDiv w:val="1"/>
      <w:marLeft w:val="0"/>
      <w:marRight w:val="0"/>
      <w:marTop w:val="0"/>
      <w:marBottom w:val="0"/>
      <w:divBdr>
        <w:top w:val="none" w:sz="0" w:space="0" w:color="auto"/>
        <w:left w:val="none" w:sz="0" w:space="0" w:color="auto"/>
        <w:bottom w:val="none" w:sz="0" w:space="0" w:color="auto"/>
        <w:right w:val="none" w:sz="0" w:space="0" w:color="auto"/>
      </w:divBdr>
    </w:div>
    <w:div w:id="1821923273">
      <w:bodyDiv w:val="1"/>
      <w:marLeft w:val="0"/>
      <w:marRight w:val="0"/>
      <w:marTop w:val="0"/>
      <w:marBottom w:val="0"/>
      <w:divBdr>
        <w:top w:val="none" w:sz="0" w:space="0" w:color="auto"/>
        <w:left w:val="none" w:sz="0" w:space="0" w:color="auto"/>
        <w:bottom w:val="none" w:sz="0" w:space="0" w:color="auto"/>
        <w:right w:val="none" w:sz="0" w:space="0" w:color="auto"/>
      </w:divBdr>
    </w:div>
    <w:div w:id="1831827096">
      <w:bodyDiv w:val="1"/>
      <w:marLeft w:val="0"/>
      <w:marRight w:val="0"/>
      <w:marTop w:val="0"/>
      <w:marBottom w:val="0"/>
      <w:divBdr>
        <w:top w:val="none" w:sz="0" w:space="0" w:color="auto"/>
        <w:left w:val="none" w:sz="0" w:space="0" w:color="auto"/>
        <w:bottom w:val="none" w:sz="0" w:space="0" w:color="auto"/>
        <w:right w:val="none" w:sz="0" w:space="0" w:color="auto"/>
      </w:divBdr>
    </w:div>
    <w:div w:id="1834947107">
      <w:bodyDiv w:val="1"/>
      <w:marLeft w:val="0"/>
      <w:marRight w:val="0"/>
      <w:marTop w:val="0"/>
      <w:marBottom w:val="0"/>
      <w:divBdr>
        <w:top w:val="none" w:sz="0" w:space="0" w:color="auto"/>
        <w:left w:val="none" w:sz="0" w:space="0" w:color="auto"/>
        <w:bottom w:val="none" w:sz="0" w:space="0" w:color="auto"/>
        <w:right w:val="none" w:sz="0" w:space="0" w:color="auto"/>
      </w:divBdr>
    </w:div>
    <w:div w:id="1845314305">
      <w:bodyDiv w:val="1"/>
      <w:marLeft w:val="0"/>
      <w:marRight w:val="0"/>
      <w:marTop w:val="0"/>
      <w:marBottom w:val="0"/>
      <w:divBdr>
        <w:top w:val="none" w:sz="0" w:space="0" w:color="auto"/>
        <w:left w:val="none" w:sz="0" w:space="0" w:color="auto"/>
        <w:bottom w:val="none" w:sz="0" w:space="0" w:color="auto"/>
        <w:right w:val="none" w:sz="0" w:space="0" w:color="auto"/>
      </w:divBdr>
    </w:div>
    <w:div w:id="1865513285">
      <w:bodyDiv w:val="1"/>
      <w:marLeft w:val="0"/>
      <w:marRight w:val="0"/>
      <w:marTop w:val="0"/>
      <w:marBottom w:val="0"/>
      <w:divBdr>
        <w:top w:val="none" w:sz="0" w:space="0" w:color="auto"/>
        <w:left w:val="none" w:sz="0" w:space="0" w:color="auto"/>
        <w:bottom w:val="none" w:sz="0" w:space="0" w:color="auto"/>
        <w:right w:val="none" w:sz="0" w:space="0" w:color="auto"/>
      </w:divBdr>
    </w:div>
    <w:div w:id="1880168517">
      <w:bodyDiv w:val="1"/>
      <w:marLeft w:val="0"/>
      <w:marRight w:val="0"/>
      <w:marTop w:val="0"/>
      <w:marBottom w:val="0"/>
      <w:divBdr>
        <w:top w:val="none" w:sz="0" w:space="0" w:color="auto"/>
        <w:left w:val="none" w:sz="0" w:space="0" w:color="auto"/>
        <w:bottom w:val="none" w:sz="0" w:space="0" w:color="auto"/>
        <w:right w:val="none" w:sz="0" w:space="0" w:color="auto"/>
      </w:divBdr>
    </w:div>
    <w:div w:id="1909994852">
      <w:bodyDiv w:val="1"/>
      <w:marLeft w:val="0"/>
      <w:marRight w:val="0"/>
      <w:marTop w:val="0"/>
      <w:marBottom w:val="0"/>
      <w:divBdr>
        <w:top w:val="none" w:sz="0" w:space="0" w:color="auto"/>
        <w:left w:val="none" w:sz="0" w:space="0" w:color="auto"/>
        <w:bottom w:val="none" w:sz="0" w:space="0" w:color="auto"/>
        <w:right w:val="none" w:sz="0" w:space="0" w:color="auto"/>
      </w:divBdr>
    </w:div>
    <w:div w:id="1933472195">
      <w:bodyDiv w:val="1"/>
      <w:marLeft w:val="0"/>
      <w:marRight w:val="0"/>
      <w:marTop w:val="0"/>
      <w:marBottom w:val="0"/>
      <w:divBdr>
        <w:top w:val="none" w:sz="0" w:space="0" w:color="auto"/>
        <w:left w:val="none" w:sz="0" w:space="0" w:color="auto"/>
        <w:bottom w:val="none" w:sz="0" w:space="0" w:color="auto"/>
        <w:right w:val="none" w:sz="0" w:space="0" w:color="auto"/>
      </w:divBdr>
    </w:div>
    <w:div w:id="1980070227">
      <w:bodyDiv w:val="1"/>
      <w:marLeft w:val="0"/>
      <w:marRight w:val="0"/>
      <w:marTop w:val="0"/>
      <w:marBottom w:val="0"/>
      <w:divBdr>
        <w:top w:val="none" w:sz="0" w:space="0" w:color="auto"/>
        <w:left w:val="none" w:sz="0" w:space="0" w:color="auto"/>
        <w:bottom w:val="none" w:sz="0" w:space="0" w:color="auto"/>
        <w:right w:val="none" w:sz="0" w:space="0" w:color="auto"/>
      </w:divBdr>
    </w:div>
    <w:div w:id="2010017405">
      <w:bodyDiv w:val="1"/>
      <w:marLeft w:val="0"/>
      <w:marRight w:val="0"/>
      <w:marTop w:val="0"/>
      <w:marBottom w:val="0"/>
      <w:divBdr>
        <w:top w:val="none" w:sz="0" w:space="0" w:color="auto"/>
        <w:left w:val="none" w:sz="0" w:space="0" w:color="auto"/>
        <w:bottom w:val="none" w:sz="0" w:space="0" w:color="auto"/>
        <w:right w:val="none" w:sz="0" w:space="0" w:color="auto"/>
      </w:divBdr>
    </w:div>
    <w:div w:id="2054116842">
      <w:bodyDiv w:val="1"/>
      <w:marLeft w:val="0"/>
      <w:marRight w:val="0"/>
      <w:marTop w:val="0"/>
      <w:marBottom w:val="0"/>
      <w:divBdr>
        <w:top w:val="none" w:sz="0" w:space="0" w:color="auto"/>
        <w:left w:val="none" w:sz="0" w:space="0" w:color="auto"/>
        <w:bottom w:val="none" w:sz="0" w:space="0" w:color="auto"/>
        <w:right w:val="none" w:sz="0" w:space="0" w:color="auto"/>
      </w:divBdr>
    </w:div>
    <w:div w:id="2064088310">
      <w:bodyDiv w:val="1"/>
      <w:marLeft w:val="0"/>
      <w:marRight w:val="0"/>
      <w:marTop w:val="0"/>
      <w:marBottom w:val="0"/>
      <w:divBdr>
        <w:top w:val="none" w:sz="0" w:space="0" w:color="auto"/>
        <w:left w:val="none" w:sz="0" w:space="0" w:color="auto"/>
        <w:bottom w:val="none" w:sz="0" w:space="0" w:color="auto"/>
        <w:right w:val="none" w:sz="0" w:space="0" w:color="auto"/>
      </w:divBdr>
    </w:div>
    <w:div w:id="2088182268">
      <w:bodyDiv w:val="1"/>
      <w:marLeft w:val="0"/>
      <w:marRight w:val="0"/>
      <w:marTop w:val="0"/>
      <w:marBottom w:val="0"/>
      <w:divBdr>
        <w:top w:val="none" w:sz="0" w:space="0" w:color="auto"/>
        <w:left w:val="none" w:sz="0" w:space="0" w:color="auto"/>
        <w:bottom w:val="none" w:sz="0" w:space="0" w:color="auto"/>
        <w:right w:val="none" w:sz="0" w:space="0" w:color="auto"/>
      </w:divBdr>
    </w:div>
    <w:div w:id="2095203960">
      <w:bodyDiv w:val="1"/>
      <w:marLeft w:val="0"/>
      <w:marRight w:val="0"/>
      <w:marTop w:val="0"/>
      <w:marBottom w:val="0"/>
      <w:divBdr>
        <w:top w:val="none" w:sz="0" w:space="0" w:color="auto"/>
        <w:left w:val="none" w:sz="0" w:space="0" w:color="auto"/>
        <w:bottom w:val="none" w:sz="0" w:space="0" w:color="auto"/>
        <w:right w:val="none" w:sz="0" w:space="0" w:color="auto"/>
      </w:divBdr>
    </w:div>
    <w:div w:id="2109424403">
      <w:bodyDiv w:val="1"/>
      <w:marLeft w:val="0"/>
      <w:marRight w:val="0"/>
      <w:marTop w:val="0"/>
      <w:marBottom w:val="0"/>
      <w:divBdr>
        <w:top w:val="none" w:sz="0" w:space="0" w:color="auto"/>
        <w:left w:val="none" w:sz="0" w:space="0" w:color="auto"/>
        <w:bottom w:val="none" w:sz="0" w:space="0" w:color="auto"/>
        <w:right w:val="none" w:sz="0" w:space="0" w:color="auto"/>
      </w:divBdr>
    </w:div>
    <w:div w:id="21467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fontTable" Target="fontTable.xml"/><Relationship Id="rId21" Type="http://schemas.openxmlformats.org/officeDocument/2006/relationships/footer" Target="footer5.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6.xml"/><Relationship Id="rId33" Type="http://schemas.openxmlformats.org/officeDocument/2006/relationships/header" Target="header14.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image" Target="media/image3.emf"/><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image" Target="media/image5.emf"/><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s>
</file>

<file path=word/_rels/header11.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D420B-3006-45E8-BCF8-0FD4E7EB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61</Pages>
  <Words>14701</Words>
  <Characters>79556</Characters>
  <DocSecurity>2</DocSecurity>
  <Lines>662</Lines>
  <Paragraphs>188</Paragraphs>
  <ScaleCrop>false</ScaleCrop>
  <HeadingPairs>
    <vt:vector size="2" baseType="variant">
      <vt:variant>
        <vt:lpstr>Título</vt:lpstr>
      </vt:variant>
      <vt:variant>
        <vt:i4>1</vt:i4>
      </vt:variant>
    </vt:vector>
  </HeadingPairs>
  <TitlesOfParts>
    <vt:vector size="1" baseType="lpstr">
      <vt:lpstr>COFIVACASA, S.A.</vt:lpstr>
    </vt:vector>
  </TitlesOfParts>
  <LinksUpToDate>false</LinksUpToDate>
  <CharactersWithSpaces>94069</CharactersWithSpaces>
  <SharedDoc>false</SharedDoc>
  <HLinks>
    <vt:vector size="12" baseType="variant">
      <vt:variant>
        <vt:i4>6422646</vt:i4>
      </vt:variant>
      <vt:variant>
        <vt:i4>25</vt:i4>
      </vt:variant>
      <vt:variant>
        <vt:i4>0</vt:i4>
      </vt:variant>
      <vt:variant>
        <vt:i4>5</vt:i4>
      </vt:variant>
      <vt:variant>
        <vt:lpwstr>javascript: linkToDocument('RCL\\2012\\607', '/wles/app/nwles/document/link?baseNM=RCL\\2012\\976&amp;baseUnit=A.2&amp;targetNM=RCL\\2012\\607&amp;targetUnit=.&amp;baseGUID=Id741b0a053c711e2bd03010000000000&amp;tid=universal&amp;version=&amp;baseCT=legis&amp;docguid=Ided089b0cd9711e18b6d010000000000');</vt:lpwstr>
      </vt:variant>
      <vt:variant>
        <vt:lpwstr/>
      </vt:variant>
      <vt:variant>
        <vt:i4>7733369</vt:i4>
      </vt:variant>
      <vt:variant>
        <vt:i4>22</vt:i4>
      </vt:variant>
      <vt:variant>
        <vt:i4>0</vt:i4>
      </vt:variant>
      <vt:variant>
        <vt:i4>5</vt:i4>
      </vt:variant>
      <vt:variant>
        <vt:lpwstr>javascript: linkToDocument('RCL\\2012\\909', '/wles/app/nwles/document/link?baseNM=RCL\\2012\\976&amp;baseUnit=A.2&amp;targetNM=RCL\\2012\\909&amp;targetUnit=RCL_2012_909_A.22&amp;baseGUID=Id741b0a053c711e2bd03010000000000&amp;tid=universal&amp;version=&amp;baseCT=legis&amp;docguid=Ided089b0cd9711e18b6d010000000000&amp;doc-unit=RCL_2012_909_A.22</vt:lpwstr>
      </vt:variant>
      <vt:variant>
        <vt:lpwstr>RCL_2012_909_A.22');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2021-03-09T08:46:00Z</cp:lastPrinted>
  <dcterms:created xsi:type="dcterms:W3CDTF">2021-03-04T12:42:00Z</dcterms:created>
  <dcterms:modified xsi:type="dcterms:W3CDTF">2021-04-09T09:02:00Z</dcterms:modified>
</cp:coreProperties>
</file>